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348571" w14:textId="79C992C3" w:rsidR="00C90A64" w:rsidRPr="00ED6C02" w:rsidRDefault="00FD722C" w:rsidP="00EE08B2">
      <w:pPr>
        <w:spacing w:line="360" w:lineRule="auto"/>
        <w:jc w:val="center"/>
        <w:rPr>
          <w:rFonts w:ascii="Times New Roman" w:hAnsi="Times New Roman" w:cs="Times New Roman"/>
          <w:b/>
          <w:bCs/>
        </w:rPr>
      </w:pPr>
      <w:r w:rsidRPr="00ED6C02">
        <w:rPr>
          <w:rFonts w:ascii="Times New Roman" w:hAnsi="Times New Roman" w:cs="Times New Roman"/>
          <w:b/>
          <w:bCs/>
        </w:rPr>
        <w:t>Supplementary Notes</w:t>
      </w:r>
    </w:p>
    <w:p w14:paraId="4B8A10E2" w14:textId="77777777" w:rsidR="00765810" w:rsidRPr="00CD0EBC" w:rsidRDefault="00765810" w:rsidP="00EE08B2">
      <w:pPr>
        <w:spacing w:line="360" w:lineRule="auto"/>
        <w:jc w:val="both"/>
        <w:rPr>
          <w:rFonts w:ascii="Times New Roman" w:hAnsi="Times New Roman" w:cs="Times New Roman"/>
          <w:b/>
          <w:bCs/>
        </w:rPr>
      </w:pPr>
      <w:bookmarkStart w:id="0" w:name="sec:supp-containers"/>
      <w:r w:rsidRPr="00CD0EBC">
        <w:rPr>
          <w:rFonts w:ascii="Times New Roman" w:hAnsi="Times New Roman" w:cs="Times New Roman"/>
          <w:b/>
          <w:bCs/>
        </w:rPr>
        <w:t>quantmsdiann: a scalable SDRF-driven DIA-NN workflow for reanalysis of single-cell, spatial, and bulk proteomics datasets</w:t>
      </w:r>
    </w:p>
    <w:p w14:paraId="0AB69E7F" w14:textId="77777777" w:rsidR="00765810" w:rsidRPr="00CD0EBC" w:rsidRDefault="00765810" w:rsidP="00EE08B2">
      <w:pPr>
        <w:spacing w:line="360" w:lineRule="auto"/>
        <w:jc w:val="both"/>
        <w:rPr>
          <w:rFonts w:ascii="Times New Roman" w:hAnsi="Times New Roman" w:cs="Times New Roman"/>
        </w:rPr>
      </w:pPr>
      <w:r w:rsidRPr="00CD0EBC">
        <w:rPr>
          <w:rFonts w:ascii="Times New Roman" w:hAnsi="Times New Roman" w:cs="Times New Roman"/>
        </w:rPr>
        <w:t xml:space="preserve">Qi-Xuan Yue </w:t>
      </w:r>
      <w:r w:rsidRPr="00CD0EBC">
        <w:rPr>
          <w:rFonts w:ascii="Times New Roman" w:hAnsi="Times New Roman" w:cs="Times New Roman"/>
          <w:vertAlign w:val="superscript"/>
        </w:rPr>
        <w:t>1</w:t>
      </w:r>
      <w:r w:rsidRPr="00CD0EBC">
        <w:rPr>
          <w:rFonts w:ascii="Times New Roman" w:hAnsi="Times New Roman" w:cs="Times New Roman"/>
        </w:rPr>
        <w:t xml:space="preserve">; Yufei Shen </w:t>
      </w:r>
      <w:r w:rsidRPr="00CD0EBC">
        <w:rPr>
          <w:rFonts w:ascii="Times New Roman" w:hAnsi="Times New Roman" w:cs="Times New Roman"/>
          <w:vertAlign w:val="superscript"/>
        </w:rPr>
        <w:t>1</w:t>
      </w:r>
      <w:r w:rsidRPr="00CD0EBC">
        <w:rPr>
          <w:rFonts w:ascii="Times New Roman" w:hAnsi="Times New Roman" w:cs="Times New Roman"/>
        </w:rPr>
        <w:t xml:space="preserve">; Chengxin Dai </w:t>
      </w:r>
      <w:r w:rsidRPr="00CD0EBC">
        <w:rPr>
          <w:rFonts w:ascii="Times New Roman" w:hAnsi="Times New Roman" w:cs="Times New Roman"/>
          <w:vertAlign w:val="superscript"/>
        </w:rPr>
        <w:t>2</w:t>
      </w:r>
      <w:r w:rsidRPr="00CD0EBC">
        <w:rPr>
          <w:rFonts w:ascii="Times New Roman" w:hAnsi="Times New Roman" w:cs="Times New Roman"/>
        </w:rPr>
        <w:t xml:space="preserve">; Asier Larrea-Sebal </w:t>
      </w:r>
      <w:r w:rsidRPr="00CD0EBC">
        <w:rPr>
          <w:rFonts w:ascii="Times New Roman" w:hAnsi="Times New Roman" w:cs="Times New Roman"/>
          <w:vertAlign w:val="superscript"/>
        </w:rPr>
        <w:t>3,4</w:t>
      </w:r>
      <w:r w:rsidRPr="00CD0EBC">
        <w:rPr>
          <w:rFonts w:ascii="Times New Roman" w:hAnsi="Times New Roman" w:cs="Times New Roman"/>
        </w:rPr>
        <w:t xml:space="preserve">; Henry Webel </w:t>
      </w:r>
      <w:r w:rsidRPr="00CD0EBC">
        <w:rPr>
          <w:rFonts w:ascii="Times New Roman" w:hAnsi="Times New Roman" w:cs="Times New Roman"/>
          <w:vertAlign w:val="superscript"/>
        </w:rPr>
        <w:t>5</w:t>
      </w:r>
      <w:r w:rsidRPr="00CD0EBC">
        <w:rPr>
          <w:rFonts w:ascii="Times New Roman" w:hAnsi="Times New Roman" w:cs="Times New Roman"/>
        </w:rPr>
        <w:t xml:space="preserve">; Jose Nimo </w:t>
      </w:r>
      <w:r w:rsidRPr="00CD0EBC">
        <w:rPr>
          <w:rFonts w:ascii="Times New Roman" w:hAnsi="Times New Roman" w:cs="Times New Roman"/>
          <w:vertAlign w:val="superscript"/>
        </w:rPr>
        <w:t>6,7,8</w:t>
      </w:r>
      <w:r w:rsidRPr="00CD0EBC">
        <w:rPr>
          <w:rFonts w:ascii="Times New Roman" w:hAnsi="Times New Roman" w:cs="Times New Roman"/>
        </w:rPr>
        <w:t xml:space="preserve">; Fabian Coscia </w:t>
      </w:r>
      <w:r w:rsidRPr="00CD0EBC">
        <w:rPr>
          <w:rFonts w:ascii="Times New Roman" w:hAnsi="Times New Roman" w:cs="Times New Roman"/>
          <w:vertAlign w:val="superscript"/>
        </w:rPr>
        <w:t>6</w:t>
      </w:r>
      <w:r w:rsidRPr="00CD0EBC">
        <w:rPr>
          <w:rFonts w:ascii="Times New Roman" w:hAnsi="Times New Roman" w:cs="Times New Roman"/>
        </w:rPr>
        <w:t>,</w:t>
      </w:r>
      <w:r w:rsidRPr="00CD0EBC">
        <w:rPr>
          <w:rFonts w:ascii="Times New Roman" w:hAnsi="Times New Roman" w:cs="Times New Roman"/>
          <w:vertAlign w:val="superscript"/>
        </w:rPr>
        <w:t>8</w:t>
      </w:r>
      <w:r w:rsidRPr="00CD0EBC">
        <w:rPr>
          <w:rFonts w:ascii="Times New Roman" w:hAnsi="Times New Roman" w:cs="Times New Roman"/>
        </w:rPr>
        <w:t xml:space="preserve">; Orhun Kok </w:t>
      </w:r>
      <w:r w:rsidRPr="00CD0EBC">
        <w:rPr>
          <w:rFonts w:ascii="Times New Roman" w:hAnsi="Times New Roman" w:cs="Times New Roman"/>
          <w:vertAlign w:val="superscript"/>
        </w:rPr>
        <w:t>9</w:t>
      </w:r>
      <w:r w:rsidRPr="00CD0EBC">
        <w:rPr>
          <w:rFonts w:ascii="Times New Roman" w:hAnsi="Times New Roman" w:cs="Times New Roman"/>
        </w:rPr>
        <w:t xml:space="preserve">; Nikolai Slavov </w:t>
      </w:r>
      <w:r w:rsidRPr="00CD0EBC">
        <w:rPr>
          <w:rFonts w:ascii="Times New Roman" w:hAnsi="Times New Roman" w:cs="Times New Roman"/>
          <w:vertAlign w:val="superscript"/>
        </w:rPr>
        <w:t>9,10</w:t>
      </w:r>
      <w:r w:rsidRPr="00CD0EBC">
        <w:rPr>
          <w:rFonts w:ascii="Times New Roman" w:hAnsi="Times New Roman" w:cs="Times New Roman"/>
        </w:rPr>
        <w:t xml:space="preserve">; Juan Antonio Vizcaı́no </w:t>
      </w:r>
      <w:r w:rsidRPr="00CD0EBC">
        <w:rPr>
          <w:rFonts w:ascii="Times New Roman" w:hAnsi="Times New Roman" w:cs="Times New Roman"/>
          <w:vertAlign w:val="superscript"/>
        </w:rPr>
        <w:t>3</w:t>
      </w:r>
      <w:r w:rsidRPr="00CD0EBC">
        <w:rPr>
          <w:rFonts w:ascii="Times New Roman" w:hAnsi="Times New Roman" w:cs="Times New Roman"/>
        </w:rPr>
        <w:t xml:space="preserve">; Timo Sachsenberg </w:t>
      </w:r>
      <w:r w:rsidRPr="00CD0EBC">
        <w:rPr>
          <w:rFonts w:ascii="Times New Roman" w:hAnsi="Times New Roman" w:cs="Times New Roman"/>
          <w:vertAlign w:val="superscript"/>
        </w:rPr>
        <w:t>11,12</w:t>
      </w:r>
      <w:r w:rsidRPr="00CD0EBC">
        <w:rPr>
          <w:rFonts w:ascii="Times New Roman" w:hAnsi="Times New Roman" w:cs="Times New Roman"/>
        </w:rPr>
        <w:t xml:space="preserve">; Mingze Bai </w:t>
      </w:r>
      <w:r w:rsidRPr="00CD0EBC">
        <w:rPr>
          <w:rFonts w:ascii="Times New Roman" w:hAnsi="Times New Roman" w:cs="Times New Roman"/>
          <w:vertAlign w:val="superscript"/>
        </w:rPr>
        <w:t>1</w:t>
      </w:r>
      <w:r w:rsidRPr="00CD0EBC">
        <w:rPr>
          <w:rFonts w:ascii="Times New Roman" w:hAnsi="Times New Roman" w:cs="Times New Roman"/>
        </w:rPr>
        <w:t xml:space="preserve">; Vadim Demichev </w:t>
      </w:r>
      <w:r w:rsidRPr="00CD0EBC">
        <w:rPr>
          <w:rFonts w:ascii="Times New Roman" w:hAnsi="Times New Roman" w:cs="Times New Roman"/>
          <w:vertAlign w:val="superscript"/>
        </w:rPr>
        <w:t>13</w:t>
      </w:r>
      <w:r w:rsidRPr="00CD0EBC">
        <w:rPr>
          <w:rFonts w:ascii="Times New Roman" w:hAnsi="Times New Roman" w:cs="Times New Roman"/>
        </w:rPr>
        <w:t xml:space="preserve">; Yasset Perez-Riverol </w:t>
      </w:r>
      <w:r w:rsidRPr="00CD0EBC">
        <w:rPr>
          <w:rFonts w:ascii="Times New Roman" w:hAnsi="Times New Roman" w:cs="Times New Roman"/>
          <w:vertAlign w:val="superscript"/>
        </w:rPr>
        <w:t>3,*</w:t>
      </w:r>
    </w:p>
    <w:p w14:paraId="1AEB334C" w14:textId="77777777" w:rsidR="00765810" w:rsidRPr="00CB3B2E" w:rsidRDefault="00765810" w:rsidP="00EE08B2">
      <w:pPr>
        <w:spacing w:line="360" w:lineRule="auto"/>
        <w:jc w:val="both"/>
        <w:rPr>
          <w:rFonts w:ascii="Times New Roman" w:hAnsi="Times New Roman" w:cs="Times New Roman"/>
          <w:sz w:val="22"/>
          <w:szCs w:val="22"/>
        </w:rPr>
      </w:pPr>
      <w:r w:rsidRPr="00CB3B2E">
        <w:rPr>
          <w:rFonts w:ascii="Times New Roman" w:hAnsi="Times New Roman" w:cs="Times New Roman"/>
          <w:sz w:val="22"/>
          <w:szCs w:val="22"/>
          <w:vertAlign w:val="superscript"/>
        </w:rPr>
        <w:t>1</w:t>
      </w:r>
      <w:r w:rsidRPr="00CB3B2E">
        <w:rPr>
          <w:rFonts w:ascii="Times New Roman" w:hAnsi="Times New Roman" w:cs="Times New Roman"/>
          <w:sz w:val="22"/>
          <w:szCs w:val="22"/>
        </w:rPr>
        <w:t xml:space="preserve"> Chongqing Key Laboratory of Big Data for Bio Intelligence, Chongqing University of Posts and Telecommunications, Chongqing, China.</w:t>
      </w:r>
    </w:p>
    <w:p w14:paraId="4C1BB730" w14:textId="77777777" w:rsidR="00765810" w:rsidRPr="00CB3B2E" w:rsidRDefault="00765810" w:rsidP="00EE08B2">
      <w:pPr>
        <w:spacing w:line="360" w:lineRule="auto"/>
        <w:jc w:val="both"/>
        <w:rPr>
          <w:rFonts w:ascii="Times New Roman" w:hAnsi="Times New Roman" w:cs="Times New Roman"/>
          <w:sz w:val="22"/>
          <w:szCs w:val="22"/>
        </w:rPr>
      </w:pPr>
      <w:r w:rsidRPr="00CB3B2E">
        <w:rPr>
          <w:rFonts w:ascii="Times New Roman" w:hAnsi="Times New Roman" w:cs="Times New Roman"/>
          <w:sz w:val="22"/>
          <w:szCs w:val="22"/>
          <w:vertAlign w:val="superscript"/>
        </w:rPr>
        <w:t>2</w:t>
      </w:r>
      <w:r w:rsidRPr="00CB3B2E">
        <w:rPr>
          <w:rFonts w:ascii="Times New Roman" w:hAnsi="Times New Roman" w:cs="Times New Roman"/>
          <w:sz w:val="22"/>
          <w:szCs w:val="22"/>
        </w:rPr>
        <w:t xml:space="preserve"> State Key Laboratory of Proteomics, Beijing Proteome Research Center, National Center for Protein Sciences (Beijing), Beijing Institute of Life Omics, Beijing, China.</w:t>
      </w:r>
    </w:p>
    <w:p w14:paraId="5E4F7857" w14:textId="77777777" w:rsidR="00765810" w:rsidRPr="00CB3B2E" w:rsidRDefault="00765810" w:rsidP="00EE08B2">
      <w:pPr>
        <w:spacing w:line="360" w:lineRule="auto"/>
        <w:jc w:val="both"/>
        <w:rPr>
          <w:rFonts w:ascii="Times New Roman" w:hAnsi="Times New Roman" w:cs="Times New Roman"/>
          <w:sz w:val="22"/>
          <w:szCs w:val="22"/>
        </w:rPr>
      </w:pPr>
      <w:r w:rsidRPr="00CB3B2E">
        <w:rPr>
          <w:rFonts w:ascii="Times New Roman" w:hAnsi="Times New Roman" w:cs="Times New Roman"/>
          <w:sz w:val="22"/>
          <w:szCs w:val="22"/>
          <w:vertAlign w:val="superscript"/>
        </w:rPr>
        <w:t>3</w:t>
      </w:r>
      <w:r w:rsidRPr="00CB3B2E">
        <w:rPr>
          <w:rFonts w:ascii="Times New Roman" w:hAnsi="Times New Roman" w:cs="Times New Roman"/>
          <w:sz w:val="22"/>
          <w:szCs w:val="22"/>
        </w:rPr>
        <w:t xml:space="preserve"> European Molecular Biology Laboratory, European Bioinformatics Institute (EMBL-EBI), </w:t>
      </w:r>
      <w:proofErr w:type="spellStart"/>
      <w:r w:rsidRPr="00CB3B2E">
        <w:rPr>
          <w:rFonts w:ascii="Times New Roman" w:hAnsi="Times New Roman" w:cs="Times New Roman"/>
          <w:sz w:val="22"/>
          <w:szCs w:val="22"/>
        </w:rPr>
        <w:t>Wellcome</w:t>
      </w:r>
      <w:proofErr w:type="spellEnd"/>
      <w:r w:rsidRPr="00CB3B2E">
        <w:rPr>
          <w:rFonts w:ascii="Times New Roman" w:hAnsi="Times New Roman" w:cs="Times New Roman"/>
          <w:sz w:val="22"/>
          <w:szCs w:val="22"/>
        </w:rPr>
        <w:t xml:space="preserve"> Genome Campus, Hinxton, Cambridge, UK.</w:t>
      </w:r>
    </w:p>
    <w:p w14:paraId="29C87B85" w14:textId="77777777" w:rsidR="00765810" w:rsidRPr="00CB3B2E" w:rsidRDefault="00765810" w:rsidP="00EE08B2">
      <w:pPr>
        <w:spacing w:line="360" w:lineRule="auto"/>
        <w:jc w:val="both"/>
        <w:rPr>
          <w:rFonts w:ascii="Times New Roman" w:hAnsi="Times New Roman" w:cs="Times New Roman"/>
          <w:sz w:val="22"/>
          <w:szCs w:val="22"/>
        </w:rPr>
      </w:pPr>
      <w:r w:rsidRPr="00CB3B2E">
        <w:rPr>
          <w:rFonts w:ascii="Times New Roman" w:hAnsi="Times New Roman" w:cs="Times New Roman"/>
          <w:sz w:val="22"/>
          <w:szCs w:val="22"/>
          <w:vertAlign w:val="superscript"/>
        </w:rPr>
        <w:t>4</w:t>
      </w:r>
      <w:r w:rsidRPr="00CB3B2E">
        <w:rPr>
          <w:rFonts w:ascii="Times New Roman" w:hAnsi="Times New Roman" w:cs="Times New Roman"/>
          <w:sz w:val="22"/>
          <w:szCs w:val="22"/>
        </w:rPr>
        <w:t xml:space="preserve"> Department of Biochemistry and Molecular Biology, Universidad del País Vasco UPV/EHU, Bilbao, 48080, Spain. </w:t>
      </w:r>
    </w:p>
    <w:p w14:paraId="0B3775F6" w14:textId="77777777" w:rsidR="00765810" w:rsidRPr="00CB3B2E" w:rsidRDefault="00765810" w:rsidP="00EE08B2">
      <w:pPr>
        <w:spacing w:line="360" w:lineRule="auto"/>
        <w:jc w:val="both"/>
        <w:rPr>
          <w:rFonts w:ascii="Times New Roman" w:hAnsi="Times New Roman" w:cs="Times New Roman"/>
          <w:sz w:val="22"/>
          <w:szCs w:val="22"/>
        </w:rPr>
      </w:pPr>
      <w:r w:rsidRPr="00CB3B2E">
        <w:rPr>
          <w:rFonts w:ascii="Times New Roman" w:hAnsi="Times New Roman" w:cs="Times New Roman"/>
          <w:sz w:val="22"/>
          <w:szCs w:val="22"/>
          <w:vertAlign w:val="superscript"/>
        </w:rPr>
        <w:t>5</w:t>
      </w:r>
      <w:r w:rsidRPr="00CB3B2E">
        <w:rPr>
          <w:rFonts w:ascii="Times New Roman" w:hAnsi="Times New Roman" w:cs="Times New Roman"/>
          <w:sz w:val="22"/>
          <w:szCs w:val="22"/>
        </w:rPr>
        <w:t xml:space="preserve"> Novo Nordisk Foundation Center for Protein Research, Faculty of Health and Medical Sciences, University of Copenhagen, Copenhagen, Denmark.</w:t>
      </w:r>
    </w:p>
    <w:p w14:paraId="69B50D45" w14:textId="77777777" w:rsidR="00765810" w:rsidRPr="00CB3B2E" w:rsidRDefault="00765810" w:rsidP="00EE08B2">
      <w:pPr>
        <w:spacing w:line="360" w:lineRule="auto"/>
        <w:jc w:val="both"/>
        <w:rPr>
          <w:rFonts w:ascii="Times New Roman" w:hAnsi="Times New Roman" w:cs="Times New Roman"/>
          <w:sz w:val="22"/>
          <w:szCs w:val="22"/>
        </w:rPr>
      </w:pPr>
      <w:r w:rsidRPr="00CB3B2E">
        <w:rPr>
          <w:rFonts w:ascii="Times New Roman" w:hAnsi="Times New Roman" w:cs="Times New Roman"/>
          <w:sz w:val="22"/>
          <w:szCs w:val="22"/>
          <w:vertAlign w:val="superscript"/>
        </w:rPr>
        <w:t>6</w:t>
      </w:r>
      <w:r w:rsidRPr="00CB3B2E">
        <w:rPr>
          <w:rFonts w:ascii="Times New Roman" w:hAnsi="Times New Roman" w:cs="Times New Roman"/>
          <w:sz w:val="22"/>
          <w:szCs w:val="22"/>
        </w:rPr>
        <w:t xml:space="preserve"> Spatial Proteomics Group, Max-Delbrück-Center for Molecular Medicine in the Helmholtz Association (MDC), Berlin, Germany.</w:t>
      </w:r>
    </w:p>
    <w:p w14:paraId="61CB0507" w14:textId="77777777" w:rsidR="00765810" w:rsidRPr="00CB3B2E" w:rsidRDefault="00765810" w:rsidP="00EE08B2">
      <w:pPr>
        <w:spacing w:line="360" w:lineRule="auto"/>
        <w:jc w:val="both"/>
        <w:rPr>
          <w:rFonts w:ascii="Times New Roman" w:hAnsi="Times New Roman" w:cs="Times New Roman"/>
          <w:sz w:val="22"/>
          <w:szCs w:val="22"/>
        </w:rPr>
      </w:pPr>
      <w:r w:rsidRPr="00CB3B2E">
        <w:rPr>
          <w:rFonts w:ascii="Times New Roman" w:hAnsi="Times New Roman" w:cs="Times New Roman"/>
          <w:sz w:val="22"/>
          <w:szCs w:val="22"/>
          <w:vertAlign w:val="superscript"/>
        </w:rPr>
        <w:t>7</w:t>
      </w:r>
      <w:r w:rsidRPr="00CB3B2E">
        <w:rPr>
          <w:rFonts w:ascii="Times New Roman" w:hAnsi="Times New Roman" w:cs="Times New Roman"/>
          <w:sz w:val="22"/>
          <w:szCs w:val="22"/>
        </w:rPr>
        <w:t xml:space="preserve"> Charité – Universitätsmedizin Berlin, corporate member of Freie Universität Berlin and Humboldt-Universität zu Berlin, Berlin, Germany.</w:t>
      </w:r>
    </w:p>
    <w:p w14:paraId="448CCC23" w14:textId="77777777" w:rsidR="00765810" w:rsidRPr="00CB3B2E" w:rsidRDefault="00765810" w:rsidP="00EE08B2">
      <w:pPr>
        <w:spacing w:line="360" w:lineRule="auto"/>
        <w:jc w:val="both"/>
        <w:rPr>
          <w:rFonts w:ascii="Times New Roman" w:hAnsi="Times New Roman" w:cs="Times New Roman"/>
          <w:sz w:val="22"/>
          <w:szCs w:val="22"/>
        </w:rPr>
      </w:pPr>
      <w:r w:rsidRPr="00CB3B2E">
        <w:rPr>
          <w:rFonts w:ascii="Times New Roman" w:hAnsi="Times New Roman" w:cs="Times New Roman"/>
          <w:sz w:val="22"/>
          <w:szCs w:val="22"/>
          <w:vertAlign w:val="superscript"/>
        </w:rPr>
        <w:t xml:space="preserve">8 </w:t>
      </w:r>
      <w:r w:rsidRPr="00CB3B2E">
        <w:rPr>
          <w:rFonts w:ascii="Times New Roman" w:hAnsi="Times New Roman" w:cs="Times New Roman"/>
          <w:sz w:val="22"/>
          <w:szCs w:val="22"/>
        </w:rPr>
        <w:t>German Cancer Consortium (DKTK), Partner Site Berlin, Heidelberg, Germany.</w:t>
      </w:r>
    </w:p>
    <w:p w14:paraId="68803873" w14:textId="77777777" w:rsidR="00765810" w:rsidRPr="00CB3B2E" w:rsidRDefault="00765810" w:rsidP="00EE08B2">
      <w:pPr>
        <w:spacing w:line="360" w:lineRule="auto"/>
        <w:jc w:val="both"/>
        <w:rPr>
          <w:rFonts w:ascii="Times New Roman" w:hAnsi="Times New Roman" w:cs="Times New Roman"/>
          <w:sz w:val="22"/>
          <w:szCs w:val="22"/>
        </w:rPr>
      </w:pPr>
      <w:r w:rsidRPr="00CB3B2E">
        <w:rPr>
          <w:rFonts w:ascii="Times New Roman" w:hAnsi="Times New Roman" w:cs="Times New Roman"/>
          <w:sz w:val="22"/>
          <w:szCs w:val="22"/>
          <w:vertAlign w:val="superscript"/>
        </w:rPr>
        <w:t>9</w:t>
      </w:r>
      <w:r w:rsidRPr="00CB3B2E">
        <w:rPr>
          <w:rFonts w:ascii="Times New Roman" w:hAnsi="Times New Roman" w:cs="Times New Roman"/>
          <w:sz w:val="22"/>
          <w:szCs w:val="22"/>
        </w:rPr>
        <w:t xml:space="preserve"> Department of Bioengineering and Barnett Institute, Northeastern University, Boston, Massachusetts, USA</w:t>
      </w:r>
    </w:p>
    <w:p w14:paraId="1A027689" w14:textId="77777777" w:rsidR="00765810" w:rsidRPr="00CB3B2E" w:rsidRDefault="00765810" w:rsidP="00EE08B2">
      <w:pPr>
        <w:spacing w:line="360" w:lineRule="auto"/>
        <w:jc w:val="both"/>
        <w:rPr>
          <w:rFonts w:ascii="Times New Roman" w:hAnsi="Times New Roman" w:cs="Times New Roman"/>
          <w:sz w:val="22"/>
          <w:szCs w:val="22"/>
        </w:rPr>
      </w:pPr>
      <w:r w:rsidRPr="00CB3B2E">
        <w:rPr>
          <w:rFonts w:ascii="Times New Roman" w:hAnsi="Times New Roman" w:cs="Times New Roman"/>
          <w:sz w:val="22"/>
          <w:szCs w:val="22"/>
          <w:vertAlign w:val="superscript"/>
        </w:rPr>
        <w:t>10</w:t>
      </w:r>
      <w:r w:rsidRPr="00CB3B2E">
        <w:rPr>
          <w:rFonts w:ascii="Times New Roman" w:hAnsi="Times New Roman" w:cs="Times New Roman"/>
          <w:sz w:val="22"/>
          <w:szCs w:val="22"/>
        </w:rPr>
        <w:t xml:space="preserve"> Parallel Squared Technology Institute, Watertown, Massachusetts, USA.</w:t>
      </w:r>
    </w:p>
    <w:p w14:paraId="6B8A28AE" w14:textId="77777777" w:rsidR="00765810" w:rsidRPr="00CB3B2E" w:rsidRDefault="00765810" w:rsidP="00EE08B2">
      <w:pPr>
        <w:spacing w:line="360" w:lineRule="auto"/>
        <w:jc w:val="both"/>
        <w:rPr>
          <w:rFonts w:ascii="Times New Roman" w:hAnsi="Times New Roman" w:cs="Times New Roman"/>
          <w:sz w:val="22"/>
          <w:szCs w:val="22"/>
        </w:rPr>
      </w:pPr>
      <w:r w:rsidRPr="00CB3B2E">
        <w:rPr>
          <w:rFonts w:ascii="Times New Roman" w:hAnsi="Times New Roman" w:cs="Times New Roman"/>
          <w:sz w:val="22"/>
          <w:szCs w:val="22"/>
          <w:vertAlign w:val="superscript"/>
        </w:rPr>
        <w:t>11</w:t>
      </w:r>
      <w:r w:rsidRPr="00CB3B2E">
        <w:rPr>
          <w:rFonts w:ascii="Times New Roman" w:hAnsi="Times New Roman" w:cs="Times New Roman"/>
          <w:sz w:val="22"/>
          <w:szCs w:val="22"/>
        </w:rPr>
        <w:t xml:space="preserve"> Department of Computer Science, Applied Bioinformatics, University of Tübingen, Tübingen, Germany.</w:t>
      </w:r>
    </w:p>
    <w:p w14:paraId="2E477CEB" w14:textId="77777777" w:rsidR="00765810" w:rsidRPr="00CB3B2E" w:rsidRDefault="00765810" w:rsidP="00EE08B2">
      <w:pPr>
        <w:spacing w:line="360" w:lineRule="auto"/>
        <w:jc w:val="both"/>
        <w:rPr>
          <w:rFonts w:ascii="Times New Roman" w:hAnsi="Times New Roman" w:cs="Times New Roman"/>
          <w:sz w:val="22"/>
          <w:szCs w:val="22"/>
        </w:rPr>
      </w:pPr>
      <w:r w:rsidRPr="00CB3B2E">
        <w:rPr>
          <w:rFonts w:ascii="Times New Roman" w:hAnsi="Times New Roman" w:cs="Times New Roman"/>
          <w:sz w:val="22"/>
          <w:szCs w:val="22"/>
          <w:vertAlign w:val="superscript"/>
        </w:rPr>
        <w:t>12</w:t>
      </w:r>
      <w:r w:rsidRPr="00CB3B2E">
        <w:rPr>
          <w:rFonts w:ascii="Times New Roman" w:hAnsi="Times New Roman" w:cs="Times New Roman"/>
          <w:sz w:val="22"/>
          <w:szCs w:val="22"/>
        </w:rPr>
        <w:t xml:space="preserve"> Institute for Bioinformatics and Medical Informatics, University of Tübingen, Tübingen, Germany. </w:t>
      </w:r>
    </w:p>
    <w:p w14:paraId="5A5063F7" w14:textId="0C48A6F3" w:rsidR="00ED6C02" w:rsidRDefault="00765810" w:rsidP="00EE08B2">
      <w:pPr>
        <w:spacing w:line="360" w:lineRule="auto"/>
        <w:jc w:val="both"/>
        <w:rPr>
          <w:rFonts w:ascii="Times New Roman" w:hAnsi="Times New Roman" w:cs="Times New Roman"/>
        </w:rPr>
      </w:pPr>
      <w:r w:rsidRPr="00CB3B2E">
        <w:rPr>
          <w:rFonts w:ascii="Times New Roman" w:hAnsi="Times New Roman" w:cs="Times New Roman"/>
          <w:sz w:val="22"/>
          <w:szCs w:val="22"/>
          <w:vertAlign w:val="superscript"/>
        </w:rPr>
        <w:lastRenderedPageBreak/>
        <w:t>13</w:t>
      </w:r>
      <w:r w:rsidRPr="00CB3B2E">
        <w:rPr>
          <w:rFonts w:ascii="Times New Roman" w:hAnsi="Times New Roman" w:cs="Times New Roman"/>
          <w:sz w:val="22"/>
          <w:szCs w:val="22"/>
        </w:rPr>
        <w:t xml:space="preserve"> Quantitative Proteomics Laboratory, Charité – Universitätsmedizin Berlin, Berlin, Germany.</w:t>
      </w:r>
    </w:p>
    <w:p w14:paraId="37EA897C" w14:textId="77777777" w:rsidR="00EE08B2" w:rsidRDefault="00EE08B2" w:rsidP="00EE08B2">
      <w:pPr>
        <w:spacing w:line="360" w:lineRule="auto"/>
        <w:jc w:val="both"/>
        <w:rPr>
          <w:rFonts w:ascii="Times New Roman" w:hAnsi="Times New Roman" w:cs="Times New Roman"/>
        </w:rPr>
      </w:pPr>
    </w:p>
    <w:p w14:paraId="569C7109" w14:textId="661EFC62" w:rsidR="00462EA2" w:rsidRDefault="00EE08B2">
      <w:pPr>
        <w:pStyle w:val="TOC1"/>
        <w:rPr>
          <w:noProof/>
          <w:kern w:val="2"/>
          <w:lang w:val="en-GB" w:eastAsia="en-GB"/>
          <w14:ligatures w14:val="standardContextual"/>
        </w:rPr>
      </w:pPr>
      <w:r>
        <w:fldChar w:fldCharType="begin"/>
      </w:r>
      <w:r>
        <w:instrText xml:space="preserve"> TOC \o "1-3" \h \z \u </w:instrText>
      </w:r>
      <w:r>
        <w:fldChar w:fldCharType="separate"/>
      </w:r>
      <w:hyperlink w:anchor="_Toc234325845" w:history="1">
        <w:r w:rsidR="00462EA2" w:rsidRPr="00A41303">
          <w:rPr>
            <w:rStyle w:val="Hyperlink"/>
            <w:rFonts w:ascii="Times New Roman" w:hAnsi="Times New Roman" w:cs="Times New Roman"/>
            <w:b/>
            <w:bCs/>
            <w:noProof/>
          </w:rPr>
          <w:t>Supplementary Note 1: Building DIA-NN container images</w:t>
        </w:r>
        <w:r w:rsidR="00462EA2">
          <w:rPr>
            <w:noProof/>
            <w:webHidden/>
          </w:rPr>
          <w:tab/>
        </w:r>
        <w:r w:rsidR="00462EA2">
          <w:rPr>
            <w:noProof/>
            <w:webHidden/>
          </w:rPr>
          <w:fldChar w:fldCharType="begin"/>
        </w:r>
        <w:r w:rsidR="00462EA2">
          <w:rPr>
            <w:noProof/>
            <w:webHidden/>
          </w:rPr>
          <w:instrText xml:space="preserve"> PAGEREF _Toc234325845 \h </w:instrText>
        </w:r>
        <w:r w:rsidR="00462EA2">
          <w:rPr>
            <w:noProof/>
            <w:webHidden/>
          </w:rPr>
        </w:r>
        <w:r w:rsidR="00462EA2">
          <w:rPr>
            <w:noProof/>
            <w:webHidden/>
          </w:rPr>
          <w:fldChar w:fldCharType="separate"/>
        </w:r>
        <w:r w:rsidR="00462EA2">
          <w:rPr>
            <w:noProof/>
            <w:webHidden/>
          </w:rPr>
          <w:t>3</w:t>
        </w:r>
        <w:r w:rsidR="00462EA2">
          <w:rPr>
            <w:noProof/>
            <w:webHidden/>
          </w:rPr>
          <w:fldChar w:fldCharType="end"/>
        </w:r>
      </w:hyperlink>
    </w:p>
    <w:p w14:paraId="4AA94E6B" w14:textId="1F8082F2" w:rsidR="00462EA2" w:rsidRDefault="00462EA2">
      <w:pPr>
        <w:pStyle w:val="TOC1"/>
        <w:rPr>
          <w:noProof/>
          <w:kern w:val="2"/>
          <w:lang w:val="en-GB" w:eastAsia="en-GB"/>
          <w14:ligatures w14:val="standardContextual"/>
        </w:rPr>
      </w:pPr>
      <w:hyperlink w:anchor="_Toc234325846" w:history="1">
        <w:r w:rsidRPr="00A41303">
          <w:rPr>
            <w:rStyle w:val="Hyperlink"/>
            <w:rFonts w:ascii="Times New Roman" w:hAnsi="Times New Roman" w:cs="Times New Roman"/>
            <w:b/>
            <w:bCs/>
            <w:noProof/>
          </w:rPr>
          <w:t>Supplementary Note 2: Datasets benchmarked and reanalyzed</w:t>
        </w:r>
        <w:r>
          <w:rPr>
            <w:noProof/>
            <w:webHidden/>
          </w:rPr>
          <w:tab/>
        </w:r>
        <w:r>
          <w:rPr>
            <w:noProof/>
            <w:webHidden/>
          </w:rPr>
          <w:fldChar w:fldCharType="begin"/>
        </w:r>
        <w:r>
          <w:rPr>
            <w:noProof/>
            <w:webHidden/>
          </w:rPr>
          <w:instrText xml:space="preserve"> PAGEREF _Toc234325846 \h </w:instrText>
        </w:r>
        <w:r>
          <w:rPr>
            <w:noProof/>
            <w:webHidden/>
          </w:rPr>
        </w:r>
        <w:r>
          <w:rPr>
            <w:noProof/>
            <w:webHidden/>
          </w:rPr>
          <w:fldChar w:fldCharType="separate"/>
        </w:r>
        <w:r>
          <w:rPr>
            <w:noProof/>
            <w:webHidden/>
          </w:rPr>
          <w:t>3</w:t>
        </w:r>
        <w:r>
          <w:rPr>
            <w:noProof/>
            <w:webHidden/>
          </w:rPr>
          <w:fldChar w:fldCharType="end"/>
        </w:r>
      </w:hyperlink>
    </w:p>
    <w:p w14:paraId="5C324B24" w14:textId="5CDC7F10" w:rsidR="00462EA2" w:rsidRDefault="00462EA2">
      <w:pPr>
        <w:pStyle w:val="TOC1"/>
        <w:rPr>
          <w:noProof/>
          <w:kern w:val="2"/>
          <w:lang w:val="en-GB" w:eastAsia="en-GB"/>
          <w14:ligatures w14:val="standardContextual"/>
        </w:rPr>
      </w:pPr>
      <w:hyperlink w:anchor="_Toc234325847" w:history="1">
        <w:r w:rsidRPr="00A41303">
          <w:rPr>
            <w:rStyle w:val="Hyperlink"/>
            <w:rFonts w:ascii="Times New Roman" w:hAnsi="Times New Roman" w:cs="Times New Roman"/>
            <w:b/>
            <w:bCs/>
            <w:noProof/>
          </w:rPr>
          <w:t>Supplementary Note 3: Identification filtering and protein counting</w:t>
        </w:r>
        <w:r>
          <w:rPr>
            <w:noProof/>
            <w:webHidden/>
          </w:rPr>
          <w:tab/>
        </w:r>
        <w:r>
          <w:rPr>
            <w:noProof/>
            <w:webHidden/>
          </w:rPr>
          <w:fldChar w:fldCharType="begin"/>
        </w:r>
        <w:r>
          <w:rPr>
            <w:noProof/>
            <w:webHidden/>
          </w:rPr>
          <w:instrText xml:space="preserve"> PAGEREF _Toc234325847 \h </w:instrText>
        </w:r>
        <w:r>
          <w:rPr>
            <w:noProof/>
            <w:webHidden/>
          </w:rPr>
        </w:r>
        <w:r>
          <w:rPr>
            <w:noProof/>
            <w:webHidden/>
          </w:rPr>
          <w:fldChar w:fldCharType="separate"/>
        </w:r>
        <w:r>
          <w:rPr>
            <w:noProof/>
            <w:webHidden/>
          </w:rPr>
          <w:t>5</w:t>
        </w:r>
        <w:r>
          <w:rPr>
            <w:noProof/>
            <w:webHidden/>
          </w:rPr>
          <w:fldChar w:fldCharType="end"/>
        </w:r>
      </w:hyperlink>
    </w:p>
    <w:p w14:paraId="10798FFA" w14:textId="2B6FFE5A" w:rsidR="00462EA2" w:rsidRDefault="00462EA2">
      <w:pPr>
        <w:pStyle w:val="TOC1"/>
        <w:rPr>
          <w:noProof/>
          <w:kern w:val="2"/>
          <w:lang w:val="en-GB" w:eastAsia="en-GB"/>
          <w14:ligatures w14:val="standardContextual"/>
        </w:rPr>
      </w:pPr>
      <w:hyperlink w:anchor="_Toc234325848" w:history="1">
        <w:r w:rsidRPr="00A41303">
          <w:rPr>
            <w:rStyle w:val="Hyperlink"/>
            <w:rFonts w:ascii="Times New Roman" w:hAnsi="Times New Roman" w:cs="Times New Roman"/>
            <w:b/>
            <w:bCs/>
            <w:noProof/>
            <w:lang w:val="en-GB"/>
          </w:rPr>
          <w:t>Supplementary Note 4: Per-process runtime and resource envelopes</w:t>
        </w:r>
        <w:r>
          <w:rPr>
            <w:noProof/>
            <w:webHidden/>
          </w:rPr>
          <w:tab/>
        </w:r>
        <w:r>
          <w:rPr>
            <w:noProof/>
            <w:webHidden/>
          </w:rPr>
          <w:fldChar w:fldCharType="begin"/>
        </w:r>
        <w:r>
          <w:rPr>
            <w:noProof/>
            <w:webHidden/>
          </w:rPr>
          <w:instrText xml:space="preserve"> PAGEREF _Toc234325848 \h </w:instrText>
        </w:r>
        <w:r>
          <w:rPr>
            <w:noProof/>
            <w:webHidden/>
          </w:rPr>
        </w:r>
        <w:r>
          <w:rPr>
            <w:noProof/>
            <w:webHidden/>
          </w:rPr>
          <w:fldChar w:fldCharType="separate"/>
        </w:r>
        <w:r>
          <w:rPr>
            <w:noProof/>
            <w:webHidden/>
          </w:rPr>
          <w:t>6</w:t>
        </w:r>
        <w:r>
          <w:rPr>
            <w:noProof/>
            <w:webHidden/>
          </w:rPr>
          <w:fldChar w:fldCharType="end"/>
        </w:r>
      </w:hyperlink>
    </w:p>
    <w:p w14:paraId="229532E1" w14:textId="26CB9260" w:rsidR="00462EA2" w:rsidRDefault="00462EA2">
      <w:pPr>
        <w:pStyle w:val="TOC1"/>
        <w:rPr>
          <w:noProof/>
          <w:kern w:val="2"/>
          <w:lang w:val="en-GB" w:eastAsia="en-GB"/>
          <w14:ligatures w14:val="standardContextual"/>
        </w:rPr>
      </w:pPr>
      <w:hyperlink w:anchor="_Toc234325849" w:history="1">
        <w:r w:rsidRPr="00A41303">
          <w:rPr>
            <w:rStyle w:val="Hyperlink"/>
            <w:rFonts w:ascii="Times New Roman" w:hAnsi="Times New Roman" w:cs="Times New Roman"/>
            <w:b/>
            <w:bCs/>
            <w:noProof/>
            <w:lang w:val="en-GB"/>
          </w:rPr>
          <w:t>Supplementary Note 5: ProteoBench protein-group depth across DIA-NN versions</w:t>
        </w:r>
        <w:r>
          <w:rPr>
            <w:noProof/>
            <w:webHidden/>
          </w:rPr>
          <w:tab/>
        </w:r>
        <w:r>
          <w:rPr>
            <w:noProof/>
            <w:webHidden/>
          </w:rPr>
          <w:fldChar w:fldCharType="begin"/>
        </w:r>
        <w:r>
          <w:rPr>
            <w:noProof/>
            <w:webHidden/>
          </w:rPr>
          <w:instrText xml:space="preserve"> PAGEREF _Toc234325849 \h </w:instrText>
        </w:r>
        <w:r>
          <w:rPr>
            <w:noProof/>
            <w:webHidden/>
          </w:rPr>
        </w:r>
        <w:r>
          <w:rPr>
            <w:noProof/>
            <w:webHidden/>
          </w:rPr>
          <w:fldChar w:fldCharType="separate"/>
        </w:r>
        <w:r>
          <w:rPr>
            <w:noProof/>
            <w:webHidden/>
          </w:rPr>
          <w:t>7</w:t>
        </w:r>
        <w:r>
          <w:rPr>
            <w:noProof/>
            <w:webHidden/>
          </w:rPr>
          <w:fldChar w:fldCharType="end"/>
        </w:r>
      </w:hyperlink>
    </w:p>
    <w:p w14:paraId="50CD9909" w14:textId="2C081501" w:rsidR="00462EA2" w:rsidRDefault="00462EA2">
      <w:pPr>
        <w:pStyle w:val="TOC1"/>
        <w:rPr>
          <w:noProof/>
          <w:kern w:val="2"/>
          <w:lang w:val="en-GB" w:eastAsia="en-GB"/>
          <w14:ligatures w14:val="standardContextual"/>
        </w:rPr>
      </w:pPr>
      <w:hyperlink w:anchor="_Toc234325850" w:history="1">
        <w:r w:rsidRPr="00A41303">
          <w:rPr>
            <w:rStyle w:val="Hyperlink"/>
            <w:rFonts w:ascii="Times New Roman" w:hAnsi="Times New Roman" w:cs="Times New Roman"/>
            <w:b/>
            <w:bCs/>
            <w:noProof/>
            <w:lang w:val="en-GB"/>
          </w:rPr>
          <w:t>Supplementary Note 6: Per-cohort completeness and overlap (cell-line reanalyses)</w:t>
        </w:r>
        <w:r>
          <w:rPr>
            <w:noProof/>
            <w:webHidden/>
          </w:rPr>
          <w:tab/>
        </w:r>
        <w:r>
          <w:rPr>
            <w:noProof/>
            <w:webHidden/>
          </w:rPr>
          <w:fldChar w:fldCharType="begin"/>
        </w:r>
        <w:r>
          <w:rPr>
            <w:noProof/>
            <w:webHidden/>
          </w:rPr>
          <w:instrText xml:space="preserve"> PAGEREF _Toc234325850 \h </w:instrText>
        </w:r>
        <w:r>
          <w:rPr>
            <w:noProof/>
            <w:webHidden/>
          </w:rPr>
        </w:r>
        <w:r>
          <w:rPr>
            <w:noProof/>
            <w:webHidden/>
          </w:rPr>
          <w:fldChar w:fldCharType="separate"/>
        </w:r>
        <w:r>
          <w:rPr>
            <w:noProof/>
            <w:webHidden/>
          </w:rPr>
          <w:t>8</w:t>
        </w:r>
        <w:r>
          <w:rPr>
            <w:noProof/>
            <w:webHidden/>
          </w:rPr>
          <w:fldChar w:fldCharType="end"/>
        </w:r>
      </w:hyperlink>
    </w:p>
    <w:p w14:paraId="7A74CA0E" w14:textId="0F3755A1" w:rsidR="00462EA2" w:rsidRDefault="00462EA2">
      <w:pPr>
        <w:pStyle w:val="TOC1"/>
        <w:rPr>
          <w:noProof/>
          <w:kern w:val="2"/>
          <w:lang w:val="en-GB" w:eastAsia="en-GB"/>
          <w14:ligatures w14:val="standardContextual"/>
        </w:rPr>
      </w:pPr>
      <w:hyperlink w:anchor="_Toc234325851" w:history="1">
        <w:r w:rsidRPr="00A41303">
          <w:rPr>
            <w:rStyle w:val="Hyperlink"/>
            <w:rFonts w:ascii="Times New Roman" w:hAnsi="Times New Roman" w:cs="Times New Roman"/>
            <w:b/>
            <w:bCs/>
            <w:noProof/>
            <w:lang w:val="en-GB"/>
          </w:rPr>
          <w:t>Supplementary Note 7: Software and resources</w:t>
        </w:r>
        <w:r>
          <w:rPr>
            <w:noProof/>
            <w:webHidden/>
          </w:rPr>
          <w:tab/>
        </w:r>
        <w:r>
          <w:rPr>
            <w:noProof/>
            <w:webHidden/>
          </w:rPr>
          <w:fldChar w:fldCharType="begin"/>
        </w:r>
        <w:r>
          <w:rPr>
            <w:noProof/>
            <w:webHidden/>
          </w:rPr>
          <w:instrText xml:space="preserve"> PAGEREF _Toc234325851 \h </w:instrText>
        </w:r>
        <w:r>
          <w:rPr>
            <w:noProof/>
            <w:webHidden/>
          </w:rPr>
        </w:r>
        <w:r>
          <w:rPr>
            <w:noProof/>
            <w:webHidden/>
          </w:rPr>
          <w:fldChar w:fldCharType="separate"/>
        </w:r>
        <w:r>
          <w:rPr>
            <w:noProof/>
            <w:webHidden/>
          </w:rPr>
          <w:t>10</w:t>
        </w:r>
        <w:r>
          <w:rPr>
            <w:noProof/>
            <w:webHidden/>
          </w:rPr>
          <w:fldChar w:fldCharType="end"/>
        </w:r>
      </w:hyperlink>
    </w:p>
    <w:p w14:paraId="65F8F478" w14:textId="6D78687B" w:rsidR="00EE08B2" w:rsidRDefault="00EE08B2" w:rsidP="00EE08B2">
      <w:pPr>
        <w:spacing w:line="360" w:lineRule="auto"/>
        <w:jc w:val="both"/>
        <w:rPr>
          <w:rFonts w:ascii="Times New Roman" w:hAnsi="Times New Roman" w:cs="Times New Roman"/>
        </w:rPr>
      </w:pPr>
      <w:r>
        <w:rPr>
          <w:rFonts w:ascii="Times New Roman" w:hAnsi="Times New Roman" w:cs="Times New Roman"/>
        </w:rPr>
        <w:fldChar w:fldCharType="end"/>
      </w:r>
    </w:p>
    <w:p w14:paraId="7616949E" w14:textId="77777777" w:rsidR="00EE08B2" w:rsidRDefault="00EE08B2" w:rsidP="00EE08B2">
      <w:pPr>
        <w:spacing w:line="360" w:lineRule="auto"/>
        <w:jc w:val="both"/>
        <w:rPr>
          <w:rFonts w:ascii="Times New Roman" w:hAnsi="Times New Roman" w:cs="Times New Roman"/>
        </w:rPr>
      </w:pPr>
    </w:p>
    <w:p w14:paraId="3529350A" w14:textId="77777777" w:rsidR="00EE08B2" w:rsidRDefault="00EE08B2" w:rsidP="00EE08B2">
      <w:pPr>
        <w:spacing w:line="360" w:lineRule="auto"/>
        <w:jc w:val="both"/>
        <w:rPr>
          <w:rFonts w:ascii="Times New Roman" w:hAnsi="Times New Roman" w:cs="Times New Roman"/>
        </w:rPr>
      </w:pPr>
    </w:p>
    <w:p w14:paraId="43FB91A8" w14:textId="77777777" w:rsidR="00EE08B2" w:rsidRDefault="00EE08B2" w:rsidP="00EE08B2">
      <w:pPr>
        <w:spacing w:line="360" w:lineRule="auto"/>
        <w:jc w:val="both"/>
        <w:rPr>
          <w:rFonts w:ascii="Times New Roman" w:hAnsi="Times New Roman" w:cs="Times New Roman"/>
        </w:rPr>
      </w:pPr>
    </w:p>
    <w:p w14:paraId="6654A51B" w14:textId="77777777" w:rsidR="00EE08B2" w:rsidRDefault="00EE08B2" w:rsidP="00EE08B2">
      <w:pPr>
        <w:spacing w:line="360" w:lineRule="auto"/>
        <w:jc w:val="both"/>
        <w:rPr>
          <w:rFonts w:ascii="Times New Roman" w:hAnsi="Times New Roman" w:cs="Times New Roman"/>
        </w:rPr>
      </w:pPr>
    </w:p>
    <w:p w14:paraId="648784B9" w14:textId="77777777" w:rsidR="00EE08B2" w:rsidRDefault="00EE08B2" w:rsidP="00EE08B2">
      <w:pPr>
        <w:spacing w:line="360" w:lineRule="auto"/>
        <w:jc w:val="both"/>
        <w:rPr>
          <w:rFonts w:ascii="Times New Roman" w:hAnsi="Times New Roman" w:cs="Times New Roman"/>
        </w:rPr>
      </w:pPr>
    </w:p>
    <w:p w14:paraId="792A5E7B" w14:textId="77777777" w:rsidR="00EE08B2" w:rsidRDefault="00EE08B2" w:rsidP="00EE08B2">
      <w:pPr>
        <w:spacing w:line="360" w:lineRule="auto"/>
        <w:jc w:val="both"/>
        <w:rPr>
          <w:rFonts w:ascii="Times New Roman" w:hAnsi="Times New Roman" w:cs="Times New Roman"/>
        </w:rPr>
      </w:pPr>
    </w:p>
    <w:p w14:paraId="298F51B2" w14:textId="77777777" w:rsidR="00EE08B2" w:rsidRDefault="00EE08B2" w:rsidP="00EE08B2">
      <w:pPr>
        <w:spacing w:line="360" w:lineRule="auto"/>
        <w:jc w:val="both"/>
        <w:rPr>
          <w:rFonts w:ascii="Times New Roman" w:hAnsi="Times New Roman" w:cs="Times New Roman"/>
        </w:rPr>
      </w:pPr>
    </w:p>
    <w:p w14:paraId="34859B1E" w14:textId="77777777" w:rsidR="00EE08B2" w:rsidRDefault="00EE08B2" w:rsidP="00EE08B2">
      <w:pPr>
        <w:spacing w:line="360" w:lineRule="auto"/>
        <w:jc w:val="both"/>
        <w:rPr>
          <w:rFonts w:ascii="Times New Roman" w:hAnsi="Times New Roman" w:cs="Times New Roman"/>
        </w:rPr>
      </w:pPr>
    </w:p>
    <w:p w14:paraId="04A8BFB4" w14:textId="77777777" w:rsidR="00EE08B2" w:rsidRDefault="00EE08B2" w:rsidP="00EE08B2">
      <w:pPr>
        <w:spacing w:line="360" w:lineRule="auto"/>
        <w:jc w:val="both"/>
        <w:rPr>
          <w:rFonts w:ascii="Times New Roman" w:hAnsi="Times New Roman" w:cs="Times New Roman"/>
        </w:rPr>
      </w:pPr>
    </w:p>
    <w:p w14:paraId="1B91FE76" w14:textId="77777777" w:rsidR="00EE08B2" w:rsidRDefault="00EE08B2" w:rsidP="00EE08B2">
      <w:pPr>
        <w:spacing w:line="360" w:lineRule="auto"/>
        <w:jc w:val="both"/>
        <w:rPr>
          <w:rFonts w:ascii="Times New Roman" w:hAnsi="Times New Roman" w:cs="Times New Roman"/>
        </w:rPr>
      </w:pPr>
    </w:p>
    <w:p w14:paraId="67A24BF7" w14:textId="77777777" w:rsidR="00EE08B2" w:rsidRDefault="00EE08B2" w:rsidP="00EE08B2">
      <w:pPr>
        <w:spacing w:line="360" w:lineRule="auto"/>
        <w:jc w:val="both"/>
        <w:rPr>
          <w:rFonts w:ascii="Times New Roman" w:hAnsi="Times New Roman" w:cs="Times New Roman"/>
        </w:rPr>
      </w:pPr>
    </w:p>
    <w:p w14:paraId="0D26A1AC" w14:textId="77777777" w:rsidR="00EE08B2" w:rsidRDefault="00EE08B2" w:rsidP="00EE08B2">
      <w:pPr>
        <w:spacing w:line="360" w:lineRule="auto"/>
        <w:jc w:val="both"/>
        <w:rPr>
          <w:rFonts w:ascii="Times New Roman" w:hAnsi="Times New Roman" w:cs="Times New Roman"/>
        </w:rPr>
      </w:pPr>
    </w:p>
    <w:p w14:paraId="26F6BA29" w14:textId="77777777" w:rsidR="00EE08B2" w:rsidRDefault="00EE08B2" w:rsidP="00EE08B2">
      <w:pPr>
        <w:spacing w:line="360" w:lineRule="auto"/>
        <w:jc w:val="both"/>
        <w:rPr>
          <w:rFonts w:ascii="Times New Roman" w:hAnsi="Times New Roman" w:cs="Times New Roman"/>
        </w:rPr>
      </w:pPr>
    </w:p>
    <w:p w14:paraId="43CDFC02" w14:textId="77777777" w:rsidR="00EE08B2" w:rsidRDefault="00EE08B2" w:rsidP="00EE08B2">
      <w:pPr>
        <w:spacing w:line="360" w:lineRule="auto"/>
        <w:jc w:val="both"/>
        <w:rPr>
          <w:rFonts w:ascii="Times New Roman" w:hAnsi="Times New Roman" w:cs="Times New Roman"/>
        </w:rPr>
      </w:pPr>
    </w:p>
    <w:p w14:paraId="55EFEFC7" w14:textId="08A4DCE4" w:rsidR="00C90A64" w:rsidRDefault="00EE08B2" w:rsidP="00EE08B2">
      <w:pPr>
        <w:pStyle w:val="Heading1"/>
        <w:spacing w:line="360" w:lineRule="auto"/>
        <w:rPr>
          <w:rFonts w:ascii="Times New Roman" w:hAnsi="Times New Roman" w:cs="Times New Roman"/>
          <w:b/>
          <w:bCs/>
          <w:color w:val="auto"/>
          <w:sz w:val="24"/>
          <w:szCs w:val="24"/>
        </w:rPr>
      </w:pPr>
      <w:bookmarkStart w:id="1" w:name="_Toc234325845"/>
      <w:r w:rsidRPr="00EE08B2">
        <w:rPr>
          <w:rFonts w:ascii="Times New Roman" w:hAnsi="Times New Roman" w:cs="Times New Roman"/>
          <w:b/>
          <w:bCs/>
          <w:color w:val="auto"/>
          <w:sz w:val="24"/>
          <w:szCs w:val="24"/>
        </w:rPr>
        <w:lastRenderedPageBreak/>
        <w:t>Supplementary Note 1: Building DIA-NN container images</w:t>
      </w:r>
      <w:bookmarkEnd w:id="1"/>
    </w:p>
    <w:p w14:paraId="617BCB2C" w14:textId="16175B56" w:rsidR="00C90A64" w:rsidRPr="00ED6C02" w:rsidRDefault="00FD722C" w:rsidP="00EE08B2">
      <w:pPr>
        <w:spacing w:line="360" w:lineRule="auto"/>
        <w:jc w:val="both"/>
        <w:rPr>
          <w:rFonts w:ascii="Times New Roman" w:hAnsi="Times New Roman" w:cs="Times New Roman"/>
        </w:rPr>
      </w:pPr>
      <w:r w:rsidRPr="00ED6C02">
        <w:rPr>
          <w:rFonts w:ascii="Times New Roman" w:hAnsi="Times New Roman" w:cs="Times New Roman"/>
        </w:rPr>
        <w:t>Every quantmsdiann step runs in a versioned container (Docker, Singularity, or Apptainer). Most images are pulled automatically from public registries (BioContainer</w:t>
      </w:r>
      <w:r w:rsidR="00ED6C02">
        <w:rPr>
          <w:rFonts w:ascii="Times New Roman" w:hAnsi="Times New Roman" w:cs="Times New Roman"/>
        </w:rPr>
        <w:t>s</w:t>
      </w:r>
      <w:r w:rsidRPr="00ED6C02">
        <w:rPr>
          <w:rFonts w:ascii="Times New Roman" w:hAnsi="Times New Roman" w:cs="Times New Roman"/>
        </w:rPr>
        <w:t xml:space="preserve"> or </w:t>
      </w:r>
      <w:r w:rsidRPr="00ED6C02">
        <w:rPr>
          <w:rStyle w:val="VerbatimChar"/>
          <w:rFonts w:ascii="Times New Roman" w:hAnsi="Times New Roman" w:cs="Times New Roman"/>
          <w:sz w:val="24"/>
        </w:rPr>
        <w:t>ghcr.io/bigbio</w:t>
      </w:r>
      <w:r w:rsidRPr="00ED6C02">
        <w:rPr>
          <w:rFonts w:ascii="Times New Roman" w:hAnsi="Times New Roman" w:cs="Times New Roman"/>
        </w:rPr>
        <w:t xml:space="preserve">); </w:t>
      </w:r>
      <w:r w:rsidRPr="00ED6C02">
        <w:rPr>
          <w:rStyle w:val="VerbatimChar"/>
          <w:rFonts w:ascii="Times New Roman" w:hAnsi="Times New Roman" w:cs="Times New Roman"/>
          <w:sz w:val="24"/>
        </w:rPr>
        <w:t>DIA-NN</w:t>
      </w:r>
      <w:r w:rsidRPr="00ED6C02">
        <w:rPr>
          <w:rFonts w:ascii="Times New Roman" w:hAnsi="Times New Roman" w:cs="Times New Roman"/>
        </w:rPr>
        <w:t xml:space="preserve"> is the exception because its license restricts redistribution.</w:t>
      </w:r>
      <w:r w:rsidR="00EE08B2">
        <w:rPr>
          <w:rFonts w:ascii="Times New Roman" w:hAnsi="Times New Roman" w:cs="Times New Roman"/>
        </w:rPr>
        <w:t xml:space="preserve"> </w:t>
      </w:r>
      <w:r w:rsidRPr="00ED6C02">
        <w:rPr>
          <w:rFonts w:ascii="Times New Roman" w:hAnsi="Times New Roman" w:cs="Times New Roman"/>
        </w:rPr>
        <w:t xml:space="preserve">Only </w:t>
      </w:r>
      <w:r w:rsidRPr="00ED6C02">
        <w:rPr>
          <w:rStyle w:val="VerbatimChar"/>
          <w:rFonts w:ascii="Times New Roman" w:hAnsi="Times New Roman" w:cs="Times New Roman"/>
          <w:sz w:val="24"/>
        </w:rPr>
        <w:t>DIA-NN</w:t>
      </w:r>
      <w:r w:rsidRPr="00ED6C02">
        <w:rPr>
          <w:rFonts w:ascii="Times New Roman" w:hAnsi="Times New Roman" w:cs="Times New Roman"/>
        </w:rPr>
        <w:t> 1.8.1 may be redistributed, so it is shipped as the default and pulled from BioContainers (</w:t>
      </w:r>
      <w:r w:rsidRPr="00EE08B2">
        <w:rPr>
          <w:rStyle w:val="VerbatimChar"/>
          <w:rFonts w:ascii="Times New Roman" w:hAnsi="Times New Roman" w:cs="Times New Roman"/>
          <w:i/>
          <w:iCs/>
          <w:sz w:val="24"/>
        </w:rPr>
        <w:t>docker.io/biocontainers/diann:v1.8.1_cv1</w:t>
      </w:r>
      <w:r w:rsidRPr="00ED6C02">
        <w:rPr>
          <w:rFonts w:ascii="Times New Roman" w:hAnsi="Times New Roman" w:cs="Times New Roman"/>
        </w:rPr>
        <w:t xml:space="preserve">). Releases from 1.9 onward (1.9.2 through 2.5.1, including the 2.5.1-enterprise build) cannot be redistributed and are therefore </w:t>
      </w:r>
      <w:r w:rsidRPr="00ED6C02">
        <w:rPr>
          <w:rFonts w:ascii="Times New Roman" w:hAnsi="Times New Roman" w:cs="Times New Roman"/>
          <w:i/>
          <w:iCs/>
        </w:rPr>
        <w:t>not</w:t>
      </w:r>
      <w:r w:rsidRPr="00ED6C02">
        <w:rPr>
          <w:rFonts w:ascii="Times New Roman" w:hAnsi="Times New Roman" w:cs="Times New Roman"/>
        </w:rPr>
        <w:t xml:space="preserve"> shipped as images; instead, the companion </w:t>
      </w:r>
      <w:r w:rsidRPr="00ED6C02">
        <w:rPr>
          <w:rStyle w:val="VerbatimChar"/>
          <w:rFonts w:ascii="Times New Roman" w:hAnsi="Times New Roman" w:cs="Times New Roman"/>
          <w:sz w:val="24"/>
        </w:rPr>
        <w:t>quantms-containers</w:t>
      </w:r>
      <w:r w:rsidRPr="00ED6C02">
        <w:rPr>
          <w:rFonts w:ascii="Times New Roman" w:hAnsi="Times New Roman" w:cs="Times New Roman"/>
        </w:rPr>
        <w:t xml:space="preserve"> repository (</w:t>
      </w:r>
      <w:hyperlink r:id="rId7">
        <w:r w:rsidR="00C90A64" w:rsidRPr="00ED6C02">
          <w:rPr>
            <w:rStyle w:val="Hyperlink"/>
            <w:rFonts w:ascii="Times New Roman" w:hAnsi="Times New Roman" w:cs="Times New Roman"/>
          </w:rPr>
          <w:t>https://github.com/bigbio/quantms-containers</w:t>
        </w:r>
      </w:hyperlink>
      <w:r w:rsidRPr="00ED6C02">
        <w:rPr>
          <w:rFonts w:ascii="Times New Roman" w:hAnsi="Times New Roman" w:cs="Times New Roman"/>
        </w:rPr>
        <w:t>) provides one build recipe per release.</w:t>
      </w:r>
      <w:r w:rsidR="00EE08B2">
        <w:rPr>
          <w:rFonts w:ascii="Times New Roman" w:hAnsi="Times New Roman" w:cs="Times New Roman"/>
        </w:rPr>
        <w:t xml:space="preserve"> </w:t>
      </w:r>
      <w:r w:rsidRPr="00ED6C02">
        <w:rPr>
          <w:rFonts w:ascii="Times New Roman" w:hAnsi="Times New Roman" w:cs="Times New Roman"/>
        </w:rPr>
        <w:t xml:space="preserve">A user with a valid </w:t>
      </w:r>
      <w:r w:rsidRPr="00ED6C02">
        <w:rPr>
          <w:rStyle w:val="VerbatimChar"/>
          <w:rFonts w:ascii="Times New Roman" w:hAnsi="Times New Roman" w:cs="Times New Roman"/>
          <w:sz w:val="24"/>
        </w:rPr>
        <w:t>DIA-NN</w:t>
      </w:r>
      <w:r w:rsidRPr="00ED6C02">
        <w:rPr>
          <w:rFonts w:ascii="Times New Roman" w:hAnsi="Times New Roman" w:cs="Times New Roman"/>
        </w:rPr>
        <w:t xml:space="preserve"> download builds the image locally from the matching recipe, for example:</w:t>
      </w:r>
    </w:p>
    <w:p w14:paraId="652E4055" w14:textId="77777777" w:rsidR="00C90A64" w:rsidRPr="00765810" w:rsidRDefault="00FD722C" w:rsidP="00EE08B2">
      <w:pPr>
        <w:spacing w:line="360" w:lineRule="auto"/>
        <w:jc w:val="both"/>
        <w:rPr>
          <w:rFonts w:ascii="Times New Roman" w:hAnsi="Times New Roman" w:cs="Times New Roman"/>
          <w:i/>
          <w:iCs/>
        </w:rPr>
      </w:pPr>
      <w:r w:rsidRPr="00765810">
        <w:rPr>
          <w:rStyle w:val="VerbatimChar"/>
          <w:rFonts w:ascii="Times New Roman" w:hAnsi="Times New Roman" w:cs="Times New Roman"/>
          <w:i/>
          <w:iCs/>
          <w:sz w:val="24"/>
        </w:rPr>
        <w:t>cd diann-2.5.1 &amp;&amp; docker build -t ghcr.io/bigbio/diann:2.5.1 .</w:t>
      </w:r>
    </w:p>
    <w:p w14:paraId="3A66E58E" w14:textId="63EC775E" w:rsidR="00C90A64" w:rsidRPr="00ED6C02" w:rsidRDefault="00FD722C" w:rsidP="00EE08B2">
      <w:pPr>
        <w:spacing w:line="360" w:lineRule="auto"/>
        <w:jc w:val="both"/>
        <w:rPr>
          <w:rFonts w:ascii="Times New Roman" w:hAnsi="Times New Roman" w:cs="Times New Roman"/>
        </w:rPr>
      </w:pPr>
      <w:r w:rsidRPr="00ED6C02">
        <w:rPr>
          <w:rFonts w:ascii="Times New Roman" w:hAnsi="Times New Roman" w:cs="Times New Roman"/>
        </w:rPr>
        <w:t xml:space="preserve">For quantmsdiann to select a locally built image automatically, it must be tagged with the prefix </w:t>
      </w:r>
      <w:r w:rsidRPr="00ED6C02">
        <w:rPr>
          <w:rStyle w:val="VerbatimChar"/>
          <w:rFonts w:ascii="Times New Roman" w:hAnsi="Times New Roman" w:cs="Times New Roman"/>
          <w:sz w:val="24"/>
        </w:rPr>
        <w:t>ghcr.io/bigbio/diann:</w:t>
      </w:r>
      <w:r w:rsidRPr="00ED6C02">
        <w:rPr>
          <w:rFonts w:ascii="Times New Roman" w:hAnsi="Times New Roman" w:cs="Times New Roman"/>
        </w:rPr>
        <w:t xml:space="preserve"> followed by the release tag (e.g. </w:t>
      </w:r>
      <w:r w:rsidRPr="00ED6C02">
        <w:rPr>
          <w:rStyle w:val="VerbatimChar"/>
          <w:rFonts w:ascii="Times New Roman" w:hAnsi="Times New Roman" w:cs="Times New Roman"/>
          <w:sz w:val="24"/>
        </w:rPr>
        <w:t>ghcr.io/bigbio/diann:2.5.1</w:t>
      </w:r>
      <w:r w:rsidRPr="00ED6C02">
        <w:rPr>
          <w:rFonts w:ascii="Times New Roman" w:hAnsi="Times New Roman" w:cs="Times New Roman"/>
        </w:rPr>
        <w:t xml:space="preserve"> or </w:t>
      </w:r>
      <w:r w:rsidRPr="00ED6C02">
        <w:rPr>
          <w:rStyle w:val="VerbatimChar"/>
          <w:rFonts w:ascii="Times New Roman" w:hAnsi="Times New Roman" w:cs="Times New Roman"/>
          <w:sz w:val="24"/>
        </w:rPr>
        <w:t>ghcr.io/bigbio/diann:2.5.1-enterprise</w:t>
      </w:r>
      <w:r w:rsidRPr="00ED6C02">
        <w:rPr>
          <w:rFonts w:ascii="Times New Roman" w:hAnsi="Times New Roman" w:cs="Times New Roman"/>
        </w:rPr>
        <w:t xml:space="preserve">); the workflow then resolves the container for the requested version through the corresponding </w:t>
      </w:r>
      <w:r w:rsidRPr="00ED6C02">
        <w:rPr>
          <w:rStyle w:val="VerbatimChar"/>
          <w:rFonts w:ascii="Times New Roman" w:hAnsi="Times New Roman" w:cs="Times New Roman"/>
          <w:sz w:val="24"/>
        </w:rPr>
        <w:t>diann_v</w:t>
      </w:r>
      <w:r w:rsidRPr="00ED6C02">
        <w:rPr>
          <w:rStyle w:val="VerbatimChar"/>
          <w:rFonts w:ascii="Times New Roman" w:hAnsi="Times New Roman" w:cs="Times New Roman"/>
          <w:i/>
          <w:iCs/>
          <w:sz w:val="24"/>
        </w:rPr>
        <w:t>X_Y_Z</w:t>
      </w:r>
      <w:r w:rsidRPr="00ED6C02">
        <w:rPr>
          <w:rFonts w:ascii="Times New Roman" w:hAnsi="Times New Roman" w:cs="Times New Roman"/>
        </w:rPr>
        <w:t xml:space="preserve"> profile selected at runtime.</w:t>
      </w:r>
    </w:p>
    <w:p w14:paraId="188148E9" w14:textId="0B577262" w:rsidR="00C90A64" w:rsidRDefault="00EE08B2" w:rsidP="00EE08B2">
      <w:pPr>
        <w:pStyle w:val="Heading1"/>
        <w:spacing w:line="360" w:lineRule="auto"/>
        <w:rPr>
          <w:rFonts w:ascii="Times New Roman" w:hAnsi="Times New Roman" w:cs="Times New Roman"/>
          <w:b/>
          <w:bCs/>
          <w:color w:val="auto"/>
          <w:sz w:val="24"/>
          <w:szCs w:val="24"/>
        </w:rPr>
      </w:pPr>
      <w:bookmarkStart w:id="2" w:name="_Toc234325846"/>
      <w:bookmarkStart w:id="3" w:name="sec:supp-datasets"/>
      <w:bookmarkEnd w:id="0"/>
      <w:r w:rsidRPr="00EE08B2">
        <w:rPr>
          <w:rFonts w:ascii="Times New Roman" w:hAnsi="Times New Roman" w:cs="Times New Roman"/>
          <w:b/>
          <w:bCs/>
          <w:color w:val="auto"/>
          <w:sz w:val="24"/>
          <w:szCs w:val="24"/>
        </w:rPr>
        <w:t xml:space="preserve">Supplementary Note 2: Datasets benchmarked and </w:t>
      </w:r>
      <w:r>
        <w:rPr>
          <w:rFonts w:ascii="Times New Roman" w:hAnsi="Times New Roman" w:cs="Times New Roman"/>
          <w:b/>
          <w:bCs/>
          <w:color w:val="auto"/>
          <w:sz w:val="24"/>
          <w:szCs w:val="24"/>
        </w:rPr>
        <w:t>reanalyzed</w:t>
      </w:r>
      <w:bookmarkEnd w:id="2"/>
    </w:p>
    <w:p w14:paraId="32D6E1B2" w14:textId="2391B056" w:rsidR="00C90A64" w:rsidRPr="00ED6C02" w:rsidRDefault="00FD722C" w:rsidP="00EE08B2">
      <w:pPr>
        <w:spacing w:line="360" w:lineRule="auto"/>
        <w:jc w:val="both"/>
        <w:rPr>
          <w:rFonts w:ascii="Times New Roman" w:hAnsi="Times New Roman" w:cs="Times New Roman"/>
        </w:rPr>
      </w:pPr>
      <w:r w:rsidRPr="00EE08B2">
        <w:rPr>
          <w:rFonts w:ascii="Times New Roman" w:hAnsi="Times New Roman" w:cs="Times New Roman"/>
          <w:b/>
          <w:bCs/>
        </w:rPr>
        <w:t>Table </w:t>
      </w:r>
      <w:r w:rsidR="00EE08B2" w:rsidRPr="00EE08B2">
        <w:rPr>
          <w:rFonts w:ascii="Times New Roman" w:hAnsi="Times New Roman" w:cs="Times New Roman"/>
          <w:b/>
          <w:bCs/>
        </w:rPr>
        <w:t>1</w:t>
      </w:r>
      <w:r w:rsidR="00EE08B2">
        <w:rPr>
          <w:rFonts w:ascii="Times New Roman" w:hAnsi="Times New Roman" w:cs="Times New Roman"/>
        </w:rPr>
        <w:t xml:space="preserve"> </w:t>
      </w:r>
      <w:r w:rsidRPr="00ED6C02">
        <w:rPr>
          <w:rFonts w:ascii="Times New Roman" w:hAnsi="Times New Roman" w:cs="Times New Roman"/>
        </w:rPr>
        <w:t xml:space="preserve">lists every public dataset used in this study. For each dataset, an SDRF was prepared from the original sample metadata; every accession in the table below links to its validated SDRF in the curated </w:t>
      </w:r>
      <w:r w:rsidRPr="00ED6C02">
        <w:rPr>
          <w:rStyle w:val="VerbatimChar"/>
          <w:rFonts w:ascii="Times New Roman" w:hAnsi="Times New Roman" w:cs="Times New Roman"/>
          <w:sz w:val="24"/>
        </w:rPr>
        <w:t>bigbio/sdrf-annotated-datasets</w:t>
      </w:r>
      <w:r w:rsidRPr="00ED6C02">
        <w:rPr>
          <w:rFonts w:ascii="Times New Roman" w:hAnsi="Times New Roman" w:cs="Times New Roman"/>
        </w:rPr>
        <w:t xml:space="preserve"> collection (</w:t>
      </w:r>
      <w:hyperlink r:id="rId8">
        <w:r w:rsidR="00C90A64" w:rsidRPr="00ED6C02">
          <w:rPr>
            <w:rStyle w:val="Hyperlink"/>
            <w:rFonts w:ascii="Times New Roman" w:hAnsi="Times New Roman" w:cs="Times New Roman"/>
          </w:rPr>
          <w:t>https://github.com/bigbio/sdrf-annotated-datasets</w:t>
        </w:r>
      </w:hyperlink>
      <w:r w:rsidRPr="00ED6C02">
        <w:rPr>
          <w:rFonts w:ascii="Times New Roman" w:hAnsi="Times New Roman" w:cs="Times New Roman"/>
        </w:rPr>
        <w:t>). Raw files were downloaded from PRIDE and MassIVE using pridepy. For each cell-line reanalysis cohort, the original published quantification was downloaded from a public repository (the PRIDE deposition, or an associated repository such as figshare for ProCan) and used as the comparator. The cell-line bulk DIA cohorts were assembled by programmatic search of PRIDE Archive via the PRIDE API, filtering for projects annotated as DIA acquisition on human samples with at least one standardised cell line listed in the Cellosaurus reference, downloadable raw files, and SDRF-compatible sample metadata.</w:t>
      </w:r>
    </w:p>
    <w:p w14:paraId="789D3557" w14:textId="77777777" w:rsidR="00C90A64" w:rsidRPr="00ED6C02" w:rsidRDefault="00FD722C" w:rsidP="00EE08B2">
      <w:pPr>
        <w:spacing w:line="360" w:lineRule="auto"/>
        <w:jc w:val="both"/>
        <w:rPr>
          <w:rFonts w:ascii="Times New Roman" w:hAnsi="Times New Roman" w:cs="Times New Roman"/>
        </w:rPr>
      </w:pPr>
      <w:bookmarkStart w:id="4" w:name="tab:datasets-supp"/>
      <w:r w:rsidRPr="00ED6C02">
        <w:rPr>
          <w:rFonts w:ascii="Times New Roman" w:hAnsi="Times New Roman" w:cs="Times New Roman"/>
        </w:rPr>
        <w:t xml:space="preserve">Datasets benchmarked and reanalysed with quantmsdiann. The “Public date” column is the PRIDE/MassIVE public-release year of the deposit, which can predate the associated publication </w:t>
      </w:r>
      <w:r w:rsidRPr="00ED6C02">
        <w:rPr>
          <w:rFonts w:ascii="Times New Roman" w:hAnsi="Times New Roman" w:cs="Times New Roman"/>
        </w:rPr>
        <w:lastRenderedPageBreak/>
        <w:t xml:space="preserve">year cited in the main text (e.g. PXD003539 was deposited in 2016 and published as Guo </w:t>
      </w:r>
      <w:r w:rsidRPr="00ED6C02">
        <w:rPr>
          <w:rFonts w:ascii="Times New Roman" w:hAnsi="Times New Roman" w:cs="Times New Roman"/>
          <w:i/>
          <w:iCs/>
        </w:rPr>
        <w:t>et al.</w:t>
      </w:r>
      <w:r w:rsidRPr="00ED6C02">
        <w:rPr>
          <w:rFonts w:ascii="Times New Roman" w:hAnsi="Times New Roman" w:cs="Times New Roman"/>
        </w:rPr>
        <w:t xml:space="preserve"> 2019; PXD004701 deposited 2016, published as Sun </w:t>
      </w:r>
      <w:r w:rsidRPr="00ED6C02">
        <w:rPr>
          <w:rFonts w:ascii="Times New Roman" w:hAnsi="Times New Roman" w:cs="Times New Roman"/>
          <w:i/>
          <w:iCs/>
        </w:rPr>
        <w:t>et al.</w:t>
      </w:r>
      <w:r w:rsidRPr="00ED6C02">
        <w:rPr>
          <w:rFonts w:ascii="Times New Roman" w:hAnsi="Times New Roman" w:cs="Times New Roman"/>
        </w:rPr>
        <w:t> 2023).</w:t>
      </w:r>
    </w:p>
    <w:tbl>
      <w:tblPr>
        <w:tblStyle w:val="GridTable2-Accent1"/>
        <w:tblW w:w="0" w:type="auto"/>
        <w:tblLook w:val="0620" w:firstRow="1" w:lastRow="0" w:firstColumn="0" w:lastColumn="0" w:noHBand="1" w:noVBand="1"/>
      </w:tblPr>
      <w:tblGrid>
        <w:gridCol w:w="1735"/>
        <w:gridCol w:w="2191"/>
        <w:gridCol w:w="4175"/>
        <w:gridCol w:w="639"/>
        <w:gridCol w:w="620"/>
      </w:tblGrid>
      <w:tr w:rsidR="00C90A64" w:rsidRPr="00EE08B2" w14:paraId="37011A51" w14:textId="77777777" w:rsidTr="00EE08B2">
        <w:trPr>
          <w:cnfStyle w:val="100000000000" w:firstRow="1" w:lastRow="0" w:firstColumn="0" w:lastColumn="0" w:oddVBand="0" w:evenVBand="0" w:oddHBand="0" w:evenHBand="0" w:firstRowFirstColumn="0" w:firstRowLastColumn="0" w:lastRowFirstColumn="0" w:lastRowLastColumn="0"/>
        </w:trPr>
        <w:tc>
          <w:tcPr>
            <w:tcW w:w="0" w:type="auto"/>
          </w:tcPr>
          <w:p w14:paraId="421435FA"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Accession</w:t>
            </w:r>
          </w:p>
        </w:tc>
        <w:tc>
          <w:tcPr>
            <w:tcW w:w="0" w:type="auto"/>
          </w:tcPr>
          <w:p w14:paraId="1C679CE7"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Instrument</w:t>
            </w:r>
          </w:p>
        </w:tc>
        <w:tc>
          <w:tcPr>
            <w:tcW w:w="4045" w:type="dxa"/>
          </w:tcPr>
          <w:p w14:paraId="4DFAFEAB"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Type</w:t>
            </w:r>
          </w:p>
        </w:tc>
        <w:tc>
          <w:tcPr>
            <w:tcW w:w="0" w:type="auto"/>
            <w:gridSpan w:val="2"/>
          </w:tcPr>
          <w:p w14:paraId="3108BB2A"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Public date</w:t>
            </w:r>
          </w:p>
        </w:tc>
      </w:tr>
      <w:tr w:rsidR="00C90A64" w:rsidRPr="00EE08B2" w14:paraId="0DFF1E6E" w14:textId="77777777" w:rsidTr="00EE08B2">
        <w:trPr>
          <w:gridAfter w:val="1"/>
        </w:trPr>
        <w:tc>
          <w:tcPr>
            <w:tcW w:w="8785" w:type="dxa"/>
            <w:gridSpan w:val="4"/>
          </w:tcPr>
          <w:p w14:paraId="405B6A05" w14:textId="77777777" w:rsidR="00C90A64" w:rsidRPr="00EE08B2" w:rsidRDefault="00FD722C" w:rsidP="00EE08B2">
            <w:pPr>
              <w:spacing w:line="360" w:lineRule="auto"/>
              <w:jc w:val="both"/>
              <w:rPr>
                <w:rFonts w:ascii="Times New Roman" w:hAnsi="Times New Roman" w:cs="Times New Roman"/>
                <w:b/>
                <w:bCs/>
                <w:sz w:val="22"/>
                <w:szCs w:val="22"/>
              </w:rPr>
            </w:pPr>
            <w:r w:rsidRPr="00EE08B2">
              <w:rPr>
                <w:rFonts w:ascii="Times New Roman" w:hAnsi="Times New Roman" w:cs="Times New Roman"/>
                <w:b/>
                <w:bCs/>
                <w:i/>
                <w:iCs/>
                <w:sz w:val="22"/>
                <w:szCs w:val="22"/>
              </w:rPr>
              <w:t>ProteoBench benchmarks</w:t>
            </w:r>
          </w:p>
        </w:tc>
      </w:tr>
      <w:tr w:rsidR="00C90A64" w:rsidRPr="00EE08B2" w14:paraId="15CF9B14" w14:textId="77777777" w:rsidTr="00EE08B2">
        <w:tc>
          <w:tcPr>
            <w:tcW w:w="0" w:type="auto"/>
          </w:tcPr>
          <w:p w14:paraId="0F3F28EC"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PXD049412</w:t>
            </w:r>
          </w:p>
        </w:tc>
        <w:tc>
          <w:tcPr>
            <w:tcW w:w="0" w:type="auto"/>
          </w:tcPr>
          <w:p w14:paraId="051199BD"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Orbitrap Astral</w:t>
            </w:r>
          </w:p>
        </w:tc>
        <w:tc>
          <w:tcPr>
            <w:tcW w:w="4045" w:type="dxa"/>
          </w:tcPr>
          <w:p w14:paraId="0F439D63"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Single-cell (Module 9)</w:t>
            </w:r>
          </w:p>
        </w:tc>
        <w:tc>
          <w:tcPr>
            <w:tcW w:w="0" w:type="auto"/>
            <w:gridSpan w:val="2"/>
          </w:tcPr>
          <w:p w14:paraId="2FF99B82"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2024</w:t>
            </w:r>
          </w:p>
        </w:tc>
      </w:tr>
      <w:tr w:rsidR="00C90A64" w:rsidRPr="00EE08B2" w14:paraId="6FB1F80B" w14:textId="77777777" w:rsidTr="00EE08B2">
        <w:tc>
          <w:tcPr>
            <w:tcW w:w="0" w:type="auto"/>
          </w:tcPr>
          <w:p w14:paraId="587D015E"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PXD062685</w:t>
            </w:r>
          </w:p>
        </w:tc>
        <w:tc>
          <w:tcPr>
            <w:tcW w:w="0" w:type="auto"/>
          </w:tcPr>
          <w:p w14:paraId="4EAA4857"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timsTOF SCP</w:t>
            </w:r>
          </w:p>
        </w:tc>
        <w:tc>
          <w:tcPr>
            <w:tcW w:w="4045" w:type="dxa"/>
          </w:tcPr>
          <w:p w14:paraId="75A61F99"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diaPASEF (Module 5)</w:t>
            </w:r>
          </w:p>
        </w:tc>
        <w:tc>
          <w:tcPr>
            <w:tcW w:w="0" w:type="auto"/>
            <w:gridSpan w:val="2"/>
          </w:tcPr>
          <w:p w14:paraId="0117234D"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2025</w:t>
            </w:r>
          </w:p>
        </w:tc>
      </w:tr>
      <w:tr w:rsidR="00C90A64" w:rsidRPr="00EE08B2" w14:paraId="5CDE8234" w14:textId="77777777" w:rsidTr="00EE08B2">
        <w:tc>
          <w:tcPr>
            <w:tcW w:w="0" w:type="auto"/>
          </w:tcPr>
          <w:p w14:paraId="1985AB3F"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PXD070049</w:t>
            </w:r>
          </w:p>
        </w:tc>
        <w:tc>
          <w:tcPr>
            <w:tcW w:w="0" w:type="auto"/>
          </w:tcPr>
          <w:p w14:paraId="38074875"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ZenoTOF 7600</w:t>
            </w:r>
          </w:p>
        </w:tc>
        <w:tc>
          <w:tcPr>
            <w:tcW w:w="4045" w:type="dxa"/>
          </w:tcPr>
          <w:p w14:paraId="0A738FAB"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Mixed-species (Module 10)</w:t>
            </w:r>
          </w:p>
        </w:tc>
        <w:tc>
          <w:tcPr>
            <w:tcW w:w="0" w:type="auto"/>
            <w:gridSpan w:val="2"/>
          </w:tcPr>
          <w:p w14:paraId="0E5B3A76"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2025</w:t>
            </w:r>
          </w:p>
        </w:tc>
      </w:tr>
      <w:tr w:rsidR="00C90A64" w:rsidRPr="00EE08B2" w14:paraId="7274A42A" w14:textId="77777777" w:rsidTr="00EE08B2">
        <w:tc>
          <w:tcPr>
            <w:tcW w:w="0" w:type="auto"/>
          </w:tcPr>
          <w:p w14:paraId="5F35EDB7" w14:textId="69B06CAD" w:rsidR="00C90A64" w:rsidRPr="00EE08B2" w:rsidRDefault="00FD722C" w:rsidP="00EE08B2">
            <w:pPr>
              <w:rPr>
                <w:sz w:val="22"/>
                <w:szCs w:val="22"/>
              </w:rPr>
            </w:pPr>
            <w:r w:rsidRPr="00EE08B2">
              <w:rPr>
                <w:rFonts w:ascii="Times New Roman" w:hAnsi="Times New Roman" w:cs="Times New Roman"/>
                <w:sz w:val="22"/>
                <w:szCs w:val="22"/>
              </w:rPr>
              <w:t>Module 7</w:t>
            </w:r>
          </w:p>
        </w:tc>
        <w:tc>
          <w:tcPr>
            <w:tcW w:w="0" w:type="auto"/>
          </w:tcPr>
          <w:p w14:paraId="32ED63BE"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Orbitrap Astral</w:t>
            </w:r>
          </w:p>
        </w:tc>
        <w:tc>
          <w:tcPr>
            <w:tcW w:w="4045" w:type="dxa"/>
          </w:tcPr>
          <w:p w14:paraId="581836D4"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Mixed-species (Module 7)</w:t>
            </w:r>
          </w:p>
        </w:tc>
        <w:tc>
          <w:tcPr>
            <w:tcW w:w="0" w:type="auto"/>
            <w:gridSpan w:val="2"/>
          </w:tcPr>
          <w:p w14:paraId="33FC55CF"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2025</w:t>
            </w:r>
          </w:p>
        </w:tc>
      </w:tr>
      <w:tr w:rsidR="00C90A64" w:rsidRPr="00EE08B2" w14:paraId="206AD78D" w14:textId="77777777" w:rsidTr="00EE08B2">
        <w:trPr>
          <w:gridAfter w:val="1"/>
        </w:trPr>
        <w:tc>
          <w:tcPr>
            <w:tcW w:w="8785" w:type="dxa"/>
            <w:gridSpan w:val="4"/>
          </w:tcPr>
          <w:p w14:paraId="7FCAC169" w14:textId="77777777" w:rsidR="00C90A64" w:rsidRPr="00EE08B2" w:rsidRDefault="00FD722C" w:rsidP="00EE08B2">
            <w:pPr>
              <w:spacing w:line="360" w:lineRule="auto"/>
              <w:jc w:val="both"/>
              <w:rPr>
                <w:rFonts w:ascii="Times New Roman" w:hAnsi="Times New Roman" w:cs="Times New Roman"/>
                <w:b/>
                <w:bCs/>
                <w:sz w:val="22"/>
                <w:szCs w:val="22"/>
              </w:rPr>
            </w:pPr>
            <w:r w:rsidRPr="00EE08B2">
              <w:rPr>
                <w:rFonts w:ascii="Times New Roman" w:hAnsi="Times New Roman" w:cs="Times New Roman"/>
                <w:b/>
                <w:bCs/>
                <w:i/>
                <w:iCs/>
                <w:sz w:val="22"/>
                <w:szCs w:val="22"/>
              </w:rPr>
              <w:t>Bulk cell-line panel</w:t>
            </w:r>
          </w:p>
        </w:tc>
      </w:tr>
      <w:tr w:rsidR="00C90A64" w:rsidRPr="00EE08B2" w14:paraId="686D1A03" w14:textId="77777777" w:rsidTr="00EE08B2">
        <w:tc>
          <w:tcPr>
            <w:tcW w:w="0" w:type="auto"/>
          </w:tcPr>
          <w:p w14:paraId="3DDC002F"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PXD003539</w:t>
            </w:r>
          </w:p>
        </w:tc>
        <w:tc>
          <w:tcPr>
            <w:tcW w:w="0" w:type="auto"/>
          </w:tcPr>
          <w:p w14:paraId="3BFFDB40"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TripleTOF 5600</w:t>
            </w:r>
          </w:p>
        </w:tc>
        <w:tc>
          <w:tcPr>
            <w:tcW w:w="4045" w:type="dxa"/>
          </w:tcPr>
          <w:p w14:paraId="618AE75C"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Cell line (NCI-60)</w:t>
            </w:r>
          </w:p>
        </w:tc>
        <w:tc>
          <w:tcPr>
            <w:tcW w:w="0" w:type="auto"/>
            <w:gridSpan w:val="2"/>
          </w:tcPr>
          <w:p w14:paraId="28DAAEB5"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2016</w:t>
            </w:r>
          </w:p>
        </w:tc>
      </w:tr>
      <w:tr w:rsidR="00C90A64" w:rsidRPr="00EE08B2" w14:paraId="37A95FAB" w14:textId="77777777" w:rsidTr="00EE08B2">
        <w:tc>
          <w:tcPr>
            <w:tcW w:w="0" w:type="auto"/>
          </w:tcPr>
          <w:p w14:paraId="3C8BD123"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PXD030304</w:t>
            </w:r>
          </w:p>
        </w:tc>
        <w:tc>
          <w:tcPr>
            <w:tcW w:w="0" w:type="auto"/>
          </w:tcPr>
          <w:p w14:paraId="5AE302B5"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TripleTOF 6600</w:t>
            </w:r>
          </w:p>
        </w:tc>
        <w:tc>
          <w:tcPr>
            <w:tcW w:w="4045" w:type="dxa"/>
          </w:tcPr>
          <w:p w14:paraId="51EBAF2C"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Cell line (ProCan)</w:t>
            </w:r>
          </w:p>
        </w:tc>
        <w:tc>
          <w:tcPr>
            <w:tcW w:w="0" w:type="auto"/>
            <w:gridSpan w:val="2"/>
          </w:tcPr>
          <w:p w14:paraId="59AC0785"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2022</w:t>
            </w:r>
          </w:p>
        </w:tc>
      </w:tr>
      <w:tr w:rsidR="00C90A64" w:rsidRPr="00EE08B2" w14:paraId="2614F66A" w14:textId="77777777" w:rsidTr="00EE08B2">
        <w:tc>
          <w:tcPr>
            <w:tcW w:w="0" w:type="auto"/>
          </w:tcPr>
          <w:p w14:paraId="77C8019A"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PXD004701</w:t>
            </w:r>
          </w:p>
        </w:tc>
        <w:tc>
          <w:tcPr>
            <w:tcW w:w="0" w:type="auto"/>
          </w:tcPr>
          <w:p w14:paraId="4EF27305"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TripleTOF 5600</w:t>
            </w:r>
          </w:p>
        </w:tc>
        <w:tc>
          <w:tcPr>
            <w:tcW w:w="4045" w:type="dxa"/>
          </w:tcPr>
          <w:p w14:paraId="46336D3E"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Cell line (Sun 2023)</w:t>
            </w:r>
          </w:p>
        </w:tc>
        <w:tc>
          <w:tcPr>
            <w:tcW w:w="0" w:type="auto"/>
            <w:gridSpan w:val="2"/>
          </w:tcPr>
          <w:p w14:paraId="3DF2C8FA"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2016</w:t>
            </w:r>
          </w:p>
        </w:tc>
      </w:tr>
      <w:tr w:rsidR="00C90A64" w:rsidRPr="00EE08B2" w14:paraId="75446E57" w14:textId="77777777" w:rsidTr="00EE08B2">
        <w:tc>
          <w:tcPr>
            <w:tcW w:w="0" w:type="auto"/>
          </w:tcPr>
          <w:p w14:paraId="0D3E00F3"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PXD041421</w:t>
            </w:r>
          </w:p>
        </w:tc>
        <w:tc>
          <w:tcPr>
            <w:tcW w:w="0" w:type="auto"/>
          </w:tcPr>
          <w:p w14:paraId="1EB725D9"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timsTOF (diaPASEF)</w:t>
            </w:r>
          </w:p>
        </w:tc>
        <w:tc>
          <w:tcPr>
            <w:tcW w:w="4045" w:type="dxa"/>
          </w:tcPr>
          <w:p w14:paraId="7333B8D1"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Cell line (Wang 2023)</w:t>
            </w:r>
          </w:p>
        </w:tc>
        <w:tc>
          <w:tcPr>
            <w:tcW w:w="0" w:type="auto"/>
            <w:gridSpan w:val="2"/>
          </w:tcPr>
          <w:p w14:paraId="2246129A"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2023</w:t>
            </w:r>
          </w:p>
        </w:tc>
      </w:tr>
      <w:tr w:rsidR="00C90A64" w:rsidRPr="00EE08B2" w14:paraId="0705479F" w14:textId="77777777" w:rsidTr="00EE08B2">
        <w:tc>
          <w:tcPr>
            <w:tcW w:w="0" w:type="auto"/>
          </w:tcPr>
          <w:p w14:paraId="5D49FBFC"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PXD017199</w:t>
            </w:r>
          </w:p>
        </w:tc>
        <w:tc>
          <w:tcPr>
            <w:tcW w:w="0" w:type="auto"/>
          </w:tcPr>
          <w:p w14:paraId="7A54E077"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Q Exactive Plus</w:t>
            </w:r>
          </w:p>
        </w:tc>
        <w:tc>
          <w:tcPr>
            <w:tcW w:w="4045" w:type="dxa"/>
          </w:tcPr>
          <w:p w14:paraId="253420FB"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Cell line (Tognetti 2021)</w:t>
            </w:r>
          </w:p>
        </w:tc>
        <w:tc>
          <w:tcPr>
            <w:tcW w:w="0" w:type="auto"/>
            <w:gridSpan w:val="2"/>
          </w:tcPr>
          <w:p w14:paraId="5BE1F873"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2021</w:t>
            </w:r>
          </w:p>
        </w:tc>
      </w:tr>
      <w:tr w:rsidR="00C90A64" w:rsidRPr="00EE08B2" w14:paraId="43E68BFD" w14:textId="77777777" w:rsidTr="00EE08B2">
        <w:trPr>
          <w:gridAfter w:val="1"/>
        </w:trPr>
        <w:tc>
          <w:tcPr>
            <w:tcW w:w="8785" w:type="dxa"/>
            <w:gridSpan w:val="4"/>
          </w:tcPr>
          <w:p w14:paraId="70994B31" w14:textId="77777777" w:rsidR="00C90A64" w:rsidRPr="00EE08B2" w:rsidRDefault="00FD722C" w:rsidP="00EE08B2">
            <w:pPr>
              <w:spacing w:line="360" w:lineRule="auto"/>
              <w:jc w:val="both"/>
              <w:rPr>
                <w:rFonts w:ascii="Times New Roman" w:hAnsi="Times New Roman" w:cs="Times New Roman"/>
                <w:b/>
                <w:bCs/>
                <w:sz w:val="22"/>
                <w:szCs w:val="22"/>
              </w:rPr>
            </w:pPr>
            <w:r w:rsidRPr="00EE08B2">
              <w:rPr>
                <w:rFonts w:ascii="Times New Roman" w:hAnsi="Times New Roman" w:cs="Times New Roman"/>
                <w:b/>
                <w:bCs/>
                <w:i/>
                <w:iCs/>
                <w:sz w:val="22"/>
                <w:szCs w:val="22"/>
              </w:rPr>
              <w:t>Single-cell proteomics</w:t>
            </w:r>
          </w:p>
        </w:tc>
      </w:tr>
      <w:tr w:rsidR="00C90A64" w:rsidRPr="00EE08B2" w14:paraId="3E3CE59E" w14:textId="77777777" w:rsidTr="00EE08B2">
        <w:tc>
          <w:tcPr>
            <w:tcW w:w="0" w:type="auto"/>
          </w:tcPr>
          <w:p w14:paraId="7E95460B"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PXD046357</w:t>
            </w:r>
          </w:p>
        </w:tc>
        <w:tc>
          <w:tcPr>
            <w:tcW w:w="0" w:type="auto"/>
          </w:tcPr>
          <w:p w14:paraId="3FAD0BBB"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Orbitrap Astral</w:t>
            </w:r>
          </w:p>
        </w:tc>
        <w:tc>
          <w:tcPr>
            <w:tcW w:w="4045" w:type="dxa"/>
          </w:tcPr>
          <w:p w14:paraId="6CA7E8F6"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Single-cell HeLa (Astral)</w:t>
            </w:r>
          </w:p>
        </w:tc>
        <w:tc>
          <w:tcPr>
            <w:tcW w:w="0" w:type="auto"/>
            <w:gridSpan w:val="2"/>
          </w:tcPr>
          <w:p w14:paraId="00A11204"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2024</w:t>
            </w:r>
          </w:p>
        </w:tc>
      </w:tr>
      <w:tr w:rsidR="00C90A64" w:rsidRPr="00EE08B2" w14:paraId="1430E007" w14:textId="77777777" w:rsidTr="00EE08B2">
        <w:tc>
          <w:tcPr>
            <w:tcW w:w="0" w:type="auto"/>
          </w:tcPr>
          <w:p w14:paraId="4141A0C9"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PXD049412</w:t>
            </w:r>
          </w:p>
        </w:tc>
        <w:tc>
          <w:tcPr>
            <w:tcW w:w="0" w:type="auto"/>
          </w:tcPr>
          <w:p w14:paraId="0DC221C7"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Orbitrap Astral</w:t>
            </w:r>
          </w:p>
        </w:tc>
        <w:tc>
          <w:tcPr>
            <w:tcW w:w="4045" w:type="dxa"/>
          </w:tcPr>
          <w:p w14:paraId="6B969234" w14:textId="6169ECC3"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 xml:space="preserve">Single-cell A549/H460 (Bubis 2025; </w:t>
            </w:r>
            <w:r w:rsidR="00EE08B2" w:rsidRPr="00EE08B2">
              <w:rPr>
                <w:rFonts w:ascii="Times New Roman" w:hAnsi="Times New Roman" w:cs="Times New Roman"/>
                <w:sz w:val="22"/>
                <w:szCs w:val="22"/>
              </w:rPr>
              <w:t>also,</w:t>
            </w:r>
            <w:r w:rsidRPr="00EE08B2">
              <w:rPr>
                <w:rFonts w:ascii="Times New Roman" w:hAnsi="Times New Roman" w:cs="Times New Roman"/>
                <w:sz w:val="22"/>
                <w:szCs w:val="22"/>
              </w:rPr>
              <w:t xml:space="preserve"> Module 9 benchmark)</w:t>
            </w:r>
          </w:p>
        </w:tc>
        <w:tc>
          <w:tcPr>
            <w:tcW w:w="0" w:type="auto"/>
            <w:gridSpan w:val="2"/>
          </w:tcPr>
          <w:p w14:paraId="0A73B69A"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2024</w:t>
            </w:r>
          </w:p>
        </w:tc>
      </w:tr>
      <w:tr w:rsidR="00C90A64" w:rsidRPr="00EE08B2" w14:paraId="75C0D8B9" w14:textId="77777777" w:rsidTr="00EE08B2">
        <w:tc>
          <w:tcPr>
            <w:tcW w:w="0" w:type="auto"/>
          </w:tcPr>
          <w:p w14:paraId="320F3B38"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MSV000093870</w:t>
            </w:r>
          </w:p>
        </w:tc>
        <w:tc>
          <w:tcPr>
            <w:tcW w:w="0" w:type="auto"/>
          </w:tcPr>
          <w:p w14:paraId="0D5FA28C"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Q Exactive</w:t>
            </w:r>
          </w:p>
        </w:tc>
        <w:tc>
          <w:tcPr>
            <w:tcW w:w="4045" w:type="dxa"/>
          </w:tcPr>
          <w:p w14:paraId="28EB881D"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Single-cell oocyte plexDIA (Galatidou 2024)</w:t>
            </w:r>
          </w:p>
        </w:tc>
        <w:tc>
          <w:tcPr>
            <w:tcW w:w="0" w:type="auto"/>
            <w:gridSpan w:val="2"/>
          </w:tcPr>
          <w:p w14:paraId="6ED17D4D"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2024</w:t>
            </w:r>
          </w:p>
        </w:tc>
      </w:tr>
      <w:tr w:rsidR="00C90A64" w:rsidRPr="00EE08B2" w14:paraId="7E5C709D" w14:textId="77777777" w:rsidTr="00EE08B2">
        <w:trPr>
          <w:gridAfter w:val="1"/>
        </w:trPr>
        <w:tc>
          <w:tcPr>
            <w:tcW w:w="8785" w:type="dxa"/>
            <w:gridSpan w:val="4"/>
          </w:tcPr>
          <w:p w14:paraId="024724D3" w14:textId="77777777" w:rsidR="00C90A64" w:rsidRPr="00EE08B2" w:rsidRDefault="00FD722C" w:rsidP="00EE08B2">
            <w:pPr>
              <w:spacing w:line="360" w:lineRule="auto"/>
              <w:jc w:val="both"/>
              <w:rPr>
                <w:rFonts w:ascii="Times New Roman" w:hAnsi="Times New Roman" w:cs="Times New Roman"/>
                <w:b/>
                <w:bCs/>
                <w:sz w:val="22"/>
                <w:szCs w:val="22"/>
              </w:rPr>
            </w:pPr>
            <w:r w:rsidRPr="00EE08B2">
              <w:rPr>
                <w:rFonts w:ascii="Times New Roman" w:hAnsi="Times New Roman" w:cs="Times New Roman"/>
                <w:b/>
                <w:bCs/>
                <w:i/>
                <w:iCs/>
                <w:sz w:val="22"/>
                <w:szCs w:val="22"/>
              </w:rPr>
              <w:t>Phosphoproteomics</w:t>
            </w:r>
          </w:p>
        </w:tc>
      </w:tr>
      <w:tr w:rsidR="00C90A64" w:rsidRPr="00EE08B2" w14:paraId="0F11D2EA" w14:textId="77777777" w:rsidTr="00EE08B2">
        <w:tc>
          <w:tcPr>
            <w:tcW w:w="0" w:type="auto"/>
          </w:tcPr>
          <w:p w14:paraId="3B593F8F"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PXD034128</w:t>
            </w:r>
          </w:p>
        </w:tc>
        <w:tc>
          <w:tcPr>
            <w:tcW w:w="0" w:type="auto"/>
          </w:tcPr>
          <w:p w14:paraId="69E8198D"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timsTOF Pro</w:t>
            </w:r>
          </w:p>
        </w:tc>
        <w:tc>
          <w:tcPr>
            <w:tcW w:w="4045" w:type="dxa"/>
          </w:tcPr>
          <w:p w14:paraId="082936CE"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Phospho diaPASEF (Skowronek 2022)</w:t>
            </w:r>
          </w:p>
        </w:tc>
        <w:tc>
          <w:tcPr>
            <w:tcW w:w="0" w:type="auto"/>
            <w:gridSpan w:val="2"/>
          </w:tcPr>
          <w:p w14:paraId="302824A0"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2022</w:t>
            </w:r>
          </w:p>
        </w:tc>
      </w:tr>
      <w:tr w:rsidR="00C90A64" w:rsidRPr="00EE08B2" w14:paraId="5FEBA7F6" w14:textId="77777777" w:rsidTr="00EE08B2">
        <w:tc>
          <w:tcPr>
            <w:tcW w:w="0" w:type="auto"/>
          </w:tcPr>
          <w:p w14:paraId="39D504BE"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PXD034623</w:t>
            </w:r>
          </w:p>
        </w:tc>
        <w:tc>
          <w:tcPr>
            <w:tcW w:w="0" w:type="auto"/>
          </w:tcPr>
          <w:p w14:paraId="3C23CD88"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Orbitrap Exploris 480</w:t>
            </w:r>
          </w:p>
        </w:tc>
        <w:tc>
          <w:tcPr>
            <w:tcW w:w="4045" w:type="dxa"/>
          </w:tcPr>
          <w:p w14:paraId="4490B272"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Phospho directDIA (Galectin-1)</w:t>
            </w:r>
          </w:p>
        </w:tc>
        <w:tc>
          <w:tcPr>
            <w:tcW w:w="0" w:type="auto"/>
            <w:gridSpan w:val="2"/>
          </w:tcPr>
          <w:p w14:paraId="7E1AA9A9"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2023</w:t>
            </w:r>
          </w:p>
        </w:tc>
      </w:tr>
      <w:tr w:rsidR="00C90A64" w:rsidRPr="00EE08B2" w14:paraId="551708CA" w14:textId="77777777" w:rsidTr="00EE08B2">
        <w:tc>
          <w:tcPr>
            <w:tcW w:w="0" w:type="auto"/>
          </w:tcPr>
          <w:p w14:paraId="6E977409"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PXD049692</w:t>
            </w:r>
          </w:p>
        </w:tc>
        <w:tc>
          <w:tcPr>
            <w:tcW w:w="0" w:type="auto"/>
          </w:tcPr>
          <w:p w14:paraId="434B7E25"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timsTOF HT</w:t>
            </w:r>
          </w:p>
        </w:tc>
        <w:tc>
          <w:tcPr>
            <w:tcW w:w="4045" w:type="dxa"/>
          </w:tcPr>
          <w:p w14:paraId="42333B77"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Phospho diaPASEF (NK cells)</w:t>
            </w:r>
          </w:p>
        </w:tc>
        <w:tc>
          <w:tcPr>
            <w:tcW w:w="0" w:type="auto"/>
            <w:gridSpan w:val="2"/>
          </w:tcPr>
          <w:p w14:paraId="427D1EE5"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2024</w:t>
            </w:r>
          </w:p>
        </w:tc>
      </w:tr>
      <w:tr w:rsidR="00C90A64" w:rsidRPr="00EE08B2" w14:paraId="273A542F" w14:textId="77777777" w:rsidTr="00EE08B2">
        <w:trPr>
          <w:gridAfter w:val="1"/>
        </w:trPr>
        <w:tc>
          <w:tcPr>
            <w:tcW w:w="8785" w:type="dxa"/>
            <w:gridSpan w:val="4"/>
          </w:tcPr>
          <w:p w14:paraId="6FB8FFCD" w14:textId="77777777" w:rsidR="00C90A64" w:rsidRPr="00EE08B2" w:rsidRDefault="00FD722C" w:rsidP="00EE08B2">
            <w:pPr>
              <w:spacing w:line="360" w:lineRule="auto"/>
              <w:jc w:val="both"/>
              <w:rPr>
                <w:rFonts w:ascii="Times New Roman" w:hAnsi="Times New Roman" w:cs="Times New Roman"/>
                <w:b/>
                <w:bCs/>
                <w:sz w:val="22"/>
                <w:szCs w:val="22"/>
              </w:rPr>
            </w:pPr>
            <w:r w:rsidRPr="00EE08B2">
              <w:rPr>
                <w:rFonts w:ascii="Times New Roman" w:hAnsi="Times New Roman" w:cs="Times New Roman"/>
                <w:b/>
                <w:bCs/>
                <w:i/>
                <w:iCs/>
                <w:sz w:val="22"/>
                <w:szCs w:val="22"/>
              </w:rPr>
              <w:t>Spatial proteomics</w:t>
            </w:r>
          </w:p>
        </w:tc>
      </w:tr>
      <w:tr w:rsidR="00C90A64" w:rsidRPr="00EE08B2" w14:paraId="04FD74C4" w14:textId="77777777" w:rsidTr="00EE08B2">
        <w:tc>
          <w:tcPr>
            <w:tcW w:w="0" w:type="auto"/>
          </w:tcPr>
          <w:p w14:paraId="03BC5A88"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PXD064049</w:t>
            </w:r>
          </w:p>
        </w:tc>
        <w:tc>
          <w:tcPr>
            <w:tcW w:w="0" w:type="auto"/>
          </w:tcPr>
          <w:p w14:paraId="6BE9C382"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timsTOF SCP</w:t>
            </w:r>
          </w:p>
        </w:tc>
        <w:tc>
          <w:tcPr>
            <w:tcW w:w="4045" w:type="dxa"/>
          </w:tcPr>
          <w:p w14:paraId="01FE4399"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Spatial DVP, diaPASEF (MYCN neuroblastoma)</w:t>
            </w:r>
          </w:p>
        </w:tc>
        <w:tc>
          <w:tcPr>
            <w:tcW w:w="0" w:type="auto"/>
            <w:gridSpan w:val="2"/>
          </w:tcPr>
          <w:p w14:paraId="1273F151"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2025</w:t>
            </w:r>
          </w:p>
        </w:tc>
      </w:tr>
      <w:tr w:rsidR="00C90A64" w:rsidRPr="00EE08B2" w14:paraId="4F3811F1" w14:textId="77777777" w:rsidTr="00EE08B2">
        <w:trPr>
          <w:gridAfter w:val="1"/>
        </w:trPr>
        <w:tc>
          <w:tcPr>
            <w:tcW w:w="8785" w:type="dxa"/>
            <w:gridSpan w:val="4"/>
          </w:tcPr>
          <w:p w14:paraId="0A754080" w14:textId="77777777" w:rsidR="00C90A64" w:rsidRPr="00EE08B2" w:rsidRDefault="00FD722C" w:rsidP="00EE08B2">
            <w:pPr>
              <w:spacing w:line="360" w:lineRule="auto"/>
              <w:jc w:val="both"/>
              <w:rPr>
                <w:rFonts w:ascii="Times New Roman" w:hAnsi="Times New Roman" w:cs="Times New Roman"/>
                <w:b/>
                <w:bCs/>
                <w:sz w:val="22"/>
                <w:szCs w:val="22"/>
              </w:rPr>
            </w:pPr>
            <w:r w:rsidRPr="00EE08B2">
              <w:rPr>
                <w:rFonts w:ascii="Times New Roman" w:hAnsi="Times New Roman" w:cs="Times New Roman"/>
                <w:b/>
                <w:bCs/>
                <w:i/>
                <w:iCs/>
                <w:sz w:val="22"/>
                <w:szCs w:val="22"/>
              </w:rPr>
              <w:t>Scalability experiment</w:t>
            </w:r>
          </w:p>
        </w:tc>
      </w:tr>
      <w:tr w:rsidR="00C90A64" w:rsidRPr="00EE08B2" w14:paraId="79B71378" w14:textId="77777777" w:rsidTr="00EE08B2">
        <w:tc>
          <w:tcPr>
            <w:tcW w:w="0" w:type="auto"/>
          </w:tcPr>
          <w:p w14:paraId="3515212B"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PXD071075</w:t>
            </w:r>
          </w:p>
        </w:tc>
        <w:tc>
          <w:tcPr>
            <w:tcW w:w="0" w:type="auto"/>
          </w:tcPr>
          <w:p w14:paraId="06A64791"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Orbitrap Eclipse</w:t>
            </w:r>
          </w:p>
        </w:tc>
        <w:tc>
          <w:tcPr>
            <w:tcW w:w="4045" w:type="dxa"/>
          </w:tcPr>
          <w:p w14:paraId="34142A18"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Single-cell</w:t>
            </w:r>
          </w:p>
        </w:tc>
        <w:tc>
          <w:tcPr>
            <w:tcW w:w="0" w:type="auto"/>
            <w:gridSpan w:val="2"/>
          </w:tcPr>
          <w:p w14:paraId="049F98D7" w14:textId="77777777" w:rsidR="00C90A64" w:rsidRPr="00EE08B2" w:rsidRDefault="00FD722C" w:rsidP="00EE08B2">
            <w:pPr>
              <w:spacing w:line="360" w:lineRule="auto"/>
              <w:jc w:val="both"/>
              <w:rPr>
                <w:rFonts w:ascii="Times New Roman" w:hAnsi="Times New Roman" w:cs="Times New Roman"/>
                <w:sz w:val="22"/>
                <w:szCs w:val="22"/>
              </w:rPr>
            </w:pPr>
            <w:r w:rsidRPr="00EE08B2">
              <w:rPr>
                <w:rFonts w:ascii="Times New Roman" w:hAnsi="Times New Roman" w:cs="Times New Roman"/>
                <w:sz w:val="22"/>
                <w:szCs w:val="22"/>
              </w:rPr>
              <w:t>2025</w:t>
            </w:r>
          </w:p>
        </w:tc>
      </w:tr>
    </w:tbl>
    <w:p w14:paraId="686996AE" w14:textId="77777777" w:rsidR="00EE08B2" w:rsidRDefault="00EE08B2" w:rsidP="00EE08B2">
      <w:pPr>
        <w:spacing w:line="360" w:lineRule="auto"/>
        <w:jc w:val="both"/>
        <w:rPr>
          <w:rFonts w:ascii="Times New Roman" w:hAnsi="Times New Roman" w:cs="Times New Roman"/>
        </w:rPr>
      </w:pPr>
      <w:bookmarkStart w:id="5" w:name="sec:supp-filter"/>
      <w:bookmarkEnd w:id="3"/>
      <w:bookmarkEnd w:id="4"/>
    </w:p>
    <w:p w14:paraId="7F72D89A" w14:textId="6EA2EF89" w:rsidR="00C90A64" w:rsidRPr="00EE08B2" w:rsidRDefault="00EE08B2" w:rsidP="00EE08B2">
      <w:pPr>
        <w:pStyle w:val="Heading1"/>
        <w:spacing w:line="360" w:lineRule="auto"/>
        <w:rPr>
          <w:rFonts w:ascii="Times New Roman" w:hAnsi="Times New Roman" w:cs="Times New Roman"/>
          <w:b/>
          <w:bCs/>
          <w:color w:val="auto"/>
          <w:sz w:val="24"/>
          <w:szCs w:val="24"/>
        </w:rPr>
      </w:pPr>
      <w:bookmarkStart w:id="6" w:name="_Toc234325847"/>
      <w:r w:rsidRPr="00EE08B2">
        <w:rPr>
          <w:rFonts w:ascii="Times New Roman" w:hAnsi="Times New Roman" w:cs="Times New Roman"/>
          <w:b/>
          <w:bCs/>
          <w:color w:val="auto"/>
          <w:sz w:val="24"/>
          <w:szCs w:val="24"/>
        </w:rPr>
        <w:lastRenderedPageBreak/>
        <w:t>Supplementary Note 3: Identification filtering and protein counting</w:t>
      </w:r>
      <w:bookmarkEnd w:id="6"/>
    </w:p>
    <w:p w14:paraId="73EC8F71" w14:textId="60D27962" w:rsidR="00C90A64" w:rsidRPr="00ED6C02" w:rsidRDefault="00FD722C" w:rsidP="00462EA2">
      <w:pPr>
        <w:spacing w:line="360" w:lineRule="auto"/>
        <w:jc w:val="both"/>
        <w:rPr>
          <w:rFonts w:ascii="Times New Roman" w:hAnsi="Times New Roman" w:cs="Times New Roman"/>
        </w:rPr>
      </w:pPr>
      <w:r w:rsidRPr="00ED6C02">
        <w:rPr>
          <w:rFonts w:ascii="Times New Roman" w:hAnsi="Times New Roman" w:cs="Times New Roman"/>
        </w:rPr>
        <w:t xml:space="preserve">All quantmsdiann identification counts follow a single rule with exactly one admissible q-value filter per quantity and nothing else (no contaminant/target filter, no positive-quantity filter; zero quantities are counted; decoys are dropped). </w:t>
      </w:r>
      <w:r w:rsidRPr="00ED6C02">
        <w:rPr>
          <w:rFonts w:ascii="Times New Roman" w:hAnsi="Times New Roman" w:cs="Times New Roman"/>
          <w:i/>
          <w:iCs/>
        </w:rPr>
        <w:t>Per-run</w:t>
      </w:r>
      <w:r w:rsidRPr="00ED6C02">
        <w:rPr>
          <w:rFonts w:ascii="Times New Roman" w:hAnsi="Times New Roman" w:cs="Times New Roman"/>
        </w:rPr>
        <w:t xml:space="preserve"> numbers (per cell, per run): protein groups at </w:t>
      </w:r>
      <w:r w:rsidRPr="00ED6C02">
        <w:rPr>
          <w:rStyle w:val="VerbatimChar"/>
          <w:rFonts w:ascii="Times New Roman" w:hAnsi="Times New Roman" w:cs="Times New Roman"/>
          <w:sz w:val="24"/>
        </w:rPr>
        <w:t>PG.Q.Value</w:t>
      </w:r>
      <w:r w:rsidRPr="00ED6C02">
        <w:rPr>
          <w:rFonts w:ascii="Times New Roman" w:hAnsi="Times New Roman" w:cs="Times New Roman"/>
        </w:rPr>
        <w:t> </w:t>
      </w:r>
      <m:oMath>
        <m:r>
          <m:rPr>
            <m:sty m:val="p"/>
          </m:rPr>
          <w:rPr>
            <w:rFonts w:ascii="Cambria Math" w:hAnsi="Cambria Math" w:cs="Times New Roman"/>
          </w:rPr>
          <m:t>≤</m:t>
        </m:r>
        <m:r>
          <w:rPr>
            <w:rFonts w:ascii="Cambria Math" w:hAnsi="Cambria Math" w:cs="Times New Roman"/>
          </w:rPr>
          <m:t>0.01</m:t>
        </m:r>
      </m:oMath>
      <w:r w:rsidRPr="00ED6C02">
        <w:rPr>
          <w:rFonts w:ascii="Times New Roman" w:hAnsi="Times New Roman" w:cs="Times New Roman"/>
        </w:rPr>
        <w:t xml:space="preserve"> only; precursors at </w:t>
      </w:r>
      <w:r w:rsidRPr="00ED6C02">
        <w:rPr>
          <w:rStyle w:val="VerbatimChar"/>
          <w:rFonts w:ascii="Times New Roman" w:hAnsi="Times New Roman" w:cs="Times New Roman"/>
          <w:sz w:val="24"/>
        </w:rPr>
        <w:t>Q.Value</w:t>
      </w:r>
      <w:r w:rsidRPr="00ED6C02">
        <w:rPr>
          <w:rFonts w:ascii="Times New Roman" w:hAnsi="Times New Roman" w:cs="Times New Roman"/>
        </w:rPr>
        <w:t> </w:t>
      </w:r>
      <m:oMath>
        <m:r>
          <m:rPr>
            <m:sty m:val="p"/>
          </m:rPr>
          <w:rPr>
            <w:rFonts w:ascii="Cambria Math" w:hAnsi="Cambria Math" w:cs="Times New Roman"/>
          </w:rPr>
          <m:t>≤</m:t>
        </m:r>
        <m:r>
          <w:rPr>
            <w:rFonts w:ascii="Cambria Math" w:hAnsi="Cambria Math" w:cs="Times New Roman"/>
          </w:rPr>
          <m:t>0.01</m:t>
        </m:r>
      </m:oMath>
      <w:r w:rsidRPr="00ED6C02">
        <w:rPr>
          <w:rFonts w:ascii="Times New Roman" w:hAnsi="Times New Roman" w:cs="Times New Roman"/>
        </w:rPr>
        <w:t xml:space="preserve"> only. </w:t>
      </w:r>
      <w:r w:rsidRPr="00ED6C02">
        <w:rPr>
          <w:rFonts w:ascii="Times New Roman" w:hAnsi="Times New Roman" w:cs="Times New Roman"/>
          <w:i/>
          <w:iCs/>
        </w:rPr>
        <w:t>Global</w:t>
      </w:r>
      <w:r w:rsidRPr="00ED6C02">
        <w:rPr>
          <w:rFonts w:ascii="Times New Roman" w:hAnsi="Times New Roman" w:cs="Times New Roman"/>
        </w:rPr>
        <w:t xml:space="preserve"> (dataset-total/union) numbers: protein groups at </w:t>
      </w:r>
      <w:r w:rsidRPr="00ED6C02">
        <w:rPr>
          <w:rStyle w:val="VerbatimChar"/>
          <w:rFonts w:ascii="Times New Roman" w:hAnsi="Times New Roman" w:cs="Times New Roman"/>
          <w:sz w:val="24"/>
        </w:rPr>
        <w:t>Lib.PG.Q.Value</w:t>
      </w:r>
      <w:r w:rsidRPr="00ED6C02">
        <w:rPr>
          <w:rFonts w:ascii="Times New Roman" w:hAnsi="Times New Roman" w:cs="Times New Roman"/>
        </w:rPr>
        <w:t> </w:t>
      </w:r>
      <m:oMath>
        <m:r>
          <m:rPr>
            <m:sty m:val="p"/>
          </m:rPr>
          <w:rPr>
            <w:rFonts w:ascii="Cambria Math" w:hAnsi="Cambria Math" w:cs="Times New Roman"/>
          </w:rPr>
          <m:t>≤</m:t>
        </m:r>
        <m:r>
          <w:rPr>
            <w:rFonts w:ascii="Cambria Math" w:hAnsi="Cambria Math" w:cs="Times New Roman"/>
          </w:rPr>
          <m:t>0.01</m:t>
        </m:r>
      </m:oMath>
      <w:r w:rsidRPr="00ED6C02">
        <w:rPr>
          <w:rFonts w:ascii="Times New Roman" w:hAnsi="Times New Roman" w:cs="Times New Roman"/>
        </w:rPr>
        <w:t xml:space="preserve"> only; precursors at </w:t>
      </w:r>
      <w:r w:rsidRPr="00ED6C02">
        <w:rPr>
          <w:rStyle w:val="VerbatimChar"/>
          <w:rFonts w:ascii="Times New Roman" w:hAnsi="Times New Roman" w:cs="Times New Roman"/>
          <w:sz w:val="24"/>
        </w:rPr>
        <w:t>Lib.Q.Value</w:t>
      </w:r>
      <w:r w:rsidRPr="00ED6C02">
        <w:rPr>
          <w:rFonts w:ascii="Times New Roman" w:hAnsi="Times New Roman" w:cs="Times New Roman"/>
        </w:rPr>
        <w:t> </w:t>
      </w:r>
      <m:oMath>
        <m:r>
          <m:rPr>
            <m:sty m:val="p"/>
          </m:rPr>
          <w:rPr>
            <w:rFonts w:ascii="Cambria Math" w:hAnsi="Cambria Math" w:cs="Times New Roman"/>
          </w:rPr>
          <m:t>≤</m:t>
        </m:r>
        <m:r>
          <w:rPr>
            <w:rFonts w:ascii="Cambria Math" w:hAnsi="Cambria Math" w:cs="Times New Roman"/>
          </w:rPr>
          <m:t>0.01</m:t>
        </m:r>
      </m:oMath>
      <w:r w:rsidRPr="00ED6C02">
        <w:rPr>
          <w:rFonts w:ascii="Times New Roman" w:hAnsi="Times New Roman" w:cs="Times New Roman"/>
        </w:rPr>
        <w:t xml:space="preserve"> only. For deposited datasets</w:t>
      </w:r>
      <w:r w:rsidR="00EE08B2">
        <w:rPr>
          <w:rFonts w:ascii="Times New Roman" w:hAnsi="Times New Roman" w:cs="Times New Roman"/>
        </w:rPr>
        <w:t>,</w:t>
      </w:r>
      <w:r w:rsidRPr="00ED6C02">
        <w:rPr>
          <w:rFonts w:ascii="Times New Roman" w:hAnsi="Times New Roman" w:cs="Times New Roman"/>
        </w:rPr>
        <w:t xml:space="preserve"> the “original” count is the deposited analysis result: the row count of the deposited </w:t>
      </w:r>
      <w:r w:rsidRPr="00ED6C02">
        <w:rPr>
          <w:rStyle w:val="VerbatimChar"/>
          <w:rFonts w:ascii="Times New Roman" w:hAnsi="Times New Roman" w:cs="Times New Roman"/>
          <w:sz w:val="24"/>
        </w:rPr>
        <w:t>pg_matrix</w:t>
      </w:r>
      <w:r w:rsidRPr="00ED6C02">
        <w:rPr>
          <w:rFonts w:ascii="Times New Roman" w:hAnsi="Times New Roman" w:cs="Times New Roman"/>
        </w:rPr>
        <w:t>/</w:t>
      </w:r>
      <w:r w:rsidRPr="00ED6C02">
        <w:rPr>
          <w:rStyle w:val="VerbatimChar"/>
          <w:rFonts w:ascii="Times New Roman" w:hAnsi="Times New Roman" w:cs="Times New Roman"/>
          <w:sz w:val="24"/>
        </w:rPr>
        <w:t>pr_matrix</w:t>
      </w:r>
      <w:r w:rsidRPr="00ED6C02">
        <w:rPr>
          <w:rFonts w:ascii="Times New Roman" w:hAnsi="Times New Roman" w:cs="Times New Roman"/>
        </w:rPr>
        <w:t xml:space="preserve"> where only a count matrix is available (HeLa, spatial), or a protein count recomputed from the deposited search output for the reanalysis-recovery cohorts (NCI-60, ProCan, Sun; see below). In plexDIA mode</w:t>
      </w:r>
      <w:r w:rsidR="00EE08B2">
        <w:rPr>
          <w:rFonts w:ascii="Times New Roman" w:hAnsi="Times New Roman" w:cs="Times New Roman"/>
        </w:rPr>
        <w:t>,</w:t>
      </w:r>
      <w:r w:rsidRPr="00ED6C02">
        <w:rPr>
          <w:rFonts w:ascii="Times New Roman" w:hAnsi="Times New Roman" w:cs="Times New Roman"/>
        </w:rPr>
        <w:t xml:space="preserve"> the channel is the per-run unit, so per-cell precursors are counted at </w:t>
      </w:r>
      <w:r w:rsidRPr="00ED6C02">
        <w:rPr>
          <w:rStyle w:val="VerbatimChar"/>
          <w:rFonts w:ascii="Times New Roman" w:hAnsi="Times New Roman" w:cs="Times New Roman"/>
          <w:sz w:val="24"/>
        </w:rPr>
        <w:t>Channel.Q.Value</w:t>
      </w:r>
      <w:r w:rsidRPr="00ED6C02">
        <w:rPr>
          <w:rFonts w:ascii="Times New Roman" w:hAnsi="Times New Roman" w:cs="Times New Roman"/>
        </w:rPr>
        <w:t> </w:t>
      </w:r>
      <m:oMath>
        <m:r>
          <m:rPr>
            <m:sty m:val="p"/>
          </m:rPr>
          <w:rPr>
            <w:rFonts w:ascii="Cambria Math" w:hAnsi="Cambria Math" w:cs="Times New Roman"/>
          </w:rPr>
          <m:t>≤</m:t>
        </m:r>
        <m:r>
          <w:rPr>
            <w:rFonts w:ascii="Cambria Math" w:hAnsi="Cambria Math" w:cs="Times New Roman"/>
          </w:rPr>
          <m:t>0.01</m:t>
        </m:r>
      </m:oMath>
      <w:r w:rsidRPr="00ED6C02">
        <w:rPr>
          <w:rFonts w:ascii="Times New Roman" w:hAnsi="Times New Roman" w:cs="Times New Roman"/>
        </w:rPr>
        <w:t xml:space="preserve"> in addition to </w:t>
      </w:r>
      <w:r w:rsidRPr="00ED6C02">
        <w:rPr>
          <w:rStyle w:val="VerbatimChar"/>
          <w:rFonts w:ascii="Times New Roman" w:hAnsi="Times New Roman" w:cs="Times New Roman"/>
          <w:sz w:val="24"/>
        </w:rPr>
        <w:t>Q.Value</w:t>
      </w:r>
      <w:r w:rsidRPr="00ED6C02">
        <w:rPr>
          <w:rFonts w:ascii="Times New Roman" w:hAnsi="Times New Roman" w:cs="Times New Roman"/>
        </w:rPr>
        <w:t> </w:t>
      </w:r>
      <m:oMath>
        <m:r>
          <m:rPr>
            <m:sty m:val="p"/>
          </m:rPr>
          <w:rPr>
            <w:rFonts w:ascii="Cambria Math" w:hAnsi="Cambria Math" w:cs="Times New Roman"/>
          </w:rPr>
          <m:t>≤</m:t>
        </m:r>
        <m:r>
          <w:rPr>
            <w:rFonts w:ascii="Cambria Math" w:hAnsi="Cambria Math" w:cs="Times New Roman"/>
          </w:rPr>
          <m:t>0.01</m:t>
        </m:r>
      </m:oMath>
      <w:r w:rsidRPr="00ED6C02">
        <w:rPr>
          <w:rFonts w:ascii="Times New Roman" w:hAnsi="Times New Roman" w:cs="Times New Roman"/>
        </w:rPr>
        <w:t xml:space="preserve">. plexDIA protein-group identification counts are not compared across </w:t>
      </w:r>
      <w:r w:rsidRPr="00ED6C02">
        <w:rPr>
          <w:rStyle w:val="VerbatimChar"/>
          <w:rFonts w:ascii="Times New Roman" w:hAnsi="Times New Roman" w:cs="Times New Roman"/>
          <w:sz w:val="24"/>
        </w:rPr>
        <w:t>DIA-NN</w:t>
      </w:r>
      <w:r w:rsidRPr="00ED6C02">
        <w:rPr>
          <w:rFonts w:ascii="Times New Roman" w:hAnsi="Times New Roman" w:cs="Times New Roman"/>
        </w:rPr>
        <w:t xml:space="preserve"> versions, because the channel-level </w:t>
      </w:r>
      <w:r w:rsidRPr="00ED6C02">
        <w:rPr>
          <w:rStyle w:val="VerbatimChar"/>
          <w:rFonts w:ascii="Times New Roman" w:hAnsi="Times New Roman" w:cs="Times New Roman"/>
          <w:sz w:val="24"/>
        </w:rPr>
        <w:t>PG.Q.Value</w:t>
      </w:r>
      <w:r w:rsidRPr="00ED6C02">
        <w:rPr>
          <w:rFonts w:ascii="Times New Roman" w:hAnsi="Times New Roman" w:cs="Times New Roman"/>
        </w:rPr>
        <w:t xml:space="preserve"> confidence used here is not defined in pre-2.0 output; for plexDIA</w:t>
      </w:r>
      <w:r w:rsidR="00EE08B2">
        <w:rPr>
          <w:rFonts w:ascii="Times New Roman" w:hAnsi="Times New Roman" w:cs="Times New Roman"/>
        </w:rPr>
        <w:t>,</w:t>
      </w:r>
      <w:r w:rsidRPr="00ED6C02">
        <w:rPr>
          <w:rFonts w:ascii="Times New Roman" w:hAnsi="Times New Roman" w:cs="Times New Roman"/>
        </w:rPr>
        <w:t xml:space="preserve"> we report quantmsdiann depth on its own and assess reproducibility against the deposited analysis rather than an identification gain. For the reanalysis-recovery figure, each “original” count is recomputed from the deposited or public-repository data rather than transcribed from the paper, so every bar is reproducible: NCI-60 (PXD003539) and Sun (PXD004701) from the deposited PRIDE OpenSWATH analyses (for NCI-60, proteins with </w:t>
      </w:r>
      <m:oMath>
        <m:r>
          <m:rPr>
            <m:sty m:val="p"/>
          </m:rPr>
          <w:rPr>
            <w:rFonts w:ascii="Cambria Math" w:hAnsi="Cambria Math" w:cs="Times New Roman"/>
          </w:rPr>
          <m:t>≥</m:t>
        </m:r>
        <m:r>
          <w:rPr>
            <w:rFonts w:ascii="Cambria Math" w:hAnsi="Cambria Math" w:cs="Times New Roman"/>
          </w:rPr>
          <m:t>2</m:t>
        </m:r>
      </m:oMath>
      <w:r w:rsidRPr="00ED6C02">
        <w:rPr>
          <w:rFonts w:ascii="Times New Roman" w:hAnsi="Times New Roman" w:cs="Times New Roman"/>
        </w:rPr>
        <w:t xml:space="preserve"> distinct peptides in </w:t>
      </w:r>
      <w:r w:rsidRPr="00ED6C02">
        <w:rPr>
          <w:rStyle w:val="VerbatimChar"/>
          <w:rFonts w:ascii="Times New Roman" w:hAnsi="Times New Roman" w:cs="Times New Roman"/>
          <w:sz w:val="24"/>
        </w:rPr>
        <w:t>feature_alignment_requant_matrix.tsv</w:t>
      </w:r>
      <w:r w:rsidRPr="00ED6C02">
        <w:rPr>
          <w:rFonts w:ascii="Times New Roman" w:hAnsi="Times New Roman" w:cs="Times New Roman"/>
        </w:rPr>
        <w:t>, reproducing the published 4,284; for Sun, proteotypic SwissProt proteins at the OpenSWATH peak-group q-value </w:t>
      </w:r>
      <m:oMath>
        <m:r>
          <m:rPr>
            <m:sty m:val="p"/>
          </m:rPr>
          <w:rPr>
            <w:rFonts w:ascii="Cambria Math" w:hAnsi="Cambria Math" w:cs="Times New Roman"/>
          </w:rPr>
          <m:t>≤</m:t>
        </m:r>
        <m:r>
          <w:rPr>
            <w:rFonts w:ascii="Cambria Math" w:hAnsi="Cambria Math" w:cs="Times New Roman"/>
          </w:rPr>
          <m:t>0.01</m:t>
        </m:r>
      </m:oMath>
      <w:r w:rsidRPr="00ED6C02">
        <w:rPr>
          <w:rFonts w:ascii="Times New Roman" w:hAnsi="Times New Roman" w:cs="Times New Roman"/>
        </w:rPr>
        <w:t xml:space="preserve"> in </w:t>
      </w:r>
      <w:r w:rsidRPr="00ED6C02">
        <w:rPr>
          <w:rStyle w:val="VerbatimChar"/>
          <w:rFonts w:ascii="Times New Roman" w:hAnsi="Times New Roman" w:cs="Times New Roman"/>
          <w:sz w:val="24"/>
        </w:rPr>
        <w:t>1R_all_id.txt</w:t>
      </w:r>
      <w:r w:rsidRPr="00ED6C02">
        <w:rPr>
          <w:rFonts w:ascii="Times New Roman" w:hAnsi="Times New Roman" w:cs="Times New Roman"/>
        </w:rPr>
        <w:t xml:space="preserve">, 6,183, reproducing the published </w:t>
      </w:r>
      <m:oMath>
        <m:r>
          <m:rPr>
            <m:sty m:val="p"/>
          </m:rPr>
          <w:rPr>
            <w:rFonts w:ascii="Cambria Math" w:hAnsi="Cambria Math" w:cs="Times New Roman"/>
          </w:rPr>
          <m:t>∼</m:t>
        </m:r>
      </m:oMath>
      <w:r w:rsidRPr="00ED6C02">
        <w:rPr>
          <w:rFonts w:ascii="Times New Roman" w:hAnsi="Times New Roman" w:cs="Times New Roman"/>
        </w:rPr>
        <w:t xml:space="preserve">6,091), and ProCan (PXD030304) from the authors’ figshare peptide-count matrix (proteins with </w:t>
      </w:r>
      <m:oMath>
        <m:r>
          <m:rPr>
            <m:sty m:val="p"/>
          </m:rPr>
          <w:rPr>
            <w:rFonts w:ascii="Cambria Math" w:hAnsi="Cambria Math" w:cs="Times New Roman"/>
          </w:rPr>
          <m:t>≥</m:t>
        </m:r>
        <m:r>
          <w:rPr>
            <w:rFonts w:ascii="Cambria Math" w:hAnsi="Cambria Math" w:cs="Times New Roman"/>
          </w:rPr>
          <m:t>2</m:t>
        </m:r>
      </m:oMath>
      <w:r w:rsidRPr="00ED6C02">
        <w:rPr>
          <w:rFonts w:ascii="Times New Roman" w:hAnsi="Times New Roman" w:cs="Times New Roman"/>
        </w:rPr>
        <w:t xml:space="preserve"> supporting peptides, 6,698, reproducing the published 6,692). The quantmsdiann count is computed under its own global rule (</w:t>
      </w:r>
      <w:r w:rsidRPr="00ED6C02">
        <w:rPr>
          <w:rStyle w:val="VerbatimChar"/>
          <w:rFonts w:ascii="Times New Roman" w:hAnsi="Times New Roman" w:cs="Times New Roman"/>
          <w:sz w:val="24"/>
        </w:rPr>
        <w:t>Lib.PG.Q.Value</w:t>
      </w:r>
      <w:r w:rsidRPr="00ED6C02">
        <w:rPr>
          <w:rFonts w:ascii="Times New Roman" w:hAnsi="Times New Roman" w:cs="Times New Roman"/>
        </w:rPr>
        <w:t> </w:t>
      </w:r>
      <m:oMath>
        <m:r>
          <m:rPr>
            <m:sty m:val="p"/>
          </m:rPr>
          <w:rPr>
            <w:rFonts w:ascii="Cambria Math" w:hAnsi="Cambria Math" w:cs="Times New Roman"/>
          </w:rPr>
          <m:t>≤</m:t>
        </m:r>
        <m:r>
          <w:rPr>
            <w:rFonts w:ascii="Cambria Math" w:hAnsi="Cambria Math" w:cs="Times New Roman"/>
          </w:rPr>
          <m:t>0.01</m:t>
        </m:r>
      </m:oMath>
      <w:r w:rsidRPr="00ED6C02">
        <w:rPr>
          <w:rFonts w:ascii="Times New Roman" w:hAnsi="Times New Roman" w:cs="Times New Roman"/>
        </w:rPr>
        <w:t xml:space="preserve">, with the </w:t>
      </w:r>
      <m:oMath>
        <m:r>
          <m:rPr>
            <m:sty m:val="p"/>
          </m:rPr>
          <w:rPr>
            <w:rFonts w:ascii="Cambria Math" w:hAnsi="Cambria Math" w:cs="Times New Roman"/>
          </w:rPr>
          <m:t>≥</m:t>
        </m:r>
        <m:r>
          <w:rPr>
            <w:rFonts w:ascii="Cambria Math" w:hAnsi="Cambria Math" w:cs="Times New Roman"/>
          </w:rPr>
          <m:t>2</m:t>
        </m:r>
      </m:oMath>
      <w:r w:rsidRPr="00ED6C02">
        <w:rPr>
          <w:rFonts w:ascii="Times New Roman" w:hAnsi="Times New Roman" w:cs="Times New Roman"/>
        </w:rPr>
        <w:t xml:space="preserve">-peptide refinement where the original reports a </w:t>
      </w:r>
      <m:oMath>
        <m:r>
          <m:rPr>
            <m:sty m:val="p"/>
          </m:rPr>
          <w:rPr>
            <w:rFonts w:ascii="Cambria Math" w:hAnsi="Cambria Math" w:cs="Times New Roman"/>
          </w:rPr>
          <m:t>≥</m:t>
        </m:r>
        <m:r>
          <w:rPr>
            <w:rFonts w:ascii="Cambria Math" w:hAnsi="Cambria Math" w:cs="Times New Roman"/>
          </w:rPr>
          <m:t>2</m:t>
        </m:r>
      </m:oMath>
      <w:r w:rsidRPr="00ED6C02">
        <w:rPr>
          <w:rFonts w:ascii="Times New Roman" w:hAnsi="Times New Roman" w:cs="Times New Roman"/>
        </w:rPr>
        <w:t xml:space="preserve">-peptide headline); no original-study consistency or detection filter is applied to the quantmsdiann side. Three caveats bound the cross-deposit comparisons (main-text Experimental Procedures): differences in FDR calibration across search-engine generations, the use of each original study’s own counting criterion, and possible differences in protein sequence database and search settings between the deposited analysis and the reanalysis (including contaminant databases that are often not deposited, as for the spatial DVP cohort PXD064049). Because quantmsdiann applies one harmonised FASTA and parameter set </w:t>
      </w:r>
      <w:r w:rsidRPr="00ED6C02">
        <w:rPr>
          <w:rFonts w:ascii="Times New Roman" w:hAnsi="Times New Roman" w:cs="Times New Roman"/>
        </w:rPr>
        <w:lastRenderedPageBreak/>
        <w:t>across all cohorts, residual count differences attributable to such undocumented database or setting choices cannot be fully excluded.</w:t>
      </w:r>
    </w:p>
    <w:p w14:paraId="5547D9DC" w14:textId="4800770E" w:rsidR="00C90A64" w:rsidRPr="00462EA2" w:rsidRDefault="00462EA2" w:rsidP="00462EA2">
      <w:pPr>
        <w:pStyle w:val="Heading1"/>
        <w:spacing w:line="360" w:lineRule="auto"/>
        <w:rPr>
          <w:rFonts w:ascii="Times New Roman" w:hAnsi="Times New Roman" w:cs="Times New Roman"/>
          <w:b/>
          <w:bCs/>
          <w:sz w:val="24"/>
          <w:szCs w:val="24"/>
        </w:rPr>
      </w:pPr>
      <w:bookmarkStart w:id="7" w:name="_Toc234325848"/>
      <w:bookmarkStart w:id="8" w:name="sec:supp-performance"/>
      <w:bookmarkEnd w:id="5"/>
      <w:r w:rsidRPr="00462EA2">
        <w:rPr>
          <w:rFonts w:ascii="Times New Roman" w:hAnsi="Times New Roman" w:cs="Times New Roman"/>
          <w:b/>
          <w:bCs/>
          <w:color w:val="auto"/>
          <w:sz w:val="24"/>
          <w:szCs w:val="24"/>
          <w:lang w:val="en-GB"/>
        </w:rPr>
        <w:t>Supplementary Note 4: Per-process runtime and resource envelopes</w:t>
      </w:r>
      <w:bookmarkEnd w:id="7"/>
    </w:p>
    <w:p w14:paraId="407DB7D8" w14:textId="77777777" w:rsidR="00C90A64" w:rsidRPr="00ED6C02" w:rsidRDefault="00FD722C" w:rsidP="00462EA2">
      <w:pPr>
        <w:spacing w:line="360" w:lineRule="auto"/>
        <w:jc w:val="both"/>
        <w:rPr>
          <w:rFonts w:ascii="Times New Roman" w:hAnsi="Times New Roman" w:cs="Times New Roman"/>
        </w:rPr>
      </w:pPr>
      <w:r w:rsidRPr="00ED6C02">
        <w:rPr>
          <w:rFonts w:ascii="Times New Roman" w:hAnsi="Times New Roman" w:cs="Times New Roman"/>
        </w:rPr>
        <w:t xml:space="preserve">These figures decompose the end-to-end wall-clock and resource use reported in main-text Fig. 2b by Nextflow process, derived from </w:t>
      </w:r>
      <w:r w:rsidRPr="00ED6C02">
        <w:rPr>
          <w:rStyle w:val="VerbatimChar"/>
          <w:rFonts w:ascii="Times New Roman" w:hAnsi="Times New Roman" w:cs="Times New Roman"/>
          <w:sz w:val="24"/>
        </w:rPr>
        <w:t>trace.txt</w:t>
      </w:r>
      <w:r w:rsidRPr="00ED6C02">
        <w:rPr>
          <w:rFonts w:ascii="Times New Roman" w:hAnsi="Times New Roman" w:cs="Times New Roman"/>
        </w:rPr>
        <w:t xml:space="preserve"> records collected across the ProteoBench benchmark cohorts and the PXD071075 single-cell production sweep.</w:t>
      </w:r>
    </w:p>
    <w:p w14:paraId="434018F0" w14:textId="087C7D50" w:rsidR="00EE08B2" w:rsidRDefault="00EE08B2" w:rsidP="00EE08B2">
      <w:pPr>
        <w:spacing w:line="360" w:lineRule="auto"/>
        <w:jc w:val="center"/>
        <w:rPr>
          <w:rFonts w:ascii="Times New Roman" w:hAnsi="Times New Roman" w:cs="Times New Roman"/>
          <w:b/>
          <w:bCs/>
        </w:rPr>
      </w:pPr>
      <w:bookmarkStart w:id="9" w:name="fig:runtime-per-step"/>
      <w:r>
        <w:rPr>
          <w:rFonts w:ascii="Times New Roman" w:hAnsi="Times New Roman" w:cs="Times New Roman"/>
          <w:b/>
          <w:bCs/>
          <w:noProof/>
        </w:rPr>
        <w:drawing>
          <wp:inline distT="0" distB="0" distL="0" distR="0" wp14:anchorId="2AE02BE6" wp14:editId="09C38B83">
            <wp:extent cx="5943600" cy="2445385"/>
            <wp:effectExtent l="0" t="0" r="0" b="5715"/>
            <wp:docPr id="1602372072"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372072" name="Graphic 1602372072"/>
                    <pic:cNvPicPr/>
                  </pic:nvPicPr>
                  <pic:blipFill>
                    <a:blip r:embed="rId9">
                      <a:extLst>
                        <a:ext uri="{96DAC541-7B7A-43D3-8B79-37D633B846F1}">
                          <asvg:svgBlip xmlns:asvg="http://schemas.microsoft.com/office/drawing/2016/SVG/main" r:embed="rId10"/>
                        </a:ext>
                      </a:extLst>
                    </a:blip>
                    <a:stretch>
                      <a:fillRect/>
                    </a:stretch>
                  </pic:blipFill>
                  <pic:spPr>
                    <a:xfrm>
                      <a:off x="0" y="0"/>
                      <a:ext cx="5943600" cy="2445385"/>
                    </a:xfrm>
                    <a:prstGeom prst="rect">
                      <a:avLst/>
                    </a:prstGeom>
                  </pic:spPr>
                </pic:pic>
              </a:graphicData>
            </a:graphic>
          </wp:inline>
        </w:drawing>
      </w:r>
    </w:p>
    <w:p w14:paraId="3560E481" w14:textId="7D303062" w:rsidR="00C90A64" w:rsidRPr="00ED6C02" w:rsidRDefault="004A26A3" w:rsidP="00EE08B2">
      <w:pPr>
        <w:spacing w:line="360" w:lineRule="auto"/>
        <w:jc w:val="both"/>
        <w:rPr>
          <w:rFonts w:ascii="Times New Roman" w:hAnsi="Times New Roman" w:cs="Times New Roman"/>
        </w:rPr>
      </w:pPr>
      <w:r>
        <w:rPr>
          <w:rFonts w:ascii="Times New Roman" w:hAnsi="Times New Roman" w:cs="Times New Roman"/>
          <w:b/>
          <w:bCs/>
        </w:rPr>
        <w:t xml:space="preserve">Figure S1: </w:t>
      </w:r>
      <w:r w:rsidRPr="004A26A3">
        <w:rPr>
          <w:rFonts w:ascii="Times New Roman" w:hAnsi="Times New Roman" w:cs="Times New Roman"/>
        </w:rPr>
        <w:t xml:space="preserve">Per-step wall-clock distribution across Nextflow processes on the EBI cluster and an independent third-party cluster. </w:t>
      </w:r>
      <w:r w:rsidRPr="004A26A3">
        <w:rPr>
          <w:rFonts w:ascii="Times New Roman" w:hAnsi="Times New Roman" w:cs="Times New Roman"/>
          <w:b/>
          <w:bCs/>
        </w:rPr>
        <w:t>(a)</w:t>
      </w:r>
      <w:r w:rsidRPr="004A26A3">
        <w:rPr>
          <w:rFonts w:ascii="Times New Roman" w:hAnsi="Times New Roman" w:cs="Times New Roman"/>
        </w:rPr>
        <w:t xml:space="preserve"> Task wall-clock time (boxplot, median and IQR) for each quantmsdiann process across the ProteoBench cohorts and the PXD071075 cluster-node sweep on the EBI HPC cluster. The per-file parallel stages (</w:t>
      </w:r>
      <w:proofErr w:type="spellStart"/>
      <w:r w:rsidRPr="004A26A3">
        <w:rPr>
          <w:rFonts w:ascii="Times New Roman" w:hAnsi="Times New Roman" w:cs="Times New Roman"/>
        </w:rPr>
        <w:t>file_preparation</w:t>
      </w:r>
      <w:proofErr w:type="spellEnd"/>
      <w:r w:rsidRPr="004A26A3">
        <w:rPr>
          <w:rFonts w:ascii="Times New Roman" w:hAnsi="Times New Roman" w:cs="Times New Roman"/>
        </w:rPr>
        <w:t xml:space="preserve">, </w:t>
      </w:r>
      <w:proofErr w:type="spellStart"/>
      <w:r w:rsidRPr="004A26A3">
        <w:rPr>
          <w:rFonts w:ascii="Times New Roman" w:hAnsi="Times New Roman" w:cs="Times New Roman"/>
        </w:rPr>
        <w:t>preliminary_analysis</w:t>
      </w:r>
      <w:proofErr w:type="spellEnd"/>
      <w:r w:rsidRPr="004A26A3">
        <w:rPr>
          <w:rFonts w:ascii="Times New Roman" w:hAnsi="Times New Roman" w:cs="Times New Roman"/>
        </w:rPr>
        <w:t xml:space="preserve">, </w:t>
      </w:r>
      <w:proofErr w:type="spellStart"/>
      <w:r w:rsidRPr="004A26A3">
        <w:rPr>
          <w:rFonts w:ascii="Times New Roman" w:hAnsi="Times New Roman" w:cs="Times New Roman"/>
        </w:rPr>
        <w:t>individual_analysis</w:t>
      </w:r>
      <w:proofErr w:type="spellEnd"/>
      <w:r w:rsidRPr="004A26A3">
        <w:rPr>
          <w:rFonts w:ascii="Times New Roman" w:hAnsi="Times New Roman" w:cs="Times New Roman"/>
        </w:rPr>
        <w:t xml:space="preserve">) run once per raw file and set the </w:t>
      </w:r>
      <w:proofErr w:type="spellStart"/>
      <w:r w:rsidRPr="004A26A3">
        <w:rPr>
          <w:rFonts w:ascii="Times New Roman" w:hAnsi="Times New Roman" w:cs="Times New Roman"/>
        </w:rPr>
        <w:t>parallelisation</w:t>
      </w:r>
      <w:proofErr w:type="spellEnd"/>
      <w:r w:rsidRPr="004A26A3">
        <w:rPr>
          <w:rFonts w:ascii="Times New Roman" w:hAnsi="Times New Roman" w:cs="Times New Roman"/>
        </w:rPr>
        <w:t xml:space="preserve"> envelope. The collective stages (</w:t>
      </w:r>
      <w:proofErr w:type="spellStart"/>
      <w:r w:rsidRPr="004A26A3">
        <w:rPr>
          <w:rFonts w:ascii="Times New Roman" w:hAnsi="Times New Roman" w:cs="Times New Roman"/>
        </w:rPr>
        <w:t>insilico_library_generation</w:t>
      </w:r>
      <w:proofErr w:type="spellEnd"/>
      <w:r w:rsidRPr="004A26A3">
        <w:rPr>
          <w:rFonts w:ascii="Times New Roman" w:hAnsi="Times New Roman" w:cs="Times New Roman"/>
        </w:rPr>
        <w:t xml:space="preserve">, </w:t>
      </w:r>
      <w:proofErr w:type="spellStart"/>
      <w:r w:rsidRPr="004A26A3">
        <w:rPr>
          <w:rFonts w:ascii="Times New Roman" w:hAnsi="Times New Roman" w:cs="Times New Roman"/>
        </w:rPr>
        <w:t>assemble_empirical_library</w:t>
      </w:r>
      <w:proofErr w:type="spellEnd"/>
      <w:r w:rsidRPr="004A26A3">
        <w:rPr>
          <w:rFonts w:ascii="Times New Roman" w:hAnsi="Times New Roman" w:cs="Times New Roman"/>
        </w:rPr>
        <w:t xml:space="preserve">, </w:t>
      </w:r>
      <w:proofErr w:type="spellStart"/>
      <w:r w:rsidRPr="004A26A3">
        <w:rPr>
          <w:rFonts w:ascii="Times New Roman" w:hAnsi="Times New Roman" w:cs="Times New Roman"/>
        </w:rPr>
        <w:t>final_quantification</w:t>
      </w:r>
      <w:proofErr w:type="spellEnd"/>
      <w:r w:rsidRPr="004A26A3">
        <w:rPr>
          <w:rFonts w:ascii="Times New Roman" w:hAnsi="Times New Roman" w:cs="Times New Roman"/>
        </w:rPr>
        <w:t xml:space="preserve">, </w:t>
      </w:r>
      <w:proofErr w:type="spellStart"/>
      <w:r w:rsidRPr="004A26A3">
        <w:rPr>
          <w:rFonts w:ascii="Times New Roman" w:hAnsi="Times New Roman" w:cs="Times New Roman"/>
        </w:rPr>
        <w:t>diann_msstats</w:t>
      </w:r>
      <w:proofErr w:type="spellEnd"/>
      <w:r w:rsidRPr="004A26A3">
        <w:rPr>
          <w:rFonts w:ascii="Times New Roman" w:hAnsi="Times New Roman" w:cs="Times New Roman"/>
        </w:rPr>
        <w:t xml:space="preserve">) run once per cohort and set the wall-clock floor. </w:t>
      </w:r>
      <w:r w:rsidRPr="004A26A3">
        <w:rPr>
          <w:rFonts w:ascii="Times New Roman" w:hAnsi="Times New Roman" w:cs="Times New Roman"/>
          <w:b/>
          <w:bCs/>
        </w:rPr>
        <w:t>(b)</w:t>
      </w:r>
      <w:r w:rsidRPr="004A26A3">
        <w:rPr>
          <w:rFonts w:ascii="Times New Roman" w:hAnsi="Times New Roman" w:cs="Times New Roman"/>
        </w:rPr>
        <w:t xml:space="preserve"> The same breakdown for a run executed independently by another group on a non-EBI SLURM cluster (Max Delbrück Center, Berlin; 279 raw files, DIA-NN 2.5.0, quantmsdiann v2.1.0, Singularity profile; total wall-clock 7 h 49 m). The process structure holds on third-party infrastructure without modification, showing the workflow's portability.</w:t>
      </w:r>
    </w:p>
    <w:p w14:paraId="612B0ADE" w14:textId="69156219" w:rsidR="00C90A64" w:rsidRPr="00ED6C02" w:rsidRDefault="00462EA2" w:rsidP="00462EA2">
      <w:pPr>
        <w:spacing w:line="360" w:lineRule="auto"/>
        <w:jc w:val="center"/>
        <w:rPr>
          <w:rFonts w:ascii="Times New Roman" w:hAnsi="Times New Roman" w:cs="Times New Roman"/>
        </w:rPr>
      </w:pPr>
      <w:bookmarkStart w:id="10" w:name="fig:resources-per-step"/>
      <w:bookmarkEnd w:id="9"/>
      <w:r>
        <w:rPr>
          <w:rFonts w:ascii="Times New Roman" w:hAnsi="Times New Roman" w:cs="Times New Roman"/>
          <w:noProof/>
        </w:rPr>
        <w:lastRenderedPageBreak/>
        <w:drawing>
          <wp:inline distT="0" distB="0" distL="0" distR="0" wp14:anchorId="7461450D" wp14:editId="7E5AE0BC">
            <wp:extent cx="5209107" cy="2988000"/>
            <wp:effectExtent l="0" t="0" r="0" b="0"/>
            <wp:docPr id="1387179754"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179754" name="Graphic 1387179754"/>
                    <pic:cNvPicPr/>
                  </pic:nvPicPr>
                  <pic:blipFill>
                    <a:blip r:embed="rId11">
                      <a:extLst>
                        <a:ext uri="{96DAC541-7B7A-43D3-8B79-37D633B846F1}">
                          <asvg:svgBlip xmlns:asvg="http://schemas.microsoft.com/office/drawing/2016/SVG/main" r:embed="rId12"/>
                        </a:ext>
                      </a:extLst>
                    </a:blip>
                    <a:stretch>
                      <a:fillRect/>
                    </a:stretch>
                  </pic:blipFill>
                  <pic:spPr>
                    <a:xfrm>
                      <a:off x="0" y="0"/>
                      <a:ext cx="5209107" cy="2988000"/>
                    </a:xfrm>
                    <a:prstGeom prst="rect">
                      <a:avLst/>
                    </a:prstGeom>
                  </pic:spPr>
                </pic:pic>
              </a:graphicData>
            </a:graphic>
          </wp:inline>
        </w:drawing>
      </w:r>
    </w:p>
    <w:p w14:paraId="4B4CD6F7" w14:textId="2761B44D" w:rsidR="00C90A64" w:rsidRPr="00ED6C02" w:rsidRDefault="00462EA2" w:rsidP="00EE08B2">
      <w:pPr>
        <w:spacing w:line="360" w:lineRule="auto"/>
        <w:jc w:val="both"/>
        <w:rPr>
          <w:rFonts w:ascii="Times New Roman" w:hAnsi="Times New Roman" w:cs="Times New Roman"/>
        </w:rPr>
      </w:pPr>
      <w:r w:rsidRPr="00462EA2">
        <w:rPr>
          <w:rFonts w:ascii="Times New Roman" w:hAnsi="Times New Roman" w:cs="Times New Roman"/>
          <w:b/>
          <w:bCs/>
        </w:rPr>
        <w:t>Figure S2: Peak</w:t>
      </w:r>
      <w:r w:rsidRPr="00ED6C02">
        <w:rPr>
          <w:rFonts w:ascii="Times New Roman" w:hAnsi="Times New Roman" w:cs="Times New Roman"/>
          <w:b/>
          <w:bCs/>
        </w:rPr>
        <w:t xml:space="preserve"> memory and CPU envelope per Nextflow process.</w:t>
      </w:r>
      <w:r w:rsidRPr="00ED6C02">
        <w:rPr>
          <w:rFonts w:ascii="Times New Roman" w:hAnsi="Times New Roman" w:cs="Times New Roman"/>
        </w:rPr>
        <w:t xml:space="preserve"> Per-task peak resident-set-size memory (left panel) and CPU utilisation (right panel) per quantmsdiann process across the ProteoBench benchmark cohorts and the PXD071075 cluster-node sweep. Box plots show the median (vermillion) and interquartile range; the per-step task count is given in each y-axis </w:t>
      </w:r>
      <w:proofErr w:type="gramStart"/>
      <w:r w:rsidRPr="00ED6C02">
        <w:rPr>
          <w:rFonts w:ascii="Times New Roman" w:hAnsi="Times New Roman" w:cs="Times New Roman"/>
        </w:rPr>
        <w:t>label</w:t>
      </w:r>
      <w:proofErr w:type="gramEnd"/>
      <w:r w:rsidRPr="00ED6C02">
        <w:rPr>
          <w:rFonts w:ascii="Times New Roman" w:hAnsi="Times New Roman" w:cs="Times New Roman"/>
        </w:rPr>
        <w:t xml:space="preserve"> and the median is printed above each box. CPU utilisation is expressed as a percentage of quantmsdiann’s 12-thread </w:t>
      </w:r>
      <w:r w:rsidRPr="00ED6C02">
        <w:rPr>
          <w:rStyle w:val="VerbatimChar"/>
          <w:rFonts w:ascii="Times New Roman" w:hAnsi="Times New Roman" w:cs="Times New Roman"/>
          <w:sz w:val="24"/>
        </w:rPr>
        <w:t>DIA-NN</w:t>
      </w:r>
      <w:r w:rsidRPr="00ED6C02">
        <w:rPr>
          <w:rFonts w:ascii="Times New Roman" w:hAnsi="Times New Roman" w:cs="Times New Roman"/>
        </w:rPr>
        <w:t xml:space="preserve"> allocation, so a step that parallelises beyond its 12 allotted threads exceeds the 100% baseline (green dashed line); the in-silico library-generation step does so, while single-threaded glue steps sit near </w:t>
      </w:r>
      <m:oMath>
        <m:r>
          <w:rPr>
            <w:rFonts w:ascii="Cambria Math" w:hAnsi="Cambria Math" w:cs="Times New Roman"/>
          </w:rPr>
          <m:t>1</m:t>
        </m:r>
        <m:r>
          <m:rPr>
            <m:sty m:val="p"/>
          </m:rPr>
          <w:rPr>
            <w:rFonts w:ascii="Cambria Math" w:hAnsi="Cambria Math" w:cs="Times New Roman"/>
          </w:rPr>
          <m:t>/</m:t>
        </m:r>
        <m:r>
          <w:rPr>
            <w:rFonts w:ascii="Cambria Math" w:hAnsi="Cambria Math" w:cs="Times New Roman"/>
          </w:rPr>
          <m:t>12</m:t>
        </m:r>
        <m:r>
          <m:rPr>
            <m:sty m:val="p"/>
          </m:rPr>
          <w:rPr>
            <w:rFonts w:ascii="Cambria Math" w:hAnsi="Cambria Math" w:cs="Times New Roman"/>
          </w:rPr>
          <m:t>≈</m:t>
        </m:r>
        <m:r>
          <w:rPr>
            <w:rFonts w:ascii="Cambria Math" w:hAnsi="Cambria Math" w:cs="Times New Roman"/>
          </w:rPr>
          <m:t>8</m:t>
        </m:r>
        <m:r>
          <m:rPr>
            <m:sty m:val="p"/>
          </m:rPr>
          <w:rPr>
            <w:rFonts w:ascii="Cambria Math" w:hAnsi="Cambria Math" w:cs="Times New Roman"/>
          </w:rPr>
          <m:t>%</m:t>
        </m:r>
      </m:oMath>
      <w:r w:rsidRPr="00ED6C02">
        <w:rPr>
          <w:rFonts w:ascii="Times New Roman" w:hAnsi="Times New Roman" w:cs="Times New Roman"/>
        </w:rPr>
        <w:t xml:space="preserve"> (grey dotted line). The collective </w:t>
      </w:r>
      <w:r w:rsidRPr="00ED6C02">
        <w:rPr>
          <w:rStyle w:val="VerbatimChar"/>
          <w:rFonts w:ascii="Times New Roman" w:hAnsi="Times New Roman" w:cs="Times New Roman"/>
          <w:sz w:val="24"/>
        </w:rPr>
        <w:t>FINAL_QUANTIFICATION</w:t>
      </w:r>
      <w:r w:rsidRPr="00ED6C02">
        <w:rPr>
          <w:rFonts w:ascii="Times New Roman" w:hAnsi="Times New Roman" w:cs="Times New Roman"/>
        </w:rPr>
        <w:t xml:space="preserve"> stage dominates memory use on large cohorts; per-file stages remain well within the commodity 8–16 GB per-task envelope typical of HPC partitions. </w:t>
      </w:r>
    </w:p>
    <w:p w14:paraId="5DDFA648" w14:textId="53A85B81" w:rsidR="00C90A64" w:rsidRPr="00462EA2" w:rsidRDefault="00462EA2" w:rsidP="00462EA2">
      <w:pPr>
        <w:pStyle w:val="Heading1"/>
        <w:spacing w:line="360" w:lineRule="auto"/>
        <w:rPr>
          <w:rFonts w:ascii="Times New Roman" w:hAnsi="Times New Roman" w:cs="Times New Roman"/>
          <w:b/>
          <w:bCs/>
          <w:sz w:val="24"/>
          <w:szCs w:val="24"/>
        </w:rPr>
      </w:pPr>
      <w:bookmarkStart w:id="11" w:name="_Toc234325849"/>
      <w:bookmarkStart w:id="12" w:name="sec:supp-proteobench-proteins"/>
      <w:bookmarkEnd w:id="8"/>
      <w:bookmarkEnd w:id="10"/>
      <w:r w:rsidRPr="00462EA2">
        <w:rPr>
          <w:rFonts w:ascii="Times New Roman" w:hAnsi="Times New Roman" w:cs="Times New Roman"/>
          <w:b/>
          <w:bCs/>
          <w:color w:val="auto"/>
          <w:sz w:val="24"/>
          <w:szCs w:val="24"/>
          <w:lang w:val="en-GB"/>
        </w:rPr>
        <w:t>Supplementary Note 5: ProteoBench protein-group depth across DIA-NN versions</w:t>
      </w:r>
      <w:bookmarkEnd w:id="11"/>
    </w:p>
    <w:p w14:paraId="5344CAB8" w14:textId="77777777" w:rsidR="00462EA2" w:rsidRDefault="00FD722C" w:rsidP="00EE08B2">
      <w:pPr>
        <w:spacing w:line="360" w:lineRule="auto"/>
        <w:jc w:val="both"/>
        <w:rPr>
          <w:rFonts w:ascii="Times New Roman" w:hAnsi="Times New Roman" w:cs="Times New Roman"/>
        </w:rPr>
      </w:pPr>
      <w:r w:rsidRPr="00ED6C02">
        <w:rPr>
          <w:rFonts w:ascii="Times New Roman" w:hAnsi="Times New Roman" w:cs="Times New Roman"/>
        </w:rPr>
        <w:t xml:space="preserve">The main text reports ProteoBench quantification accuracy (Fig. 2c) and the per-run protein-group depth behind the same runs (Fig. 2d); the precursor and complete-profile depth are summarised here. Total precursors (at the global 1% </w:t>
      </w:r>
      <w:r w:rsidRPr="00ED6C02">
        <w:rPr>
          <w:rStyle w:val="VerbatimChar"/>
          <w:rFonts w:ascii="Times New Roman" w:hAnsi="Times New Roman" w:cs="Times New Roman"/>
          <w:sz w:val="24"/>
        </w:rPr>
        <w:t>Lib.Q.Value</w:t>
      </w:r>
      <w:r w:rsidRPr="00ED6C02">
        <w:rPr>
          <w:rFonts w:ascii="Times New Roman" w:hAnsi="Times New Roman" w:cs="Times New Roman"/>
        </w:rPr>
        <w:t xml:space="preserve">) rise by 9–22% from </w:t>
      </w:r>
      <w:r w:rsidRPr="00ED6C02">
        <w:rPr>
          <w:rStyle w:val="VerbatimChar"/>
          <w:rFonts w:ascii="Times New Roman" w:hAnsi="Times New Roman" w:cs="Times New Roman"/>
          <w:sz w:val="24"/>
        </w:rPr>
        <w:t>DIA-NN</w:t>
      </w:r>
      <w:r w:rsidRPr="00ED6C02">
        <w:rPr>
          <w:rFonts w:ascii="Times New Roman" w:hAnsi="Times New Roman" w:cs="Times New Roman"/>
        </w:rPr>
        <w:t> 1.8.1 to 2.5.1-enterprise on all four modules (largest on timsTOF diaPASEF, 102,528 </w:t>
      </w:r>
      <m:oMath>
        <m:r>
          <m:rPr>
            <m:sty m:val="p"/>
          </m:rPr>
          <w:rPr>
            <w:rFonts w:ascii="Cambria Math" w:hAnsi="Cambria Math" w:cs="Times New Roman"/>
          </w:rPr>
          <m:t>→</m:t>
        </m:r>
      </m:oMath>
      <w:r w:rsidRPr="00ED6C02">
        <w:rPr>
          <w:rFonts w:ascii="Times New Roman" w:hAnsi="Times New Roman" w:cs="Times New Roman"/>
        </w:rPr>
        <w:t> 124,756); proteins quantified in every run rise by up to 18% (e.g. single-cell Astral, 6,246 </w:t>
      </w:r>
      <m:oMath>
        <m:r>
          <m:rPr>
            <m:sty m:val="p"/>
          </m:rPr>
          <w:rPr>
            <w:rFonts w:ascii="Cambria Math" w:hAnsi="Cambria Math" w:cs="Times New Roman"/>
          </w:rPr>
          <m:t>→</m:t>
        </m:r>
      </m:oMath>
      <w:r w:rsidRPr="00ED6C02">
        <w:rPr>
          <w:rFonts w:ascii="Times New Roman" w:hAnsi="Times New Roman" w:cs="Times New Roman"/>
        </w:rPr>
        <w:t xml:space="preserve"> 7,299, </w:t>
      </w:r>
      <m:oMath>
        <m:r>
          <m:rPr>
            <m:sty m:val="p"/>
          </m:rPr>
          <w:rPr>
            <w:rFonts w:ascii="Cambria Math" w:hAnsi="Cambria Math" w:cs="Times New Roman"/>
          </w:rPr>
          <m:t>+</m:t>
        </m:r>
        <m:r>
          <w:rPr>
            <w:rFonts w:ascii="Cambria Math" w:hAnsi="Cambria Math" w:cs="Times New Roman"/>
          </w:rPr>
          <m:t>17</m:t>
        </m:r>
      </m:oMath>
      <w:r w:rsidRPr="00ED6C02">
        <w:rPr>
          <w:rFonts w:ascii="Times New Roman" w:hAnsi="Times New Roman" w:cs="Times New Roman"/>
        </w:rPr>
        <w:t xml:space="preserve">%). Protein groups are counted from the per-precursor </w:t>
      </w:r>
      <w:r w:rsidRPr="00ED6C02">
        <w:rPr>
          <w:rStyle w:val="VerbatimChar"/>
          <w:rFonts w:ascii="Times New Roman" w:hAnsi="Times New Roman" w:cs="Times New Roman"/>
          <w:sz w:val="24"/>
        </w:rPr>
        <w:t>DIA-NN</w:t>
      </w:r>
      <w:r w:rsidRPr="00ED6C02">
        <w:rPr>
          <w:rFonts w:ascii="Times New Roman" w:hAnsi="Times New Roman" w:cs="Times New Roman"/>
        </w:rPr>
        <w:t xml:space="preserve"> report at a 1% run-specific protein-group q-value (</w:t>
      </w:r>
      <w:r w:rsidRPr="00ED6C02">
        <w:rPr>
          <w:rStyle w:val="VerbatimChar"/>
          <w:rFonts w:ascii="Times New Roman" w:hAnsi="Times New Roman" w:cs="Times New Roman"/>
          <w:sz w:val="24"/>
        </w:rPr>
        <w:t>PG.Q.Value</w:t>
      </w:r>
      <w:r w:rsidRPr="00ED6C02">
        <w:rPr>
          <w:rFonts w:ascii="Times New Roman" w:hAnsi="Times New Roman" w:cs="Times New Roman"/>
        </w:rPr>
        <w:t>); the per-run average is shown in Fig. 2d.</w:t>
      </w:r>
      <w:bookmarkStart w:id="13" w:name="sec:supp-reanalyses"/>
      <w:bookmarkEnd w:id="12"/>
    </w:p>
    <w:p w14:paraId="2583A2E0" w14:textId="413CC455" w:rsidR="00C90A64" w:rsidRPr="00462EA2" w:rsidRDefault="00462EA2" w:rsidP="00462EA2">
      <w:pPr>
        <w:pStyle w:val="Heading1"/>
        <w:spacing w:line="360" w:lineRule="auto"/>
        <w:rPr>
          <w:rFonts w:ascii="Times New Roman" w:hAnsi="Times New Roman" w:cs="Times New Roman"/>
          <w:b/>
          <w:bCs/>
          <w:color w:val="auto"/>
          <w:sz w:val="24"/>
          <w:szCs w:val="24"/>
        </w:rPr>
      </w:pPr>
      <w:bookmarkStart w:id="14" w:name="_Toc234325850"/>
      <w:r w:rsidRPr="00462EA2">
        <w:rPr>
          <w:rFonts w:ascii="Times New Roman" w:hAnsi="Times New Roman" w:cs="Times New Roman"/>
          <w:b/>
          <w:bCs/>
          <w:color w:val="auto"/>
          <w:sz w:val="24"/>
          <w:szCs w:val="24"/>
          <w:lang w:val="en-GB"/>
        </w:rPr>
        <w:lastRenderedPageBreak/>
        <w:t>Supplementary Note 6: Per-cohort completeness and overlap (cell-line reanalyses)</w:t>
      </w:r>
      <w:bookmarkEnd w:id="14"/>
    </w:p>
    <w:p w14:paraId="460C2272" w14:textId="77777777" w:rsidR="00C90A64" w:rsidRPr="00ED6C02" w:rsidRDefault="00FD722C" w:rsidP="00462EA2">
      <w:pPr>
        <w:spacing w:line="360" w:lineRule="auto"/>
        <w:jc w:val="both"/>
        <w:rPr>
          <w:rFonts w:ascii="Times New Roman" w:hAnsi="Times New Roman" w:cs="Times New Roman"/>
        </w:rPr>
      </w:pPr>
      <w:r w:rsidRPr="00ED6C02">
        <w:rPr>
          <w:rFonts w:ascii="Times New Roman" w:hAnsi="Times New Roman" w:cs="Times New Roman"/>
        </w:rPr>
        <w:t>These figures complement main-text Fig. 4 with per-protein peptide counts, gene/accession overlap, and per-tissue protein recovery across the reanalysed cohorts.</w:t>
      </w:r>
    </w:p>
    <w:p w14:paraId="5A925CA9" w14:textId="77777777" w:rsidR="00C90A64" w:rsidRPr="00ED6C02" w:rsidRDefault="00FD722C" w:rsidP="00462EA2">
      <w:pPr>
        <w:spacing w:line="360" w:lineRule="auto"/>
        <w:jc w:val="center"/>
        <w:rPr>
          <w:rFonts w:ascii="Times New Roman" w:hAnsi="Times New Roman" w:cs="Times New Roman"/>
        </w:rPr>
      </w:pPr>
      <w:bookmarkStart w:id="15" w:name="fig:supp-pxd003539-peptides"/>
      <w:r w:rsidRPr="00ED6C02">
        <w:rPr>
          <w:rFonts w:ascii="Times New Roman" w:hAnsi="Times New Roman" w:cs="Times New Roman"/>
          <w:noProof/>
        </w:rPr>
        <w:drawing>
          <wp:inline distT="0" distB="0" distL="0" distR="0" wp14:anchorId="5BB383E3" wp14:editId="3128644B">
            <wp:extent cx="4304414" cy="2628000"/>
            <wp:effectExtent l="0" t="0" r="1270" b="1270"/>
            <wp:docPr id="3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descr="figures/png/PXD003539/supp_peptides_per_protein.png"/>
                    <pic:cNvPicPr>
                      <a:picLocks noChangeAspect="1" noChangeArrowheads="1"/>
                    </pic:cNvPicPr>
                  </pic:nvPicPr>
                  <pic:blipFill>
                    <a:blip r:embed="rId13"/>
                    <a:stretch>
                      <a:fillRect/>
                    </a:stretch>
                  </pic:blipFill>
                  <pic:spPr bwMode="auto">
                    <a:xfrm>
                      <a:off x="0" y="0"/>
                      <a:ext cx="4304414" cy="2628000"/>
                    </a:xfrm>
                    <a:prstGeom prst="rect">
                      <a:avLst/>
                    </a:prstGeom>
                    <a:noFill/>
                    <a:ln w="9525">
                      <a:noFill/>
                      <a:headEnd/>
                      <a:tailEnd/>
                    </a:ln>
                  </pic:spPr>
                </pic:pic>
              </a:graphicData>
            </a:graphic>
          </wp:inline>
        </w:drawing>
      </w:r>
    </w:p>
    <w:p w14:paraId="3BF992CA" w14:textId="307230F0" w:rsidR="00C90A64" w:rsidRPr="00ED6C02" w:rsidRDefault="00462EA2" w:rsidP="00EE08B2">
      <w:pPr>
        <w:spacing w:line="360" w:lineRule="auto"/>
        <w:jc w:val="both"/>
        <w:rPr>
          <w:rFonts w:ascii="Times New Roman" w:hAnsi="Times New Roman" w:cs="Times New Roman"/>
        </w:rPr>
      </w:pPr>
      <w:r>
        <w:rPr>
          <w:rFonts w:ascii="Times New Roman" w:hAnsi="Times New Roman" w:cs="Times New Roman"/>
          <w:b/>
          <w:bCs/>
        </w:rPr>
        <w:t xml:space="preserve">Figure S3: </w:t>
      </w:r>
      <w:r w:rsidRPr="00ED6C02">
        <w:rPr>
          <w:rFonts w:ascii="Times New Roman" w:hAnsi="Times New Roman" w:cs="Times New Roman"/>
          <w:b/>
          <w:bCs/>
        </w:rPr>
        <w:t>PXD003539</w:t>
      </w:r>
      <w:r>
        <w:rPr>
          <w:rFonts w:ascii="Times New Roman" w:hAnsi="Times New Roman" w:cs="Times New Roman"/>
          <w:b/>
          <w:bCs/>
        </w:rPr>
        <w:t xml:space="preserve"> -</w:t>
      </w:r>
      <w:r w:rsidRPr="00ED6C02">
        <w:rPr>
          <w:rFonts w:ascii="Times New Roman" w:hAnsi="Times New Roman" w:cs="Times New Roman"/>
          <w:b/>
          <w:bCs/>
        </w:rPr>
        <w:t xml:space="preserve"> distribution of peptides per protein group.</w:t>
      </w:r>
      <w:r w:rsidRPr="00ED6C02">
        <w:rPr>
          <w:rFonts w:ascii="Times New Roman" w:hAnsi="Times New Roman" w:cs="Times New Roman"/>
        </w:rPr>
        <w:t xml:space="preserve"> quantmsdiann (DIA-NN, blue) versus Guo 2019 OpenSWATH (grey) on the same NCI-60 raw data. </w:t>
      </w:r>
    </w:p>
    <w:p w14:paraId="70812F97" w14:textId="77777777" w:rsidR="00C90A64" w:rsidRPr="00ED6C02" w:rsidRDefault="00FD722C" w:rsidP="00462EA2">
      <w:pPr>
        <w:spacing w:line="360" w:lineRule="auto"/>
        <w:jc w:val="center"/>
        <w:rPr>
          <w:rFonts w:ascii="Times New Roman" w:hAnsi="Times New Roman" w:cs="Times New Roman"/>
        </w:rPr>
      </w:pPr>
      <w:bookmarkStart w:id="16" w:name="fig:supp-pxd003539-venn"/>
      <w:bookmarkEnd w:id="15"/>
      <w:r w:rsidRPr="00ED6C02">
        <w:rPr>
          <w:rFonts w:ascii="Times New Roman" w:hAnsi="Times New Roman" w:cs="Times New Roman"/>
          <w:noProof/>
        </w:rPr>
        <w:drawing>
          <wp:inline distT="0" distB="0" distL="0" distR="0" wp14:anchorId="37D55F51" wp14:editId="16513565">
            <wp:extent cx="3529184" cy="3276000"/>
            <wp:effectExtent l="0" t="0" r="1905" b="635"/>
            <wp:docPr id="3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descr="figures/png/PXD003539/supp_venn_protein_accessions.png"/>
                    <pic:cNvPicPr>
                      <a:picLocks noChangeAspect="1" noChangeArrowheads="1"/>
                    </pic:cNvPicPr>
                  </pic:nvPicPr>
                  <pic:blipFill rotWithShape="1">
                    <a:blip r:embed="rId14"/>
                    <a:srcRect t="7768"/>
                    <a:stretch>
                      <a:fillRect/>
                    </a:stretch>
                  </pic:blipFill>
                  <pic:spPr bwMode="auto">
                    <a:xfrm>
                      <a:off x="0" y="0"/>
                      <a:ext cx="3529184" cy="3276000"/>
                    </a:xfrm>
                    <a:prstGeom prst="rect">
                      <a:avLst/>
                    </a:prstGeom>
                    <a:noFill/>
                    <a:ln>
                      <a:noFill/>
                    </a:ln>
                    <a:extLst>
                      <a:ext uri="{53640926-AAD7-44D8-BBD7-CCE9431645EC}">
                        <a14:shadowObscured xmlns:a14="http://schemas.microsoft.com/office/drawing/2010/main"/>
                      </a:ext>
                    </a:extLst>
                  </pic:spPr>
                </pic:pic>
              </a:graphicData>
            </a:graphic>
          </wp:inline>
        </w:drawing>
      </w:r>
    </w:p>
    <w:p w14:paraId="270B9663" w14:textId="5D246226" w:rsidR="00C90A64" w:rsidRPr="00ED6C02" w:rsidRDefault="00462EA2" w:rsidP="00EE08B2">
      <w:pPr>
        <w:spacing w:line="360" w:lineRule="auto"/>
        <w:jc w:val="both"/>
        <w:rPr>
          <w:rFonts w:ascii="Times New Roman" w:hAnsi="Times New Roman" w:cs="Times New Roman"/>
        </w:rPr>
      </w:pPr>
      <w:r w:rsidRPr="00462EA2">
        <w:rPr>
          <w:rFonts w:ascii="Times New Roman" w:hAnsi="Times New Roman" w:cs="Times New Roman"/>
          <w:b/>
          <w:bCs/>
        </w:rPr>
        <w:lastRenderedPageBreak/>
        <w:t xml:space="preserve">Figure S4: </w:t>
      </w:r>
      <w:r w:rsidRPr="00462EA2">
        <w:rPr>
          <w:rFonts w:ascii="Times New Roman" w:hAnsi="Times New Roman" w:cs="Times New Roman"/>
        </w:rPr>
        <w:t>PXD003539 - UniProt-accession overlap between original OpenSWATH analysis and quantmsdiann reanalysis.</w:t>
      </w:r>
      <w:r w:rsidRPr="00ED6C02">
        <w:rPr>
          <w:rFonts w:ascii="Times New Roman" w:hAnsi="Times New Roman" w:cs="Times New Roman"/>
        </w:rPr>
        <w:t xml:space="preserve"> </w:t>
      </w:r>
    </w:p>
    <w:p w14:paraId="0295286A" w14:textId="77777777" w:rsidR="00C90A64" w:rsidRPr="00ED6C02" w:rsidRDefault="00FD722C" w:rsidP="00EE08B2">
      <w:pPr>
        <w:spacing w:line="360" w:lineRule="auto"/>
        <w:jc w:val="both"/>
        <w:rPr>
          <w:rFonts w:ascii="Times New Roman" w:hAnsi="Times New Roman" w:cs="Times New Roman"/>
        </w:rPr>
      </w:pPr>
      <w:bookmarkStart w:id="17" w:name="fig:supp-pancohort-atlas"/>
      <w:bookmarkEnd w:id="16"/>
      <w:r w:rsidRPr="00ED6C02">
        <w:rPr>
          <w:rFonts w:ascii="Times New Roman" w:hAnsi="Times New Roman" w:cs="Times New Roman"/>
          <w:noProof/>
        </w:rPr>
        <w:drawing>
          <wp:inline distT="0" distB="0" distL="0" distR="0" wp14:anchorId="6397EE16" wp14:editId="5695A738">
            <wp:extent cx="5334000" cy="4597097"/>
            <wp:effectExtent l="0" t="0" r="0" b="0"/>
            <wp:docPr id="38" name="Picture"/>
            <wp:cNvGraphicFramePr/>
            <a:graphic xmlns:a="http://schemas.openxmlformats.org/drawingml/2006/main">
              <a:graphicData uri="http://schemas.openxmlformats.org/drawingml/2006/picture">
                <pic:pic xmlns:pic="http://schemas.openxmlformats.org/drawingml/2006/picture">
                  <pic:nvPicPr>
                    <pic:cNvPr id="39" name="Picture" descr="figures/png/manuscript/fig4_cellline_atlas.png"/>
                    <pic:cNvPicPr>
                      <a:picLocks noChangeAspect="1" noChangeArrowheads="1"/>
                    </pic:cNvPicPr>
                  </pic:nvPicPr>
                  <pic:blipFill>
                    <a:blip r:embed="rId15"/>
                    <a:stretch>
                      <a:fillRect/>
                    </a:stretch>
                  </pic:blipFill>
                  <pic:spPr bwMode="auto">
                    <a:xfrm>
                      <a:off x="0" y="0"/>
                      <a:ext cx="5334000" cy="4597097"/>
                    </a:xfrm>
                    <a:prstGeom prst="rect">
                      <a:avLst/>
                    </a:prstGeom>
                    <a:noFill/>
                    <a:ln w="9525">
                      <a:noFill/>
                      <a:headEnd/>
                      <a:tailEnd/>
                    </a:ln>
                  </pic:spPr>
                </pic:pic>
              </a:graphicData>
            </a:graphic>
          </wp:inline>
        </w:drawing>
      </w:r>
    </w:p>
    <w:p w14:paraId="2F3C12D2" w14:textId="32DB18D2" w:rsidR="00C90A64" w:rsidRPr="00ED6C02" w:rsidRDefault="00462EA2" w:rsidP="00EE08B2">
      <w:pPr>
        <w:spacing w:line="360" w:lineRule="auto"/>
        <w:jc w:val="both"/>
        <w:rPr>
          <w:rFonts w:ascii="Times New Roman" w:hAnsi="Times New Roman" w:cs="Times New Roman"/>
        </w:rPr>
      </w:pPr>
      <w:r w:rsidRPr="00462EA2">
        <w:rPr>
          <w:rFonts w:ascii="Times New Roman" w:hAnsi="Times New Roman" w:cs="Times New Roman"/>
          <w:b/>
          <w:bCs/>
        </w:rPr>
        <w:t>Figure S5: Pan</w:t>
      </w:r>
      <w:r w:rsidRPr="00ED6C02">
        <w:rPr>
          <w:rFonts w:ascii="Times New Roman" w:hAnsi="Times New Roman" w:cs="Times New Roman"/>
          <w:b/>
          <w:bCs/>
        </w:rPr>
        <w:t>-cohort of five public DIA cell-line reanalyses by quantmsdiann under a single SDRF-driven invocation.</w:t>
      </w:r>
      <w:r w:rsidRPr="00ED6C02">
        <w:rPr>
          <w:rFonts w:ascii="Times New Roman" w:hAnsi="Times New Roman" w:cs="Times New Roman"/>
        </w:rPr>
        <w:t xml:space="preserve"> Combines PXD003539 (NCI-60, Guo 2019), PXD030304 (ProCan-DepMapSanger, 947 lines), PXD004701 (Sun 2023, 76 breast-cancer lines), PXD041421 (Wang 2023), and PXD017199 (Tognetti 2021, 67 breast-cancer lines). (</w:t>
      </w:r>
      <w:r w:rsidRPr="00ED6C02">
        <w:rPr>
          <w:rFonts w:ascii="Times New Roman" w:hAnsi="Times New Roman" w:cs="Times New Roman"/>
          <w:b/>
          <w:bCs/>
        </w:rPr>
        <w:t>a</w:t>
      </w:r>
      <w:r w:rsidRPr="00ED6C02">
        <w:rPr>
          <w:rFonts w:ascii="Times New Roman" w:hAnsi="Times New Roman" w:cs="Times New Roman"/>
        </w:rPr>
        <w:t>) ProCan-DepMapSanger (PXD030304): distinct protein groups detected per tissue of origin, deposited analysis (grey) versus the quantmsdiann reanalysis (blue) on the same raw data. (</w:t>
      </w:r>
      <w:r w:rsidRPr="00ED6C02">
        <w:rPr>
          <w:rFonts w:ascii="Times New Roman" w:hAnsi="Times New Roman" w:cs="Times New Roman"/>
          <w:b/>
          <w:bCs/>
        </w:rPr>
        <w:t>b</w:t>
      </w:r>
      <w:r w:rsidRPr="00ED6C02">
        <w:rPr>
          <w:rFonts w:ascii="Times New Roman" w:hAnsi="Times New Roman" w:cs="Times New Roman"/>
        </w:rPr>
        <w:t xml:space="preserve">) Back-to-back per-tissue summary across the combined panel: cell lines contributing to each tissue, stacked by cohort (left), and the union of unique UniProt proteins detected per tissue (right); the most represented of the 29 tissue categories are shown. </w:t>
      </w:r>
    </w:p>
    <w:p w14:paraId="2EAAD17E" w14:textId="798BFC89" w:rsidR="00C90A64" w:rsidRPr="00462EA2" w:rsidRDefault="00462EA2" w:rsidP="00462EA2">
      <w:pPr>
        <w:pStyle w:val="Heading1"/>
        <w:spacing w:line="360" w:lineRule="auto"/>
        <w:rPr>
          <w:rFonts w:ascii="Times New Roman" w:hAnsi="Times New Roman" w:cs="Times New Roman"/>
          <w:b/>
          <w:bCs/>
          <w:sz w:val="24"/>
          <w:szCs w:val="24"/>
        </w:rPr>
      </w:pPr>
      <w:bookmarkStart w:id="18" w:name="_Toc234325851"/>
      <w:bookmarkStart w:id="19" w:name="sec:supp-software"/>
      <w:bookmarkEnd w:id="13"/>
      <w:bookmarkEnd w:id="17"/>
      <w:r w:rsidRPr="00462EA2">
        <w:rPr>
          <w:rFonts w:ascii="Times New Roman" w:hAnsi="Times New Roman" w:cs="Times New Roman"/>
          <w:b/>
          <w:bCs/>
          <w:color w:val="auto"/>
          <w:sz w:val="24"/>
          <w:szCs w:val="24"/>
          <w:lang w:val="en-GB"/>
        </w:rPr>
        <w:lastRenderedPageBreak/>
        <w:t>Supplementary Note 7: Software and resources</w:t>
      </w:r>
      <w:bookmarkEnd w:id="18"/>
    </w:p>
    <w:p w14:paraId="6A339906" w14:textId="70488693" w:rsidR="00C90A64" w:rsidRPr="00ED6C02" w:rsidRDefault="00FD722C" w:rsidP="00462EA2">
      <w:pPr>
        <w:spacing w:line="360" w:lineRule="auto"/>
        <w:jc w:val="both"/>
        <w:rPr>
          <w:rFonts w:ascii="Times New Roman" w:hAnsi="Times New Roman" w:cs="Times New Roman"/>
        </w:rPr>
      </w:pPr>
      <w:r w:rsidRPr="00462EA2">
        <w:rPr>
          <w:rFonts w:ascii="Times New Roman" w:hAnsi="Times New Roman" w:cs="Times New Roman"/>
          <w:b/>
          <w:bCs/>
        </w:rPr>
        <w:t>Table </w:t>
      </w:r>
      <w:r w:rsidR="00462EA2" w:rsidRPr="00462EA2">
        <w:rPr>
          <w:rFonts w:ascii="Times New Roman" w:hAnsi="Times New Roman" w:cs="Times New Roman"/>
          <w:b/>
          <w:bCs/>
        </w:rPr>
        <w:t>2</w:t>
      </w:r>
      <w:r w:rsidRPr="00ED6C02">
        <w:rPr>
          <w:rFonts w:ascii="Times New Roman" w:hAnsi="Times New Roman" w:cs="Times New Roman"/>
        </w:rPr>
        <w:t xml:space="preserve"> lists the software packages, formats, and public resources used by quantmsdiann and in this study, with their canonical repositories or portals. quantmsdiann and its supporting tools (</w:t>
      </w:r>
      <w:r w:rsidRPr="00ED6C02">
        <w:rPr>
          <w:rStyle w:val="VerbatimChar"/>
          <w:rFonts w:ascii="Times New Roman" w:hAnsi="Times New Roman" w:cs="Times New Roman"/>
          <w:sz w:val="24"/>
        </w:rPr>
        <w:t>sdrf-pipelines</w:t>
      </w:r>
      <w:r w:rsidRPr="00ED6C02">
        <w:rPr>
          <w:rFonts w:ascii="Times New Roman" w:hAnsi="Times New Roman" w:cs="Times New Roman"/>
        </w:rPr>
        <w:t xml:space="preserve">, </w:t>
      </w:r>
      <w:r w:rsidRPr="00ED6C02">
        <w:rPr>
          <w:rStyle w:val="VerbatimChar"/>
          <w:rFonts w:ascii="Times New Roman" w:hAnsi="Times New Roman" w:cs="Times New Roman"/>
          <w:sz w:val="24"/>
        </w:rPr>
        <w:t>pmultiqc</w:t>
      </w:r>
      <w:r w:rsidRPr="00ED6C02">
        <w:rPr>
          <w:rFonts w:ascii="Times New Roman" w:hAnsi="Times New Roman" w:cs="Times New Roman"/>
        </w:rPr>
        <w:t xml:space="preserve">, QPX, </w:t>
      </w:r>
      <w:r w:rsidRPr="00ED6C02">
        <w:rPr>
          <w:rStyle w:val="VerbatimChar"/>
          <w:rFonts w:ascii="Times New Roman" w:hAnsi="Times New Roman" w:cs="Times New Roman"/>
          <w:sz w:val="24"/>
        </w:rPr>
        <w:t>wiffconverter</w:t>
      </w:r>
      <w:r w:rsidRPr="00ED6C02">
        <w:rPr>
          <w:rFonts w:ascii="Times New Roman" w:hAnsi="Times New Roman" w:cs="Times New Roman"/>
        </w:rPr>
        <w:t xml:space="preserve">, container recipes) are released open-source under the </w:t>
      </w:r>
      <w:r w:rsidRPr="00ED6C02">
        <w:rPr>
          <w:rStyle w:val="VerbatimChar"/>
          <w:rFonts w:ascii="Times New Roman" w:hAnsi="Times New Roman" w:cs="Times New Roman"/>
          <w:sz w:val="24"/>
        </w:rPr>
        <w:t>bigbio</w:t>
      </w:r>
      <w:r w:rsidRPr="00ED6C02">
        <w:rPr>
          <w:rFonts w:ascii="Times New Roman" w:hAnsi="Times New Roman" w:cs="Times New Roman"/>
        </w:rPr>
        <w:t xml:space="preserve"> organisation; per-version </w:t>
      </w:r>
      <w:r w:rsidRPr="00ED6C02">
        <w:rPr>
          <w:rStyle w:val="VerbatimChar"/>
          <w:rFonts w:ascii="Times New Roman" w:hAnsi="Times New Roman" w:cs="Times New Roman"/>
          <w:sz w:val="24"/>
        </w:rPr>
        <w:t>DIA-NN</w:t>
      </w:r>
      <w:r w:rsidRPr="00ED6C02">
        <w:rPr>
          <w:rFonts w:ascii="Times New Roman" w:hAnsi="Times New Roman" w:cs="Times New Roman"/>
        </w:rPr>
        <w:t xml:space="preserve"> container images are built from the recipes in </w:t>
      </w:r>
      <w:r w:rsidRPr="00ED6C02">
        <w:rPr>
          <w:rStyle w:val="VerbatimChar"/>
          <w:rFonts w:ascii="Times New Roman" w:hAnsi="Times New Roman" w:cs="Times New Roman"/>
          <w:sz w:val="24"/>
        </w:rPr>
        <w:t>quantms-containers</w:t>
      </w:r>
      <w:r w:rsidRPr="00ED6C02">
        <w:rPr>
          <w:rFonts w:ascii="Times New Roman" w:hAnsi="Times New Roman" w:cs="Times New Roman"/>
        </w:rPr>
        <w:t xml:space="preserve"> (</w:t>
      </w:r>
      <w:r w:rsidRPr="00462EA2">
        <w:rPr>
          <w:rFonts w:ascii="Times New Roman" w:hAnsi="Times New Roman" w:cs="Times New Roman"/>
          <w:b/>
          <w:bCs/>
        </w:rPr>
        <w:t>Supplementary Note 1</w:t>
      </w:r>
      <w:r w:rsidRPr="00ED6C02">
        <w:rPr>
          <w:rFonts w:ascii="Times New Roman" w:hAnsi="Times New Roman" w:cs="Times New Roman"/>
        </w:rPr>
        <w:t>).</w:t>
      </w:r>
    </w:p>
    <w:p w14:paraId="58827B9B" w14:textId="77777777" w:rsidR="00C90A64" w:rsidRPr="00ED6C02" w:rsidRDefault="00FD722C" w:rsidP="00EE08B2">
      <w:pPr>
        <w:spacing w:line="360" w:lineRule="auto"/>
        <w:jc w:val="both"/>
        <w:rPr>
          <w:rFonts w:ascii="Times New Roman" w:hAnsi="Times New Roman" w:cs="Times New Roman"/>
        </w:rPr>
      </w:pPr>
      <w:bookmarkStart w:id="20" w:name="tab:software-supp"/>
      <w:r w:rsidRPr="00ED6C02">
        <w:rPr>
          <w:rFonts w:ascii="Times New Roman" w:hAnsi="Times New Roman" w:cs="Times New Roman"/>
        </w:rPr>
        <w:t>Software, formats, and public resources used in this study, with their canonical repositories or portals.</w:t>
      </w:r>
    </w:p>
    <w:tbl>
      <w:tblPr>
        <w:tblStyle w:val="PlainTable5"/>
        <w:tblW w:w="10074" w:type="dxa"/>
        <w:tblLook w:val="0420" w:firstRow="1" w:lastRow="0" w:firstColumn="0" w:lastColumn="0" w:noHBand="0" w:noVBand="1"/>
      </w:tblPr>
      <w:tblGrid>
        <w:gridCol w:w="2389"/>
        <w:gridCol w:w="2147"/>
        <w:gridCol w:w="5538"/>
      </w:tblGrid>
      <w:tr w:rsidR="00C90A64" w:rsidRPr="00462EA2" w14:paraId="43A1FDE3" w14:textId="77777777" w:rsidTr="00462EA2">
        <w:trPr>
          <w:cnfStyle w:val="100000000000" w:firstRow="1" w:lastRow="0" w:firstColumn="0" w:lastColumn="0" w:oddVBand="0" w:evenVBand="0" w:oddHBand="0" w:evenHBand="0" w:firstRowFirstColumn="0" w:firstRowLastColumn="0" w:lastRowFirstColumn="0" w:lastRowLastColumn="0"/>
        </w:trPr>
        <w:tc>
          <w:tcPr>
            <w:tcW w:w="2389" w:type="dxa"/>
          </w:tcPr>
          <w:p w14:paraId="20CCCFE3"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b/>
                <w:bCs/>
                <w:sz w:val="22"/>
                <w:szCs w:val="22"/>
              </w:rPr>
              <w:t>Name</w:t>
            </w:r>
          </w:p>
        </w:tc>
        <w:tc>
          <w:tcPr>
            <w:tcW w:w="2147" w:type="dxa"/>
          </w:tcPr>
          <w:p w14:paraId="6C50047D"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b/>
                <w:bCs/>
                <w:sz w:val="22"/>
                <w:szCs w:val="22"/>
              </w:rPr>
              <w:t>Role in this study</w:t>
            </w:r>
          </w:p>
        </w:tc>
        <w:tc>
          <w:tcPr>
            <w:tcW w:w="5538" w:type="dxa"/>
          </w:tcPr>
          <w:p w14:paraId="54C9251F"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b/>
                <w:bCs/>
                <w:sz w:val="22"/>
                <w:szCs w:val="22"/>
              </w:rPr>
              <w:t>Repository / URL</w:t>
            </w:r>
          </w:p>
        </w:tc>
      </w:tr>
      <w:tr w:rsidR="00C90A64" w:rsidRPr="00462EA2" w14:paraId="674E4892" w14:textId="77777777" w:rsidTr="00462EA2">
        <w:trPr>
          <w:cnfStyle w:val="000000100000" w:firstRow="0" w:lastRow="0" w:firstColumn="0" w:lastColumn="0" w:oddVBand="0" w:evenVBand="0" w:oddHBand="1" w:evenHBand="0" w:firstRowFirstColumn="0" w:firstRowLastColumn="0" w:lastRowFirstColumn="0" w:lastRowLastColumn="0"/>
        </w:trPr>
        <w:tc>
          <w:tcPr>
            <w:tcW w:w="2389" w:type="dxa"/>
          </w:tcPr>
          <w:p w14:paraId="4F58F8D9"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quantmsdiann</w:t>
            </w:r>
          </w:p>
        </w:tc>
        <w:tc>
          <w:tcPr>
            <w:tcW w:w="2147" w:type="dxa"/>
          </w:tcPr>
          <w:p w14:paraId="234F6CA2"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SDRF-driven DIA-NN reanalysis workflow (this work)</w:t>
            </w:r>
          </w:p>
        </w:tc>
        <w:tc>
          <w:tcPr>
            <w:tcW w:w="5538" w:type="dxa"/>
          </w:tcPr>
          <w:p w14:paraId="3907477D" w14:textId="77777777" w:rsidR="00C90A64" w:rsidRPr="00462EA2" w:rsidRDefault="00C90A64" w:rsidP="00EE08B2">
            <w:pPr>
              <w:spacing w:line="360" w:lineRule="auto"/>
              <w:jc w:val="both"/>
              <w:rPr>
                <w:rFonts w:ascii="Times New Roman" w:hAnsi="Times New Roman" w:cs="Times New Roman"/>
                <w:sz w:val="22"/>
                <w:szCs w:val="22"/>
              </w:rPr>
            </w:pPr>
            <w:hyperlink r:id="rId16">
              <w:r w:rsidRPr="00462EA2">
                <w:rPr>
                  <w:rStyle w:val="Hyperlink"/>
                  <w:rFonts w:ascii="Times New Roman" w:hAnsi="Times New Roman" w:cs="Times New Roman"/>
                  <w:sz w:val="22"/>
                  <w:szCs w:val="22"/>
                </w:rPr>
                <w:t>https://github.com/bigbio/quantmsdiann</w:t>
              </w:r>
            </w:hyperlink>
          </w:p>
        </w:tc>
      </w:tr>
      <w:tr w:rsidR="00C90A64" w:rsidRPr="00462EA2" w14:paraId="7980CA58" w14:textId="77777777" w:rsidTr="00462EA2">
        <w:tc>
          <w:tcPr>
            <w:tcW w:w="2389" w:type="dxa"/>
          </w:tcPr>
          <w:p w14:paraId="4142F1CA"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quantms</w:t>
            </w:r>
          </w:p>
        </w:tc>
        <w:tc>
          <w:tcPr>
            <w:tcW w:w="2147" w:type="dxa"/>
          </w:tcPr>
          <w:p w14:paraId="4042A9AD"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Sibling SDRF-driven multi-engine quantitative proteomics pipeline</w:t>
            </w:r>
          </w:p>
        </w:tc>
        <w:tc>
          <w:tcPr>
            <w:tcW w:w="5538" w:type="dxa"/>
          </w:tcPr>
          <w:p w14:paraId="58741CC6" w14:textId="77777777" w:rsidR="00C90A64" w:rsidRPr="00462EA2" w:rsidRDefault="00C90A64" w:rsidP="00EE08B2">
            <w:pPr>
              <w:spacing w:line="360" w:lineRule="auto"/>
              <w:jc w:val="both"/>
              <w:rPr>
                <w:rFonts w:ascii="Times New Roman" w:hAnsi="Times New Roman" w:cs="Times New Roman"/>
                <w:sz w:val="22"/>
                <w:szCs w:val="22"/>
              </w:rPr>
            </w:pPr>
            <w:hyperlink r:id="rId17">
              <w:r w:rsidRPr="00462EA2">
                <w:rPr>
                  <w:rStyle w:val="Hyperlink"/>
                  <w:rFonts w:ascii="Times New Roman" w:hAnsi="Times New Roman" w:cs="Times New Roman"/>
                  <w:sz w:val="22"/>
                  <w:szCs w:val="22"/>
                </w:rPr>
                <w:t>https://github.com/bigbio/quantms</w:t>
              </w:r>
            </w:hyperlink>
          </w:p>
        </w:tc>
      </w:tr>
      <w:tr w:rsidR="00C90A64" w:rsidRPr="00462EA2" w14:paraId="07AC7858" w14:textId="77777777" w:rsidTr="00462EA2">
        <w:trPr>
          <w:cnfStyle w:val="000000100000" w:firstRow="0" w:lastRow="0" w:firstColumn="0" w:lastColumn="0" w:oddVBand="0" w:evenVBand="0" w:oddHBand="1" w:evenHBand="0" w:firstRowFirstColumn="0" w:firstRowLastColumn="0" w:lastRowFirstColumn="0" w:lastRowLastColumn="0"/>
        </w:trPr>
        <w:tc>
          <w:tcPr>
            <w:tcW w:w="2389" w:type="dxa"/>
          </w:tcPr>
          <w:p w14:paraId="5CDF79D1"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quantms-containers</w:t>
            </w:r>
          </w:p>
        </w:tc>
        <w:tc>
          <w:tcPr>
            <w:tcW w:w="2147" w:type="dxa"/>
          </w:tcPr>
          <w:p w14:paraId="04513DD7"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 xml:space="preserve">Per-release </w:t>
            </w:r>
            <w:r w:rsidRPr="00462EA2">
              <w:rPr>
                <w:rStyle w:val="VerbatimChar"/>
                <w:rFonts w:ascii="Times New Roman" w:hAnsi="Times New Roman" w:cs="Times New Roman"/>
                <w:szCs w:val="22"/>
              </w:rPr>
              <w:t>DIA-NN</w:t>
            </w:r>
            <w:r w:rsidRPr="00462EA2">
              <w:rPr>
                <w:rFonts w:ascii="Times New Roman" w:hAnsi="Times New Roman" w:cs="Times New Roman"/>
                <w:sz w:val="22"/>
                <w:szCs w:val="22"/>
              </w:rPr>
              <w:t xml:space="preserve"> container recipes</w:t>
            </w:r>
          </w:p>
        </w:tc>
        <w:tc>
          <w:tcPr>
            <w:tcW w:w="5538" w:type="dxa"/>
          </w:tcPr>
          <w:p w14:paraId="3BBE1EB2" w14:textId="77777777" w:rsidR="00C90A64" w:rsidRPr="00462EA2" w:rsidRDefault="00C90A64" w:rsidP="00EE08B2">
            <w:pPr>
              <w:spacing w:line="360" w:lineRule="auto"/>
              <w:jc w:val="both"/>
              <w:rPr>
                <w:rFonts w:ascii="Times New Roman" w:hAnsi="Times New Roman" w:cs="Times New Roman"/>
                <w:sz w:val="22"/>
                <w:szCs w:val="22"/>
              </w:rPr>
            </w:pPr>
            <w:hyperlink r:id="rId18">
              <w:r w:rsidRPr="00462EA2">
                <w:rPr>
                  <w:rStyle w:val="Hyperlink"/>
                  <w:rFonts w:ascii="Times New Roman" w:hAnsi="Times New Roman" w:cs="Times New Roman"/>
                  <w:sz w:val="22"/>
                  <w:szCs w:val="22"/>
                </w:rPr>
                <w:t>https://github.com/bigbio/quantms-containers</w:t>
              </w:r>
            </w:hyperlink>
          </w:p>
        </w:tc>
      </w:tr>
      <w:tr w:rsidR="00C90A64" w:rsidRPr="00462EA2" w14:paraId="43A89730" w14:textId="77777777" w:rsidTr="00462EA2">
        <w:tc>
          <w:tcPr>
            <w:tcW w:w="2389" w:type="dxa"/>
          </w:tcPr>
          <w:p w14:paraId="7E918E19"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SDRF-Proteomics</w:t>
            </w:r>
          </w:p>
        </w:tc>
        <w:tc>
          <w:tcPr>
            <w:tcW w:w="2147" w:type="dxa"/>
          </w:tcPr>
          <w:p w14:paraId="310555E3"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Sample-and-Data-Relationship-Format metadata standard</w:t>
            </w:r>
          </w:p>
        </w:tc>
        <w:tc>
          <w:tcPr>
            <w:tcW w:w="5538" w:type="dxa"/>
          </w:tcPr>
          <w:p w14:paraId="34BCA23C" w14:textId="77777777" w:rsidR="00C90A64" w:rsidRPr="00462EA2" w:rsidRDefault="00C90A64" w:rsidP="00EE08B2">
            <w:pPr>
              <w:spacing w:line="360" w:lineRule="auto"/>
              <w:jc w:val="both"/>
              <w:rPr>
                <w:rFonts w:ascii="Times New Roman" w:hAnsi="Times New Roman" w:cs="Times New Roman"/>
                <w:sz w:val="22"/>
                <w:szCs w:val="22"/>
              </w:rPr>
            </w:pPr>
            <w:hyperlink r:id="rId19">
              <w:r w:rsidRPr="00462EA2">
                <w:rPr>
                  <w:rStyle w:val="Hyperlink"/>
                  <w:rFonts w:ascii="Times New Roman" w:hAnsi="Times New Roman" w:cs="Times New Roman"/>
                  <w:sz w:val="22"/>
                  <w:szCs w:val="22"/>
                </w:rPr>
                <w:t>https://github.com/bigbio/proteomics-sample-metadata</w:t>
              </w:r>
            </w:hyperlink>
          </w:p>
        </w:tc>
      </w:tr>
      <w:tr w:rsidR="00C90A64" w:rsidRPr="00462EA2" w14:paraId="669CF084" w14:textId="77777777" w:rsidTr="00462EA2">
        <w:trPr>
          <w:cnfStyle w:val="000000100000" w:firstRow="0" w:lastRow="0" w:firstColumn="0" w:lastColumn="0" w:oddVBand="0" w:evenVBand="0" w:oddHBand="1" w:evenHBand="0" w:firstRowFirstColumn="0" w:firstRowLastColumn="0" w:lastRowFirstColumn="0" w:lastRowLastColumn="0"/>
        </w:trPr>
        <w:tc>
          <w:tcPr>
            <w:tcW w:w="2389" w:type="dxa"/>
          </w:tcPr>
          <w:p w14:paraId="35BCD98A"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sdrf-pipelines</w:t>
            </w:r>
          </w:p>
        </w:tc>
        <w:tc>
          <w:tcPr>
            <w:tcW w:w="2147" w:type="dxa"/>
          </w:tcPr>
          <w:p w14:paraId="28F25974"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 xml:space="preserve">SDRF validation and </w:t>
            </w:r>
            <w:r w:rsidRPr="00462EA2">
              <w:rPr>
                <w:rStyle w:val="VerbatimChar"/>
                <w:rFonts w:ascii="Times New Roman" w:hAnsi="Times New Roman" w:cs="Times New Roman"/>
                <w:szCs w:val="22"/>
              </w:rPr>
              <w:t>DIA-NN</w:t>
            </w:r>
            <w:r w:rsidRPr="00462EA2">
              <w:rPr>
                <w:rFonts w:ascii="Times New Roman" w:hAnsi="Times New Roman" w:cs="Times New Roman"/>
                <w:sz w:val="22"/>
                <w:szCs w:val="22"/>
              </w:rPr>
              <w:t xml:space="preserve"> configuration generation (</w:t>
            </w:r>
            <w:r w:rsidRPr="00462EA2">
              <w:rPr>
                <w:rStyle w:val="VerbatimChar"/>
                <w:rFonts w:ascii="Times New Roman" w:hAnsi="Times New Roman" w:cs="Times New Roman"/>
                <w:szCs w:val="22"/>
              </w:rPr>
              <w:t>convert-diann</w:t>
            </w:r>
            <w:r w:rsidRPr="00462EA2">
              <w:rPr>
                <w:rFonts w:ascii="Times New Roman" w:hAnsi="Times New Roman" w:cs="Times New Roman"/>
                <w:sz w:val="22"/>
                <w:szCs w:val="22"/>
              </w:rPr>
              <w:t>)</w:t>
            </w:r>
          </w:p>
        </w:tc>
        <w:tc>
          <w:tcPr>
            <w:tcW w:w="5538" w:type="dxa"/>
          </w:tcPr>
          <w:p w14:paraId="745E7434" w14:textId="77777777" w:rsidR="00C90A64" w:rsidRPr="00462EA2" w:rsidRDefault="00C90A64" w:rsidP="00EE08B2">
            <w:pPr>
              <w:spacing w:line="360" w:lineRule="auto"/>
              <w:jc w:val="both"/>
              <w:rPr>
                <w:rFonts w:ascii="Times New Roman" w:hAnsi="Times New Roman" w:cs="Times New Roman"/>
                <w:sz w:val="22"/>
                <w:szCs w:val="22"/>
              </w:rPr>
            </w:pPr>
            <w:hyperlink r:id="rId20">
              <w:r w:rsidRPr="00462EA2">
                <w:rPr>
                  <w:rStyle w:val="Hyperlink"/>
                  <w:rFonts w:ascii="Times New Roman" w:hAnsi="Times New Roman" w:cs="Times New Roman"/>
                  <w:sz w:val="22"/>
                  <w:szCs w:val="22"/>
                </w:rPr>
                <w:t>https://github.com/bigbio/sdrf-pipelines</w:t>
              </w:r>
            </w:hyperlink>
          </w:p>
        </w:tc>
      </w:tr>
      <w:tr w:rsidR="00C90A64" w:rsidRPr="00462EA2" w14:paraId="3E2EC5B5" w14:textId="77777777" w:rsidTr="00462EA2">
        <w:tc>
          <w:tcPr>
            <w:tcW w:w="2389" w:type="dxa"/>
          </w:tcPr>
          <w:p w14:paraId="2DC3DB16"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qpx</w:t>
            </w:r>
          </w:p>
        </w:tc>
        <w:tc>
          <w:tcPr>
            <w:tcW w:w="2147" w:type="dxa"/>
          </w:tcPr>
          <w:p w14:paraId="4DB89A62"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 xml:space="preserve">Quantitative Proteomics eXchange format and </w:t>
            </w:r>
            <w:r w:rsidRPr="00462EA2">
              <w:rPr>
                <w:rStyle w:val="VerbatimChar"/>
                <w:rFonts w:ascii="Times New Roman" w:hAnsi="Times New Roman" w:cs="Times New Roman"/>
                <w:szCs w:val="22"/>
              </w:rPr>
              <w:t>qpxc</w:t>
            </w:r>
            <w:r w:rsidRPr="00462EA2">
              <w:rPr>
                <w:rFonts w:ascii="Times New Roman" w:hAnsi="Times New Roman" w:cs="Times New Roman"/>
                <w:sz w:val="22"/>
                <w:szCs w:val="22"/>
              </w:rPr>
              <w:t xml:space="preserve"> CLI</w:t>
            </w:r>
          </w:p>
        </w:tc>
        <w:tc>
          <w:tcPr>
            <w:tcW w:w="5538" w:type="dxa"/>
          </w:tcPr>
          <w:p w14:paraId="3E076EB4" w14:textId="77777777" w:rsidR="00C90A64" w:rsidRPr="00462EA2" w:rsidRDefault="00C90A64" w:rsidP="00EE08B2">
            <w:pPr>
              <w:spacing w:line="360" w:lineRule="auto"/>
              <w:jc w:val="both"/>
              <w:rPr>
                <w:rFonts w:ascii="Times New Roman" w:hAnsi="Times New Roman" w:cs="Times New Roman"/>
                <w:sz w:val="22"/>
                <w:szCs w:val="22"/>
              </w:rPr>
            </w:pPr>
            <w:hyperlink r:id="rId21">
              <w:r w:rsidRPr="00462EA2">
                <w:rPr>
                  <w:rStyle w:val="Hyperlink"/>
                  <w:rFonts w:ascii="Times New Roman" w:hAnsi="Times New Roman" w:cs="Times New Roman"/>
                  <w:sz w:val="22"/>
                  <w:szCs w:val="22"/>
                </w:rPr>
                <w:t>https://github.com/bigbio/qpx</w:t>
              </w:r>
            </w:hyperlink>
          </w:p>
        </w:tc>
      </w:tr>
      <w:tr w:rsidR="00C90A64" w:rsidRPr="00462EA2" w14:paraId="4CD5CA86" w14:textId="77777777" w:rsidTr="00462EA2">
        <w:trPr>
          <w:cnfStyle w:val="000000100000" w:firstRow="0" w:lastRow="0" w:firstColumn="0" w:lastColumn="0" w:oddVBand="0" w:evenVBand="0" w:oddHBand="1" w:evenHBand="0" w:firstRowFirstColumn="0" w:firstRowLastColumn="0" w:lastRowFirstColumn="0" w:lastRowLastColumn="0"/>
        </w:trPr>
        <w:tc>
          <w:tcPr>
            <w:tcW w:w="2389" w:type="dxa"/>
          </w:tcPr>
          <w:p w14:paraId="23639430"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pmultiqc</w:t>
            </w:r>
          </w:p>
        </w:tc>
        <w:tc>
          <w:tcPr>
            <w:tcW w:w="2147" w:type="dxa"/>
          </w:tcPr>
          <w:p w14:paraId="3E38AA56"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Proteomics QC reporting (MultiQC extension)</w:t>
            </w:r>
          </w:p>
        </w:tc>
        <w:tc>
          <w:tcPr>
            <w:tcW w:w="5538" w:type="dxa"/>
          </w:tcPr>
          <w:p w14:paraId="1EEB883A" w14:textId="77777777" w:rsidR="00C90A64" w:rsidRPr="00462EA2" w:rsidRDefault="00C90A64" w:rsidP="00EE08B2">
            <w:pPr>
              <w:spacing w:line="360" w:lineRule="auto"/>
              <w:jc w:val="both"/>
              <w:rPr>
                <w:rFonts w:ascii="Times New Roman" w:hAnsi="Times New Roman" w:cs="Times New Roman"/>
                <w:sz w:val="22"/>
                <w:szCs w:val="22"/>
              </w:rPr>
            </w:pPr>
            <w:hyperlink r:id="rId22">
              <w:r w:rsidRPr="00462EA2">
                <w:rPr>
                  <w:rStyle w:val="Hyperlink"/>
                  <w:rFonts w:ascii="Times New Roman" w:hAnsi="Times New Roman" w:cs="Times New Roman"/>
                  <w:sz w:val="22"/>
                  <w:szCs w:val="22"/>
                </w:rPr>
                <w:t>https://github.com/bigbio/pmultiqc</w:t>
              </w:r>
            </w:hyperlink>
          </w:p>
        </w:tc>
      </w:tr>
      <w:tr w:rsidR="00C90A64" w:rsidRPr="00462EA2" w14:paraId="24B5EA09" w14:textId="77777777" w:rsidTr="00462EA2">
        <w:tc>
          <w:tcPr>
            <w:tcW w:w="2389" w:type="dxa"/>
          </w:tcPr>
          <w:p w14:paraId="40C74C06"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lastRenderedPageBreak/>
              <w:t>wiffconverter</w:t>
            </w:r>
          </w:p>
        </w:tc>
        <w:tc>
          <w:tcPr>
            <w:tcW w:w="2147" w:type="dxa"/>
          </w:tcPr>
          <w:p w14:paraId="38BC57C0"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 xml:space="preserve">SCIEX </w:t>
            </w:r>
            <w:r w:rsidRPr="00462EA2">
              <w:rPr>
                <w:rStyle w:val="VerbatimChar"/>
                <w:rFonts w:ascii="Times New Roman" w:hAnsi="Times New Roman" w:cs="Times New Roman"/>
                <w:szCs w:val="22"/>
              </w:rPr>
              <w:t>.wiff</w:t>
            </w:r>
            <w:r w:rsidRPr="00462EA2">
              <w:rPr>
                <w:rFonts w:ascii="Times New Roman" w:hAnsi="Times New Roman" w:cs="Times New Roman"/>
                <w:sz w:val="22"/>
                <w:szCs w:val="22"/>
              </w:rPr>
              <w:t xml:space="preserve"> to mzML conversion</w:t>
            </w:r>
          </w:p>
        </w:tc>
        <w:tc>
          <w:tcPr>
            <w:tcW w:w="5538" w:type="dxa"/>
          </w:tcPr>
          <w:p w14:paraId="2C7F24DD" w14:textId="77777777" w:rsidR="00C90A64" w:rsidRPr="00462EA2" w:rsidRDefault="00C90A64" w:rsidP="00EE08B2">
            <w:pPr>
              <w:spacing w:line="360" w:lineRule="auto"/>
              <w:jc w:val="both"/>
              <w:rPr>
                <w:rFonts w:ascii="Times New Roman" w:hAnsi="Times New Roman" w:cs="Times New Roman"/>
                <w:sz w:val="22"/>
                <w:szCs w:val="22"/>
              </w:rPr>
            </w:pPr>
            <w:hyperlink r:id="rId23">
              <w:r w:rsidRPr="00462EA2">
                <w:rPr>
                  <w:rStyle w:val="Hyperlink"/>
                  <w:rFonts w:ascii="Times New Roman" w:hAnsi="Times New Roman" w:cs="Times New Roman"/>
                  <w:sz w:val="22"/>
                  <w:szCs w:val="22"/>
                </w:rPr>
                <w:t>https://github.com/bigbio/wiffconverter</w:t>
              </w:r>
            </w:hyperlink>
          </w:p>
        </w:tc>
      </w:tr>
      <w:tr w:rsidR="00C90A64" w:rsidRPr="00462EA2" w14:paraId="23FC0BAC" w14:textId="77777777" w:rsidTr="00462EA2">
        <w:trPr>
          <w:cnfStyle w:val="000000100000" w:firstRow="0" w:lastRow="0" w:firstColumn="0" w:lastColumn="0" w:oddVBand="0" w:evenVBand="0" w:oddHBand="1" w:evenHBand="0" w:firstRowFirstColumn="0" w:firstRowLastColumn="0" w:lastRowFirstColumn="0" w:lastRowLastColumn="0"/>
        </w:trPr>
        <w:tc>
          <w:tcPr>
            <w:tcW w:w="2389" w:type="dxa"/>
          </w:tcPr>
          <w:p w14:paraId="71E01423"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pridepy</w:t>
            </w:r>
          </w:p>
        </w:tc>
        <w:tc>
          <w:tcPr>
            <w:tcW w:w="2147" w:type="dxa"/>
          </w:tcPr>
          <w:p w14:paraId="3C717DBF"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PRIDE/MassIVE raw-file download client</w:t>
            </w:r>
          </w:p>
        </w:tc>
        <w:tc>
          <w:tcPr>
            <w:tcW w:w="5538" w:type="dxa"/>
          </w:tcPr>
          <w:p w14:paraId="68F1EC1D" w14:textId="77777777" w:rsidR="00C90A64" w:rsidRPr="00462EA2" w:rsidRDefault="00C90A64" w:rsidP="00EE08B2">
            <w:pPr>
              <w:spacing w:line="360" w:lineRule="auto"/>
              <w:jc w:val="both"/>
              <w:rPr>
                <w:rFonts w:ascii="Times New Roman" w:hAnsi="Times New Roman" w:cs="Times New Roman"/>
                <w:sz w:val="22"/>
                <w:szCs w:val="22"/>
              </w:rPr>
            </w:pPr>
            <w:hyperlink r:id="rId24">
              <w:r w:rsidRPr="00462EA2">
                <w:rPr>
                  <w:rStyle w:val="Hyperlink"/>
                  <w:rFonts w:ascii="Times New Roman" w:hAnsi="Times New Roman" w:cs="Times New Roman"/>
                  <w:sz w:val="22"/>
                  <w:szCs w:val="22"/>
                </w:rPr>
                <w:t>https://github.com/PRIDE-Archive/pridepy</w:t>
              </w:r>
            </w:hyperlink>
          </w:p>
        </w:tc>
      </w:tr>
      <w:tr w:rsidR="00C90A64" w:rsidRPr="00462EA2" w14:paraId="79937C59" w14:textId="77777777" w:rsidTr="00462EA2">
        <w:tc>
          <w:tcPr>
            <w:tcW w:w="2389" w:type="dxa"/>
          </w:tcPr>
          <w:p w14:paraId="175897FC" w14:textId="77777777" w:rsidR="00C90A64" w:rsidRPr="00462EA2" w:rsidRDefault="00C90A64" w:rsidP="00EE08B2">
            <w:pPr>
              <w:spacing w:line="360" w:lineRule="auto"/>
              <w:jc w:val="both"/>
              <w:rPr>
                <w:rFonts w:ascii="Times New Roman" w:hAnsi="Times New Roman" w:cs="Times New Roman"/>
                <w:sz w:val="22"/>
                <w:szCs w:val="22"/>
              </w:rPr>
            </w:pPr>
          </w:p>
        </w:tc>
        <w:tc>
          <w:tcPr>
            <w:tcW w:w="2147" w:type="dxa"/>
          </w:tcPr>
          <w:p w14:paraId="3CCB5180" w14:textId="77777777" w:rsidR="00C90A64" w:rsidRPr="00462EA2" w:rsidRDefault="00C90A64" w:rsidP="00EE08B2">
            <w:pPr>
              <w:spacing w:line="360" w:lineRule="auto"/>
              <w:jc w:val="both"/>
              <w:rPr>
                <w:rFonts w:ascii="Times New Roman" w:hAnsi="Times New Roman" w:cs="Times New Roman"/>
                <w:sz w:val="22"/>
                <w:szCs w:val="22"/>
              </w:rPr>
            </w:pPr>
          </w:p>
        </w:tc>
        <w:tc>
          <w:tcPr>
            <w:tcW w:w="5538" w:type="dxa"/>
          </w:tcPr>
          <w:p w14:paraId="5F0262C1" w14:textId="77777777" w:rsidR="00C90A64" w:rsidRPr="00462EA2" w:rsidRDefault="00C90A64" w:rsidP="00EE08B2">
            <w:pPr>
              <w:spacing w:line="360" w:lineRule="auto"/>
              <w:jc w:val="both"/>
              <w:rPr>
                <w:rFonts w:ascii="Times New Roman" w:hAnsi="Times New Roman" w:cs="Times New Roman"/>
                <w:sz w:val="22"/>
                <w:szCs w:val="22"/>
              </w:rPr>
            </w:pPr>
          </w:p>
        </w:tc>
      </w:tr>
      <w:tr w:rsidR="00C90A64" w:rsidRPr="00462EA2" w14:paraId="442613A4" w14:textId="77777777" w:rsidTr="00462EA2">
        <w:trPr>
          <w:cnfStyle w:val="000000100000" w:firstRow="0" w:lastRow="0" w:firstColumn="0" w:lastColumn="0" w:oddVBand="0" w:evenVBand="0" w:oddHBand="1" w:evenHBand="0" w:firstRowFirstColumn="0" w:firstRowLastColumn="0" w:lastRowFirstColumn="0" w:lastRowLastColumn="0"/>
        </w:trPr>
        <w:tc>
          <w:tcPr>
            <w:tcW w:w="2389" w:type="dxa"/>
          </w:tcPr>
          <w:p w14:paraId="2A16544D"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DIA-NN</w:t>
            </w:r>
          </w:p>
        </w:tc>
        <w:tc>
          <w:tcPr>
            <w:tcW w:w="2147" w:type="dxa"/>
          </w:tcPr>
          <w:p w14:paraId="35ACCC17"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Data-independent acquisition search and quantification engine</w:t>
            </w:r>
          </w:p>
        </w:tc>
        <w:tc>
          <w:tcPr>
            <w:tcW w:w="5538" w:type="dxa"/>
          </w:tcPr>
          <w:p w14:paraId="411E5816" w14:textId="77777777" w:rsidR="00C90A64" w:rsidRPr="00462EA2" w:rsidRDefault="00C90A64" w:rsidP="00EE08B2">
            <w:pPr>
              <w:spacing w:line="360" w:lineRule="auto"/>
              <w:jc w:val="both"/>
              <w:rPr>
                <w:rFonts w:ascii="Times New Roman" w:hAnsi="Times New Roman" w:cs="Times New Roman"/>
                <w:sz w:val="22"/>
                <w:szCs w:val="22"/>
              </w:rPr>
            </w:pPr>
            <w:hyperlink r:id="rId25">
              <w:r w:rsidRPr="00462EA2">
                <w:rPr>
                  <w:rStyle w:val="Hyperlink"/>
                  <w:rFonts w:ascii="Times New Roman" w:hAnsi="Times New Roman" w:cs="Times New Roman"/>
                  <w:sz w:val="22"/>
                  <w:szCs w:val="22"/>
                </w:rPr>
                <w:t>https://github.com/vdemichev/DiaNN</w:t>
              </w:r>
            </w:hyperlink>
          </w:p>
        </w:tc>
      </w:tr>
      <w:tr w:rsidR="00C90A64" w:rsidRPr="00462EA2" w14:paraId="3120F269" w14:textId="77777777" w:rsidTr="00462EA2">
        <w:tc>
          <w:tcPr>
            <w:tcW w:w="2389" w:type="dxa"/>
          </w:tcPr>
          <w:p w14:paraId="03CC57A5"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Nextflow</w:t>
            </w:r>
          </w:p>
        </w:tc>
        <w:tc>
          <w:tcPr>
            <w:tcW w:w="2147" w:type="dxa"/>
          </w:tcPr>
          <w:p w14:paraId="514AF8FB"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Workflow orchestration engine</w:t>
            </w:r>
          </w:p>
        </w:tc>
        <w:tc>
          <w:tcPr>
            <w:tcW w:w="5538" w:type="dxa"/>
          </w:tcPr>
          <w:p w14:paraId="443E9D2F" w14:textId="77777777" w:rsidR="00C90A64" w:rsidRPr="00462EA2" w:rsidRDefault="00C90A64" w:rsidP="00EE08B2">
            <w:pPr>
              <w:spacing w:line="360" w:lineRule="auto"/>
              <w:jc w:val="both"/>
              <w:rPr>
                <w:rFonts w:ascii="Times New Roman" w:hAnsi="Times New Roman" w:cs="Times New Roman"/>
                <w:sz w:val="22"/>
                <w:szCs w:val="22"/>
              </w:rPr>
            </w:pPr>
            <w:hyperlink r:id="rId26">
              <w:r w:rsidRPr="00462EA2">
                <w:rPr>
                  <w:rStyle w:val="Hyperlink"/>
                  <w:rFonts w:ascii="Times New Roman" w:hAnsi="Times New Roman" w:cs="Times New Roman"/>
                  <w:sz w:val="22"/>
                  <w:szCs w:val="22"/>
                </w:rPr>
                <w:t>https://github.com/nextflow-io/nextflow</w:t>
              </w:r>
            </w:hyperlink>
          </w:p>
        </w:tc>
      </w:tr>
      <w:tr w:rsidR="00C90A64" w:rsidRPr="00462EA2" w14:paraId="2BE22AE1" w14:textId="77777777" w:rsidTr="00462EA2">
        <w:trPr>
          <w:cnfStyle w:val="000000100000" w:firstRow="0" w:lastRow="0" w:firstColumn="0" w:lastColumn="0" w:oddVBand="0" w:evenVBand="0" w:oddHBand="1" w:evenHBand="0" w:firstRowFirstColumn="0" w:firstRowLastColumn="0" w:lastRowFirstColumn="0" w:lastRowLastColumn="0"/>
        </w:trPr>
        <w:tc>
          <w:tcPr>
            <w:tcW w:w="2389" w:type="dxa"/>
          </w:tcPr>
          <w:p w14:paraId="580073EB"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nf-core</w:t>
            </w:r>
          </w:p>
        </w:tc>
        <w:tc>
          <w:tcPr>
            <w:tcW w:w="2147" w:type="dxa"/>
          </w:tcPr>
          <w:p w14:paraId="246BED0B"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Community framework and conventions for the workflow</w:t>
            </w:r>
          </w:p>
        </w:tc>
        <w:tc>
          <w:tcPr>
            <w:tcW w:w="5538" w:type="dxa"/>
          </w:tcPr>
          <w:p w14:paraId="5B717D56" w14:textId="77777777" w:rsidR="00C90A64" w:rsidRPr="00462EA2" w:rsidRDefault="00C90A64" w:rsidP="00EE08B2">
            <w:pPr>
              <w:spacing w:line="360" w:lineRule="auto"/>
              <w:jc w:val="both"/>
              <w:rPr>
                <w:rFonts w:ascii="Times New Roman" w:hAnsi="Times New Roman" w:cs="Times New Roman"/>
                <w:sz w:val="22"/>
                <w:szCs w:val="22"/>
              </w:rPr>
            </w:pPr>
            <w:hyperlink r:id="rId27">
              <w:r w:rsidRPr="00462EA2">
                <w:rPr>
                  <w:rStyle w:val="Hyperlink"/>
                  <w:rFonts w:ascii="Times New Roman" w:hAnsi="Times New Roman" w:cs="Times New Roman"/>
                  <w:sz w:val="22"/>
                  <w:szCs w:val="22"/>
                </w:rPr>
                <w:t>https://nf-co.re</w:t>
              </w:r>
            </w:hyperlink>
          </w:p>
        </w:tc>
      </w:tr>
      <w:tr w:rsidR="00C90A64" w:rsidRPr="00462EA2" w14:paraId="5E9DB075" w14:textId="77777777" w:rsidTr="00462EA2">
        <w:tc>
          <w:tcPr>
            <w:tcW w:w="2389" w:type="dxa"/>
          </w:tcPr>
          <w:p w14:paraId="1E93BD07"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MultiQC</w:t>
            </w:r>
          </w:p>
        </w:tc>
        <w:tc>
          <w:tcPr>
            <w:tcW w:w="2147" w:type="dxa"/>
          </w:tcPr>
          <w:p w14:paraId="24C76D5E"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Aggregated analysis-report framework (extended by pmultiqc)</w:t>
            </w:r>
          </w:p>
        </w:tc>
        <w:tc>
          <w:tcPr>
            <w:tcW w:w="5538" w:type="dxa"/>
          </w:tcPr>
          <w:p w14:paraId="11BB6EFE" w14:textId="77777777" w:rsidR="00C90A64" w:rsidRPr="00462EA2" w:rsidRDefault="00C90A64" w:rsidP="00EE08B2">
            <w:pPr>
              <w:spacing w:line="360" w:lineRule="auto"/>
              <w:jc w:val="both"/>
              <w:rPr>
                <w:rFonts w:ascii="Times New Roman" w:hAnsi="Times New Roman" w:cs="Times New Roman"/>
                <w:sz w:val="22"/>
                <w:szCs w:val="22"/>
              </w:rPr>
            </w:pPr>
            <w:hyperlink r:id="rId28">
              <w:r w:rsidRPr="00462EA2">
                <w:rPr>
                  <w:rStyle w:val="Hyperlink"/>
                  <w:rFonts w:ascii="Times New Roman" w:hAnsi="Times New Roman" w:cs="Times New Roman"/>
                  <w:sz w:val="22"/>
                  <w:szCs w:val="22"/>
                </w:rPr>
                <w:t>https://github.com/MultiQC/MultiQC</w:t>
              </w:r>
            </w:hyperlink>
          </w:p>
        </w:tc>
      </w:tr>
      <w:tr w:rsidR="00C90A64" w:rsidRPr="00462EA2" w14:paraId="36ECE2B1" w14:textId="77777777" w:rsidTr="00462EA2">
        <w:trPr>
          <w:cnfStyle w:val="000000100000" w:firstRow="0" w:lastRow="0" w:firstColumn="0" w:lastColumn="0" w:oddVBand="0" w:evenVBand="0" w:oddHBand="1" w:evenHBand="0" w:firstRowFirstColumn="0" w:firstRowLastColumn="0" w:lastRowFirstColumn="0" w:lastRowLastColumn="0"/>
        </w:trPr>
        <w:tc>
          <w:tcPr>
            <w:tcW w:w="2389" w:type="dxa"/>
          </w:tcPr>
          <w:p w14:paraId="62875C75"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MSstats</w:t>
            </w:r>
          </w:p>
        </w:tc>
        <w:tc>
          <w:tcPr>
            <w:tcW w:w="2147" w:type="dxa"/>
          </w:tcPr>
          <w:p w14:paraId="7DF2DA2E"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Statistical quantification; target output format</w:t>
            </w:r>
          </w:p>
        </w:tc>
        <w:tc>
          <w:tcPr>
            <w:tcW w:w="5538" w:type="dxa"/>
          </w:tcPr>
          <w:p w14:paraId="68A90334" w14:textId="77777777" w:rsidR="00C90A64" w:rsidRPr="00462EA2" w:rsidRDefault="00C90A64" w:rsidP="00EE08B2">
            <w:pPr>
              <w:spacing w:line="360" w:lineRule="auto"/>
              <w:jc w:val="both"/>
              <w:rPr>
                <w:rFonts w:ascii="Times New Roman" w:hAnsi="Times New Roman" w:cs="Times New Roman"/>
                <w:sz w:val="22"/>
                <w:szCs w:val="22"/>
              </w:rPr>
            </w:pPr>
            <w:hyperlink r:id="rId29">
              <w:r w:rsidRPr="00462EA2">
                <w:rPr>
                  <w:rStyle w:val="Hyperlink"/>
                  <w:rFonts w:ascii="Times New Roman" w:hAnsi="Times New Roman" w:cs="Times New Roman"/>
                  <w:sz w:val="22"/>
                  <w:szCs w:val="22"/>
                </w:rPr>
                <w:t>https://github.com/Vitek-Lab/MSstats</w:t>
              </w:r>
            </w:hyperlink>
          </w:p>
        </w:tc>
      </w:tr>
      <w:tr w:rsidR="00C90A64" w:rsidRPr="00462EA2" w14:paraId="0AB7473F" w14:textId="77777777" w:rsidTr="00462EA2">
        <w:tc>
          <w:tcPr>
            <w:tcW w:w="2389" w:type="dxa"/>
          </w:tcPr>
          <w:p w14:paraId="38C1835B"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ProteoBench</w:t>
            </w:r>
          </w:p>
        </w:tc>
        <w:tc>
          <w:tcPr>
            <w:tcW w:w="2147" w:type="dxa"/>
          </w:tcPr>
          <w:p w14:paraId="72D918D7"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Community benchmarking platform for DIA workflows</w:t>
            </w:r>
          </w:p>
        </w:tc>
        <w:tc>
          <w:tcPr>
            <w:tcW w:w="5538" w:type="dxa"/>
          </w:tcPr>
          <w:p w14:paraId="0D9AE7B2" w14:textId="77777777" w:rsidR="00C90A64" w:rsidRPr="00462EA2" w:rsidRDefault="00C90A64" w:rsidP="00EE08B2">
            <w:pPr>
              <w:spacing w:line="360" w:lineRule="auto"/>
              <w:jc w:val="both"/>
              <w:rPr>
                <w:rFonts w:ascii="Times New Roman" w:hAnsi="Times New Roman" w:cs="Times New Roman"/>
                <w:sz w:val="22"/>
                <w:szCs w:val="22"/>
              </w:rPr>
            </w:pPr>
            <w:hyperlink r:id="rId30">
              <w:r w:rsidRPr="00462EA2">
                <w:rPr>
                  <w:rStyle w:val="Hyperlink"/>
                  <w:rFonts w:ascii="Times New Roman" w:hAnsi="Times New Roman" w:cs="Times New Roman"/>
                  <w:sz w:val="22"/>
                  <w:szCs w:val="22"/>
                </w:rPr>
                <w:t>https://github.com/Proteobench/ProteoBench</w:t>
              </w:r>
            </w:hyperlink>
          </w:p>
        </w:tc>
      </w:tr>
      <w:tr w:rsidR="00C90A64" w:rsidRPr="00462EA2" w14:paraId="1D0863E7" w14:textId="77777777" w:rsidTr="00462EA2">
        <w:trPr>
          <w:cnfStyle w:val="000000100000" w:firstRow="0" w:lastRow="0" w:firstColumn="0" w:lastColumn="0" w:oddVBand="0" w:evenVBand="0" w:oddHBand="1" w:evenHBand="0" w:firstRowFirstColumn="0" w:firstRowLastColumn="0" w:lastRowFirstColumn="0" w:lastRowLastColumn="0"/>
        </w:trPr>
        <w:tc>
          <w:tcPr>
            <w:tcW w:w="2389" w:type="dxa"/>
          </w:tcPr>
          <w:p w14:paraId="3434FC7A"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ThermoRawFileParser</w:t>
            </w:r>
          </w:p>
        </w:tc>
        <w:tc>
          <w:tcPr>
            <w:tcW w:w="2147" w:type="dxa"/>
          </w:tcPr>
          <w:p w14:paraId="6FC69DD3"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 xml:space="preserve">Thermo </w:t>
            </w:r>
            <w:r w:rsidRPr="00462EA2">
              <w:rPr>
                <w:rStyle w:val="VerbatimChar"/>
                <w:rFonts w:ascii="Times New Roman" w:hAnsi="Times New Roman" w:cs="Times New Roman"/>
                <w:szCs w:val="22"/>
              </w:rPr>
              <w:t>.raw</w:t>
            </w:r>
            <w:r w:rsidRPr="00462EA2">
              <w:rPr>
                <w:rFonts w:ascii="Times New Roman" w:hAnsi="Times New Roman" w:cs="Times New Roman"/>
                <w:sz w:val="22"/>
                <w:szCs w:val="22"/>
              </w:rPr>
              <w:t xml:space="preserve"> to mzML conversion</w:t>
            </w:r>
          </w:p>
        </w:tc>
        <w:tc>
          <w:tcPr>
            <w:tcW w:w="5538" w:type="dxa"/>
          </w:tcPr>
          <w:p w14:paraId="31A188C3" w14:textId="77777777" w:rsidR="00C90A64" w:rsidRPr="00462EA2" w:rsidRDefault="00C90A64" w:rsidP="00EE08B2">
            <w:pPr>
              <w:spacing w:line="360" w:lineRule="auto"/>
              <w:jc w:val="both"/>
              <w:rPr>
                <w:rFonts w:ascii="Times New Roman" w:hAnsi="Times New Roman" w:cs="Times New Roman"/>
                <w:sz w:val="22"/>
                <w:szCs w:val="22"/>
              </w:rPr>
            </w:pPr>
            <w:hyperlink r:id="rId31">
              <w:r w:rsidRPr="00462EA2">
                <w:rPr>
                  <w:rStyle w:val="Hyperlink"/>
                  <w:rFonts w:ascii="Times New Roman" w:hAnsi="Times New Roman" w:cs="Times New Roman"/>
                  <w:sz w:val="22"/>
                  <w:szCs w:val="22"/>
                </w:rPr>
                <w:t>https://github.com/compomics/ThermoRawFileParser</w:t>
              </w:r>
            </w:hyperlink>
          </w:p>
        </w:tc>
      </w:tr>
      <w:tr w:rsidR="00C90A64" w:rsidRPr="00462EA2" w14:paraId="5B5CB894" w14:textId="77777777" w:rsidTr="00462EA2">
        <w:tc>
          <w:tcPr>
            <w:tcW w:w="2389" w:type="dxa"/>
          </w:tcPr>
          <w:p w14:paraId="65ED5E32" w14:textId="77777777" w:rsidR="00C90A64" w:rsidRPr="00462EA2" w:rsidRDefault="00C90A64" w:rsidP="00EE08B2">
            <w:pPr>
              <w:spacing w:line="360" w:lineRule="auto"/>
              <w:jc w:val="both"/>
              <w:rPr>
                <w:rFonts w:ascii="Times New Roman" w:hAnsi="Times New Roman" w:cs="Times New Roman"/>
                <w:sz w:val="22"/>
                <w:szCs w:val="22"/>
              </w:rPr>
            </w:pPr>
          </w:p>
        </w:tc>
        <w:tc>
          <w:tcPr>
            <w:tcW w:w="2147" w:type="dxa"/>
          </w:tcPr>
          <w:p w14:paraId="5E4396BA" w14:textId="77777777" w:rsidR="00C90A64" w:rsidRPr="00462EA2" w:rsidRDefault="00C90A64" w:rsidP="00EE08B2">
            <w:pPr>
              <w:spacing w:line="360" w:lineRule="auto"/>
              <w:jc w:val="both"/>
              <w:rPr>
                <w:rFonts w:ascii="Times New Roman" w:hAnsi="Times New Roman" w:cs="Times New Roman"/>
                <w:sz w:val="22"/>
                <w:szCs w:val="22"/>
              </w:rPr>
            </w:pPr>
          </w:p>
        </w:tc>
        <w:tc>
          <w:tcPr>
            <w:tcW w:w="5538" w:type="dxa"/>
          </w:tcPr>
          <w:p w14:paraId="61FA535B" w14:textId="77777777" w:rsidR="00C90A64" w:rsidRPr="00462EA2" w:rsidRDefault="00C90A64" w:rsidP="00EE08B2">
            <w:pPr>
              <w:spacing w:line="360" w:lineRule="auto"/>
              <w:jc w:val="both"/>
              <w:rPr>
                <w:rFonts w:ascii="Times New Roman" w:hAnsi="Times New Roman" w:cs="Times New Roman"/>
                <w:sz w:val="22"/>
                <w:szCs w:val="22"/>
              </w:rPr>
            </w:pPr>
          </w:p>
        </w:tc>
      </w:tr>
      <w:tr w:rsidR="00C90A64" w:rsidRPr="00462EA2" w14:paraId="220FD951" w14:textId="77777777" w:rsidTr="00462EA2">
        <w:trPr>
          <w:cnfStyle w:val="000000100000" w:firstRow="0" w:lastRow="0" w:firstColumn="0" w:lastColumn="0" w:oddVBand="0" w:evenVBand="0" w:oddHBand="1" w:evenHBand="0" w:firstRowFirstColumn="0" w:firstRowLastColumn="0" w:lastRowFirstColumn="0" w:lastRowLastColumn="0"/>
        </w:trPr>
        <w:tc>
          <w:tcPr>
            <w:tcW w:w="2389" w:type="dxa"/>
          </w:tcPr>
          <w:p w14:paraId="0F21DC89"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Docker</w:t>
            </w:r>
          </w:p>
        </w:tc>
        <w:tc>
          <w:tcPr>
            <w:tcW w:w="2147" w:type="dxa"/>
          </w:tcPr>
          <w:p w14:paraId="21163449"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Container runtime (workflow profile)</w:t>
            </w:r>
          </w:p>
        </w:tc>
        <w:tc>
          <w:tcPr>
            <w:tcW w:w="5538" w:type="dxa"/>
          </w:tcPr>
          <w:p w14:paraId="6BE0970E" w14:textId="77777777" w:rsidR="00C90A64" w:rsidRPr="00462EA2" w:rsidRDefault="00C90A64" w:rsidP="00EE08B2">
            <w:pPr>
              <w:spacing w:line="360" w:lineRule="auto"/>
              <w:jc w:val="both"/>
              <w:rPr>
                <w:rFonts w:ascii="Times New Roman" w:hAnsi="Times New Roman" w:cs="Times New Roman"/>
                <w:sz w:val="22"/>
                <w:szCs w:val="22"/>
              </w:rPr>
            </w:pPr>
            <w:hyperlink r:id="rId32">
              <w:r w:rsidRPr="00462EA2">
                <w:rPr>
                  <w:rStyle w:val="Hyperlink"/>
                  <w:rFonts w:ascii="Times New Roman" w:hAnsi="Times New Roman" w:cs="Times New Roman"/>
                  <w:sz w:val="22"/>
                  <w:szCs w:val="22"/>
                </w:rPr>
                <w:t>https://www.docker.com</w:t>
              </w:r>
            </w:hyperlink>
          </w:p>
        </w:tc>
      </w:tr>
      <w:tr w:rsidR="00C90A64" w:rsidRPr="00462EA2" w14:paraId="2A01F88E" w14:textId="77777777" w:rsidTr="00462EA2">
        <w:tc>
          <w:tcPr>
            <w:tcW w:w="2389" w:type="dxa"/>
          </w:tcPr>
          <w:p w14:paraId="5510BB30"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Apptainer (Singularity)</w:t>
            </w:r>
          </w:p>
        </w:tc>
        <w:tc>
          <w:tcPr>
            <w:tcW w:w="2147" w:type="dxa"/>
          </w:tcPr>
          <w:p w14:paraId="7DE9F434"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HPC container runtime (workflow profile)</w:t>
            </w:r>
          </w:p>
        </w:tc>
        <w:tc>
          <w:tcPr>
            <w:tcW w:w="5538" w:type="dxa"/>
          </w:tcPr>
          <w:p w14:paraId="134A71F1" w14:textId="77777777" w:rsidR="00C90A64" w:rsidRPr="00462EA2" w:rsidRDefault="00C90A64" w:rsidP="00EE08B2">
            <w:pPr>
              <w:spacing w:line="360" w:lineRule="auto"/>
              <w:jc w:val="both"/>
              <w:rPr>
                <w:rFonts w:ascii="Times New Roman" w:hAnsi="Times New Roman" w:cs="Times New Roman"/>
                <w:sz w:val="22"/>
                <w:szCs w:val="22"/>
              </w:rPr>
            </w:pPr>
            <w:hyperlink r:id="rId33">
              <w:r w:rsidRPr="00462EA2">
                <w:rPr>
                  <w:rStyle w:val="Hyperlink"/>
                  <w:rFonts w:ascii="Times New Roman" w:hAnsi="Times New Roman" w:cs="Times New Roman"/>
                  <w:sz w:val="22"/>
                  <w:szCs w:val="22"/>
                </w:rPr>
                <w:t>https://apptainer.org</w:t>
              </w:r>
            </w:hyperlink>
          </w:p>
        </w:tc>
      </w:tr>
      <w:tr w:rsidR="00C90A64" w:rsidRPr="00462EA2" w14:paraId="42F93430" w14:textId="77777777" w:rsidTr="00462EA2">
        <w:trPr>
          <w:cnfStyle w:val="000000100000" w:firstRow="0" w:lastRow="0" w:firstColumn="0" w:lastColumn="0" w:oddVBand="0" w:evenVBand="0" w:oddHBand="1" w:evenHBand="0" w:firstRowFirstColumn="0" w:firstRowLastColumn="0" w:lastRowFirstColumn="0" w:lastRowLastColumn="0"/>
        </w:trPr>
        <w:tc>
          <w:tcPr>
            <w:tcW w:w="2389" w:type="dxa"/>
          </w:tcPr>
          <w:p w14:paraId="28A9166F"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lastRenderedPageBreak/>
              <w:t>BioContainers</w:t>
            </w:r>
          </w:p>
        </w:tc>
        <w:tc>
          <w:tcPr>
            <w:tcW w:w="2147" w:type="dxa"/>
          </w:tcPr>
          <w:p w14:paraId="79CE78A9"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 xml:space="preserve">Source of the default </w:t>
            </w:r>
            <w:r w:rsidRPr="00462EA2">
              <w:rPr>
                <w:rStyle w:val="VerbatimChar"/>
                <w:rFonts w:ascii="Times New Roman" w:hAnsi="Times New Roman" w:cs="Times New Roman"/>
                <w:szCs w:val="22"/>
              </w:rPr>
              <w:t>DIA-NN</w:t>
            </w:r>
            <w:r w:rsidRPr="00462EA2">
              <w:rPr>
                <w:rFonts w:ascii="Times New Roman" w:hAnsi="Times New Roman" w:cs="Times New Roman"/>
                <w:sz w:val="22"/>
                <w:szCs w:val="22"/>
              </w:rPr>
              <w:t> 1.8.1 image</w:t>
            </w:r>
          </w:p>
        </w:tc>
        <w:tc>
          <w:tcPr>
            <w:tcW w:w="5538" w:type="dxa"/>
          </w:tcPr>
          <w:p w14:paraId="00F7F185" w14:textId="77777777" w:rsidR="00C90A64" w:rsidRPr="00462EA2" w:rsidRDefault="00C90A64" w:rsidP="00EE08B2">
            <w:pPr>
              <w:spacing w:line="360" w:lineRule="auto"/>
              <w:jc w:val="both"/>
              <w:rPr>
                <w:rFonts w:ascii="Times New Roman" w:hAnsi="Times New Roman" w:cs="Times New Roman"/>
                <w:sz w:val="22"/>
                <w:szCs w:val="22"/>
              </w:rPr>
            </w:pPr>
            <w:hyperlink r:id="rId34">
              <w:r w:rsidRPr="00462EA2">
                <w:rPr>
                  <w:rStyle w:val="Hyperlink"/>
                  <w:rFonts w:ascii="Times New Roman" w:hAnsi="Times New Roman" w:cs="Times New Roman"/>
                  <w:sz w:val="22"/>
                  <w:szCs w:val="22"/>
                </w:rPr>
                <w:t>https://biocontainers.pro</w:t>
              </w:r>
            </w:hyperlink>
          </w:p>
        </w:tc>
      </w:tr>
      <w:tr w:rsidR="00C90A64" w:rsidRPr="00462EA2" w14:paraId="1BCECB03" w14:textId="77777777" w:rsidTr="00462EA2">
        <w:tc>
          <w:tcPr>
            <w:tcW w:w="2389" w:type="dxa"/>
          </w:tcPr>
          <w:p w14:paraId="6D53EA1B"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DuckDB</w:t>
            </w:r>
          </w:p>
        </w:tc>
        <w:tc>
          <w:tcPr>
            <w:tcW w:w="2147" w:type="dxa"/>
          </w:tcPr>
          <w:p w14:paraId="4748FCDA"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In-process engine for querying the QPX Parquet archive</w:t>
            </w:r>
          </w:p>
        </w:tc>
        <w:tc>
          <w:tcPr>
            <w:tcW w:w="5538" w:type="dxa"/>
          </w:tcPr>
          <w:p w14:paraId="56191887" w14:textId="77777777" w:rsidR="00C90A64" w:rsidRPr="00462EA2" w:rsidRDefault="00C90A64" w:rsidP="00EE08B2">
            <w:pPr>
              <w:spacing w:line="360" w:lineRule="auto"/>
              <w:jc w:val="both"/>
              <w:rPr>
                <w:rFonts w:ascii="Times New Roman" w:hAnsi="Times New Roman" w:cs="Times New Roman"/>
                <w:sz w:val="22"/>
                <w:szCs w:val="22"/>
              </w:rPr>
            </w:pPr>
            <w:hyperlink r:id="rId35">
              <w:r w:rsidRPr="00462EA2">
                <w:rPr>
                  <w:rStyle w:val="Hyperlink"/>
                  <w:rFonts w:ascii="Times New Roman" w:hAnsi="Times New Roman" w:cs="Times New Roman"/>
                  <w:sz w:val="22"/>
                  <w:szCs w:val="22"/>
                </w:rPr>
                <w:t>https://github.com/duckdb/duckdb</w:t>
              </w:r>
            </w:hyperlink>
          </w:p>
        </w:tc>
      </w:tr>
      <w:tr w:rsidR="00C90A64" w:rsidRPr="00462EA2" w14:paraId="202378FC" w14:textId="77777777" w:rsidTr="00462EA2">
        <w:trPr>
          <w:cnfStyle w:val="000000100000" w:firstRow="0" w:lastRow="0" w:firstColumn="0" w:lastColumn="0" w:oddVBand="0" w:evenVBand="0" w:oddHBand="1" w:evenHBand="0" w:firstRowFirstColumn="0" w:firstRowLastColumn="0" w:lastRowFirstColumn="0" w:lastRowLastColumn="0"/>
        </w:trPr>
        <w:tc>
          <w:tcPr>
            <w:tcW w:w="2389" w:type="dxa"/>
          </w:tcPr>
          <w:p w14:paraId="674EEF01"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MuData (</w:t>
            </w:r>
            <w:r w:rsidRPr="00462EA2">
              <w:rPr>
                <w:rStyle w:val="VerbatimChar"/>
                <w:rFonts w:ascii="Times New Roman" w:hAnsi="Times New Roman" w:cs="Times New Roman"/>
                <w:szCs w:val="22"/>
              </w:rPr>
              <w:t>.h5mu</w:t>
            </w:r>
            <w:r w:rsidRPr="00462EA2">
              <w:rPr>
                <w:rFonts w:ascii="Times New Roman" w:hAnsi="Times New Roman" w:cs="Times New Roman"/>
                <w:sz w:val="22"/>
                <w:szCs w:val="22"/>
              </w:rPr>
              <w:t>)</w:t>
            </w:r>
          </w:p>
        </w:tc>
        <w:tc>
          <w:tcPr>
            <w:tcW w:w="2147" w:type="dxa"/>
          </w:tcPr>
          <w:p w14:paraId="5A33ED0D"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Multimodal container for single-cell export</w:t>
            </w:r>
          </w:p>
        </w:tc>
        <w:tc>
          <w:tcPr>
            <w:tcW w:w="5538" w:type="dxa"/>
          </w:tcPr>
          <w:p w14:paraId="1519F6F3" w14:textId="77777777" w:rsidR="00C90A64" w:rsidRPr="00462EA2" w:rsidRDefault="00C90A64" w:rsidP="00EE08B2">
            <w:pPr>
              <w:spacing w:line="360" w:lineRule="auto"/>
              <w:jc w:val="both"/>
              <w:rPr>
                <w:rFonts w:ascii="Times New Roman" w:hAnsi="Times New Roman" w:cs="Times New Roman"/>
                <w:sz w:val="22"/>
                <w:szCs w:val="22"/>
              </w:rPr>
            </w:pPr>
            <w:hyperlink r:id="rId36">
              <w:r w:rsidRPr="00462EA2">
                <w:rPr>
                  <w:rStyle w:val="Hyperlink"/>
                  <w:rFonts w:ascii="Times New Roman" w:hAnsi="Times New Roman" w:cs="Times New Roman"/>
                  <w:sz w:val="22"/>
                  <w:szCs w:val="22"/>
                </w:rPr>
                <w:t>https://github.com/scverse/mudata</w:t>
              </w:r>
            </w:hyperlink>
          </w:p>
        </w:tc>
      </w:tr>
      <w:tr w:rsidR="00C90A64" w:rsidRPr="00462EA2" w14:paraId="1F77DDB0" w14:textId="77777777" w:rsidTr="00462EA2">
        <w:tc>
          <w:tcPr>
            <w:tcW w:w="2389" w:type="dxa"/>
          </w:tcPr>
          <w:p w14:paraId="0BE51193"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scverse</w:t>
            </w:r>
          </w:p>
        </w:tc>
        <w:tc>
          <w:tcPr>
            <w:tcW w:w="2147" w:type="dxa"/>
          </w:tcPr>
          <w:p w14:paraId="6DDFE674"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Single-cell analysis ecosystem (downstream of MuData export)</w:t>
            </w:r>
          </w:p>
        </w:tc>
        <w:tc>
          <w:tcPr>
            <w:tcW w:w="5538" w:type="dxa"/>
          </w:tcPr>
          <w:p w14:paraId="4198D6DE" w14:textId="77777777" w:rsidR="00C90A64" w:rsidRPr="00462EA2" w:rsidRDefault="00C90A64" w:rsidP="00EE08B2">
            <w:pPr>
              <w:spacing w:line="360" w:lineRule="auto"/>
              <w:jc w:val="both"/>
              <w:rPr>
                <w:rFonts w:ascii="Times New Roman" w:hAnsi="Times New Roman" w:cs="Times New Roman"/>
                <w:sz w:val="22"/>
                <w:szCs w:val="22"/>
              </w:rPr>
            </w:pPr>
            <w:hyperlink r:id="rId37">
              <w:r w:rsidRPr="00462EA2">
                <w:rPr>
                  <w:rStyle w:val="Hyperlink"/>
                  <w:rFonts w:ascii="Times New Roman" w:hAnsi="Times New Roman" w:cs="Times New Roman"/>
                  <w:sz w:val="22"/>
                  <w:szCs w:val="22"/>
                </w:rPr>
                <w:t>https://scverse.org</w:t>
              </w:r>
            </w:hyperlink>
          </w:p>
        </w:tc>
      </w:tr>
      <w:tr w:rsidR="00C90A64" w:rsidRPr="00462EA2" w14:paraId="7B1311A6" w14:textId="77777777" w:rsidTr="00462EA2">
        <w:trPr>
          <w:cnfStyle w:val="000000100000" w:firstRow="0" w:lastRow="0" w:firstColumn="0" w:lastColumn="0" w:oddVBand="0" w:evenVBand="0" w:oddHBand="1" w:evenHBand="0" w:firstRowFirstColumn="0" w:firstRowLastColumn="0" w:lastRowFirstColumn="0" w:lastRowLastColumn="0"/>
        </w:trPr>
        <w:tc>
          <w:tcPr>
            <w:tcW w:w="2389" w:type="dxa"/>
          </w:tcPr>
          <w:p w14:paraId="54807703" w14:textId="77777777" w:rsidR="00C90A64" w:rsidRPr="00462EA2" w:rsidRDefault="00C90A64" w:rsidP="00EE08B2">
            <w:pPr>
              <w:spacing w:line="360" w:lineRule="auto"/>
              <w:jc w:val="both"/>
              <w:rPr>
                <w:rFonts w:ascii="Times New Roman" w:hAnsi="Times New Roman" w:cs="Times New Roman"/>
                <w:sz w:val="22"/>
                <w:szCs w:val="22"/>
              </w:rPr>
            </w:pPr>
          </w:p>
        </w:tc>
        <w:tc>
          <w:tcPr>
            <w:tcW w:w="2147" w:type="dxa"/>
          </w:tcPr>
          <w:p w14:paraId="5F629244" w14:textId="77777777" w:rsidR="00C90A64" w:rsidRPr="00462EA2" w:rsidRDefault="00C90A64" w:rsidP="00EE08B2">
            <w:pPr>
              <w:spacing w:line="360" w:lineRule="auto"/>
              <w:jc w:val="both"/>
              <w:rPr>
                <w:rFonts w:ascii="Times New Roman" w:hAnsi="Times New Roman" w:cs="Times New Roman"/>
                <w:sz w:val="22"/>
                <w:szCs w:val="22"/>
              </w:rPr>
            </w:pPr>
          </w:p>
        </w:tc>
        <w:tc>
          <w:tcPr>
            <w:tcW w:w="5538" w:type="dxa"/>
          </w:tcPr>
          <w:p w14:paraId="63923549" w14:textId="77777777" w:rsidR="00C90A64" w:rsidRPr="00462EA2" w:rsidRDefault="00C90A64" w:rsidP="00EE08B2">
            <w:pPr>
              <w:spacing w:line="360" w:lineRule="auto"/>
              <w:jc w:val="both"/>
              <w:rPr>
                <w:rFonts w:ascii="Times New Roman" w:hAnsi="Times New Roman" w:cs="Times New Roman"/>
                <w:sz w:val="22"/>
                <w:szCs w:val="22"/>
              </w:rPr>
            </w:pPr>
          </w:p>
        </w:tc>
      </w:tr>
      <w:tr w:rsidR="00C90A64" w:rsidRPr="00462EA2" w14:paraId="074617BD" w14:textId="77777777" w:rsidTr="00462EA2">
        <w:tc>
          <w:tcPr>
            <w:tcW w:w="2389" w:type="dxa"/>
          </w:tcPr>
          <w:p w14:paraId="25990F3B"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PRIDE Archive</w:t>
            </w:r>
          </w:p>
        </w:tc>
        <w:tc>
          <w:tcPr>
            <w:tcW w:w="2147" w:type="dxa"/>
          </w:tcPr>
          <w:p w14:paraId="7BEA2312"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Source repository for deposited datasets</w:t>
            </w:r>
          </w:p>
        </w:tc>
        <w:tc>
          <w:tcPr>
            <w:tcW w:w="5538" w:type="dxa"/>
          </w:tcPr>
          <w:p w14:paraId="6050652B" w14:textId="77777777" w:rsidR="00C90A64" w:rsidRPr="00462EA2" w:rsidRDefault="00C90A64" w:rsidP="00EE08B2">
            <w:pPr>
              <w:spacing w:line="360" w:lineRule="auto"/>
              <w:jc w:val="both"/>
              <w:rPr>
                <w:rFonts w:ascii="Times New Roman" w:hAnsi="Times New Roman" w:cs="Times New Roman"/>
                <w:sz w:val="22"/>
                <w:szCs w:val="22"/>
              </w:rPr>
            </w:pPr>
            <w:hyperlink r:id="rId38">
              <w:r w:rsidRPr="00462EA2">
                <w:rPr>
                  <w:rStyle w:val="Hyperlink"/>
                  <w:rFonts w:ascii="Times New Roman" w:hAnsi="Times New Roman" w:cs="Times New Roman"/>
                  <w:sz w:val="22"/>
                  <w:szCs w:val="22"/>
                </w:rPr>
                <w:t>https://www.ebi.ac.uk/pride</w:t>
              </w:r>
            </w:hyperlink>
          </w:p>
        </w:tc>
      </w:tr>
      <w:tr w:rsidR="00C90A64" w:rsidRPr="00462EA2" w14:paraId="7F7D1F58" w14:textId="77777777" w:rsidTr="00462EA2">
        <w:trPr>
          <w:cnfStyle w:val="000000100000" w:firstRow="0" w:lastRow="0" w:firstColumn="0" w:lastColumn="0" w:oddVBand="0" w:evenVBand="0" w:oddHBand="1" w:evenHBand="0" w:firstRowFirstColumn="0" w:firstRowLastColumn="0" w:lastRowFirstColumn="0" w:lastRowLastColumn="0"/>
        </w:trPr>
        <w:tc>
          <w:tcPr>
            <w:tcW w:w="2389" w:type="dxa"/>
          </w:tcPr>
          <w:p w14:paraId="27095D77"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ProteomeXchange</w:t>
            </w:r>
          </w:p>
        </w:tc>
        <w:tc>
          <w:tcPr>
            <w:tcW w:w="2147" w:type="dxa"/>
          </w:tcPr>
          <w:p w14:paraId="2D5373BA"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Data-deposition consortium / dataset search API</w:t>
            </w:r>
          </w:p>
        </w:tc>
        <w:tc>
          <w:tcPr>
            <w:tcW w:w="5538" w:type="dxa"/>
          </w:tcPr>
          <w:p w14:paraId="758B63B5" w14:textId="77777777" w:rsidR="00C90A64" w:rsidRPr="00462EA2" w:rsidRDefault="00C90A64" w:rsidP="00EE08B2">
            <w:pPr>
              <w:spacing w:line="360" w:lineRule="auto"/>
              <w:jc w:val="both"/>
              <w:rPr>
                <w:rFonts w:ascii="Times New Roman" w:hAnsi="Times New Roman" w:cs="Times New Roman"/>
                <w:sz w:val="22"/>
                <w:szCs w:val="22"/>
              </w:rPr>
            </w:pPr>
            <w:hyperlink r:id="rId39">
              <w:r w:rsidRPr="00462EA2">
                <w:rPr>
                  <w:rStyle w:val="Hyperlink"/>
                  <w:rFonts w:ascii="Times New Roman" w:hAnsi="Times New Roman" w:cs="Times New Roman"/>
                  <w:sz w:val="22"/>
                  <w:szCs w:val="22"/>
                </w:rPr>
                <w:t>https://www.proteomexchange.org</w:t>
              </w:r>
            </w:hyperlink>
          </w:p>
        </w:tc>
      </w:tr>
      <w:tr w:rsidR="00C90A64" w:rsidRPr="00462EA2" w14:paraId="32C47316" w14:textId="77777777" w:rsidTr="00462EA2">
        <w:tc>
          <w:tcPr>
            <w:tcW w:w="2389" w:type="dxa"/>
          </w:tcPr>
          <w:p w14:paraId="7E287843"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MassIVE</w:t>
            </w:r>
          </w:p>
        </w:tc>
        <w:tc>
          <w:tcPr>
            <w:tcW w:w="2147" w:type="dxa"/>
          </w:tcPr>
          <w:p w14:paraId="719AA7EF"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Source repository for the plexDIA cohort</w:t>
            </w:r>
          </w:p>
        </w:tc>
        <w:tc>
          <w:tcPr>
            <w:tcW w:w="5538" w:type="dxa"/>
          </w:tcPr>
          <w:p w14:paraId="552976EE" w14:textId="77777777" w:rsidR="00C90A64" w:rsidRPr="00462EA2" w:rsidRDefault="00C90A64" w:rsidP="00EE08B2">
            <w:pPr>
              <w:spacing w:line="360" w:lineRule="auto"/>
              <w:jc w:val="both"/>
              <w:rPr>
                <w:rFonts w:ascii="Times New Roman" w:hAnsi="Times New Roman" w:cs="Times New Roman"/>
                <w:sz w:val="22"/>
                <w:szCs w:val="22"/>
              </w:rPr>
            </w:pPr>
            <w:hyperlink r:id="rId40">
              <w:r w:rsidRPr="00462EA2">
                <w:rPr>
                  <w:rStyle w:val="Hyperlink"/>
                  <w:rFonts w:ascii="Times New Roman" w:hAnsi="Times New Roman" w:cs="Times New Roman"/>
                  <w:sz w:val="22"/>
                  <w:szCs w:val="22"/>
                </w:rPr>
                <w:t>https://massive.ucsd.edu</w:t>
              </w:r>
            </w:hyperlink>
          </w:p>
        </w:tc>
      </w:tr>
      <w:tr w:rsidR="00C90A64" w:rsidRPr="00462EA2" w14:paraId="0B11FD38" w14:textId="77777777" w:rsidTr="00462EA2">
        <w:trPr>
          <w:cnfStyle w:val="000000100000" w:firstRow="0" w:lastRow="0" w:firstColumn="0" w:lastColumn="0" w:oddVBand="0" w:evenVBand="0" w:oddHBand="1" w:evenHBand="0" w:firstRowFirstColumn="0" w:firstRowLastColumn="0" w:lastRowFirstColumn="0" w:lastRowLastColumn="0"/>
        </w:trPr>
        <w:tc>
          <w:tcPr>
            <w:tcW w:w="2389" w:type="dxa"/>
          </w:tcPr>
          <w:p w14:paraId="357FD8AD"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UniProt</w:t>
            </w:r>
          </w:p>
        </w:tc>
        <w:tc>
          <w:tcPr>
            <w:tcW w:w="2147" w:type="dxa"/>
          </w:tcPr>
          <w:p w14:paraId="04A83BD8"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Reference protein sequences (search FASTA)</w:t>
            </w:r>
          </w:p>
        </w:tc>
        <w:tc>
          <w:tcPr>
            <w:tcW w:w="5538" w:type="dxa"/>
          </w:tcPr>
          <w:p w14:paraId="450C7C86" w14:textId="77777777" w:rsidR="00C90A64" w:rsidRPr="00462EA2" w:rsidRDefault="00C90A64" w:rsidP="00EE08B2">
            <w:pPr>
              <w:spacing w:line="360" w:lineRule="auto"/>
              <w:jc w:val="both"/>
              <w:rPr>
                <w:rFonts w:ascii="Times New Roman" w:hAnsi="Times New Roman" w:cs="Times New Roman"/>
                <w:sz w:val="22"/>
                <w:szCs w:val="22"/>
              </w:rPr>
            </w:pPr>
            <w:hyperlink r:id="rId41">
              <w:r w:rsidRPr="00462EA2">
                <w:rPr>
                  <w:rStyle w:val="Hyperlink"/>
                  <w:rFonts w:ascii="Times New Roman" w:hAnsi="Times New Roman" w:cs="Times New Roman"/>
                  <w:sz w:val="22"/>
                  <w:szCs w:val="22"/>
                </w:rPr>
                <w:t>https://www.uniprot.org</w:t>
              </w:r>
            </w:hyperlink>
          </w:p>
        </w:tc>
      </w:tr>
      <w:tr w:rsidR="00C90A64" w:rsidRPr="00462EA2" w14:paraId="5F8BA190" w14:textId="77777777" w:rsidTr="00462EA2">
        <w:tc>
          <w:tcPr>
            <w:tcW w:w="2389" w:type="dxa"/>
          </w:tcPr>
          <w:p w14:paraId="4C2C0D55"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Cellosaurus</w:t>
            </w:r>
          </w:p>
        </w:tc>
        <w:tc>
          <w:tcPr>
            <w:tcW w:w="2147" w:type="dxa"/>
          </w:tcPr>
          <w:p w14:paraId="5108545D" w14:textId="77777777" w:rsidR="00C90A64" w:rsidRPr="00462EA2" w:rsidRDefault="00FD722C" w:rsidP="00EE08B2">
            <w:pPr>
              <w:spacing w:line="360" w:lineRule="auto"/>
              <w:jc w:val="both"/>
              <w:rPr>
                <w:rFonts w:ascii="Times New Roman" w:hAnsi="Times New Roman" w:cs="Times New Roman"/>
                <w:sz w:val="22"/>
                <w:szCs w:val="22"/>
              </w:rPr>
            </w:pPr>
            <w:r w:rsidRPr="00462EA2">
              <w:rPr>
                <w:rFonts w:ascii="Times New Roman" w:hAnsi="Times New Roman" w:cs="Times New Roman"/>
                <w:sz w:val="22"/>
                <w:szCs w:val="22"/>
              </w:rPr>
              <w:t>Cell-line nomenclature and tissue annotation</w:t>
            </w:r>
          </w:p>
        </w:tc>
        <w:tc>
          <w:tcPr>
            <w:tcW w:w="5538" w:type="dxa"/>
          </w:tcPr>
          <w:p w14:paraId="47994F7F" w14:textId="77777777" w:rsidR="00C90A64" w:rsidRPr="00462EA2" w:rsidRDefault="00C90A64" w:rsidP="00EE08B2">
            <w:pPr>
              <w:spacing w:line="360" w:lineRule="auto"/>
              <w:jc w:val="both"/>
              <w:rPr>
                <w:rFonts w:ascii="Times New Roman" w:hAnsi="Times New Roman" w:cs="Times New Roman"/>
                <w:sz w:val="22"/>
                <w:szCs w:val="22"/>
              </w:rPr>
            </w:pPr>
            <w:hyperlink r:id="rId42">
              <w:r w:rsidRPr="00462EA2">
                <w:rPr>
                  <w:rStyle w:val="Hyperlink"/>
                  <w:rFonts w:ascii="Times New Roman" w:hAnsi="Times New Roman" w:cs="Times New Roman"/>
                  <w:sz w:val="22"/>
                  <w:szCs w:val="22"/>
                </w:rPr>
                <w:t>https://www.cellosaurus.org</w:t>
              </w:r>
            </w:hyperlink>
          </w:p>
        </w:tc>
      </w:tr>
      <w:bookmarkEnd w:id="19"/>
      <w:bookmarkEnd w:id="20"/>
    </w:tbl>
    <w:p w14:paraId="0AC1F6C5" w14:textId="77777777" w:rsidR="005F454D" w:rsidRPr="00ED6C02" w:rsidRDefault="005F454D" w:rsidP="00EE08B2">
      <w:pPr>
        <w:spacing w:line="360" w:lineRule="auto"/>
        <w:jc w:val="both"/>
        <w:rPr>
          <w:rFonts w:ascii="Times New Roman" w:hAnsi="Times New Roman" w:cs="Times New Roman"/>
        </w:rPr>
      </w:pPr>
    </w:p>
    <w:sectPr w:rsidR="005F454D" w:rsidRPr="00ED6C02">
      <w:headerReference w:type="even" r:id="rId43"/>
      <w:headerReference w:type="default" r:id="rId44"/>
      <w:footerReference w:type="even" r:id="rId45"/>
      <w:footerReference w:type="default" r:id="rId46"/>
      <w:headerReference w:type="first" r:id="rId47"/>
      <w:footerReference w:type="first" r:id="rId48"/>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67B4F8" w14:textId="77777777" w:rsidR="0084715B" w:rsidRDefault="0084715B" w:rsidP="004A26A3">
      <w:pPr>
        <w:spacing w:after="0"/>
      </w:pPr>
      <w:r>
        <w:separator/>
      </w:r>
    </w:p>
  </w:endnote>
  <w:endnote w:type="continuationSeparator" w:id="0">
    <w:p w14:paraId="438251F3" w14:textId="77777777" w:rsidR="0084715B" w:rsidRDefault="0084715B" w:rsidP="004A26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2ECA2A" w14:textId="77777777" w:rsidR="004A26A3" w:rsidRDefault="004A26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D29042" w14:textId="77777777" w:rsidR="004A26A3" w:rsidRDefault="004A26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03F040" w14:textId="77777777" w:rsidR="004A26A3" w:rsidRDefault="004A26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810B62" w14:textId="77777777" w:rsidR="0084715B" w:rsidRDefault="0084715B" w:rsidP="004A26A3">
      <w:pPr>
        <w:spacing w:after="0"/>
      </w:pPr>
      <w:r>
        <w:separator/>
      </w:r>
    </w:p>
  </w:footnote>
  <w:footnote w:type="continuationSeparator" w:id="0">
    <w:p w14:paraId="4D0F6D4F" w14:textId="77777777" w:rsidR="0084715B" w:rsidRDefault="0084715B" w:rsidP="004A26A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575A3B" w14:textId="77777777" w:rsidR="004A26A3" w:rsidRDefault="004A26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0F7D0D" w14:textId="77777777" w:rsidR="004A26A3" w:rsidRDefault="004A26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4FE0EC" w14:textId="77777777" w:rsidR="004A26A3" w:rsidRDefault="004A26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A990"/>
    <w:multiLevelType w:val="multilevel"/>
    <w:tmpl w:val="E9FA9E6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60824009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A64"/>
    <w:rsid w:val="003F6782"/>
    <w:rsid w:val="00462EA2"/>
    <w:rsid w:val="004A26A3"/>
    <w:rsid w:val="00502486"/>
    <w:rsid w:val="005F454D"/>
    <w:rsid w:val="00765810"/>
    <w:rsid w:val="0084715B"/>
    <w:rsid w:val="00C90A64"/>
    <w:rsid w:val="00CB4351"/>
    <w:rsid w:val="00DD7E3B"/>
    <w:rsid w:val="00ED6C02"/>
    <w:rsid w:val="00EE08B2"/>
    <w:rsid w:val="00FD7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CB1AAE"/>
  <w15:docId w15:val="{7D287677-C8CB-AC44-B94F-E9BF05286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toc 1" w:uiPriority="39"/>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uiPriority w:val="99"/>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TOC1">
    <w:name w:val="toc 1"/>
    <w:basedOn w:val="Normal"/>
    <w:next w:val="Normal"/>
    <w:autoRedefine/>
    <w:uiPriority w:val="39"/>
    <w:rsid w:val="00EE08B2"/>
    <w:pPr>
      <w:tabs>
        <w:tab w:val="right" w:leader="dot" w:pos="9350"/>
      </w:tabs>
      <w:spacing w:after="100"/>
    </w:pPr>
  </w:style>
  <w:style w:type="table" w:styleId="PlainTable5">
    <w:name w:val="Plain Table 5"/>
    <w:basedOn w:val="TableNormal"/>
    <w:rsid w:val="00EE08B2"/>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1">
    <w:name w:val="Grid Table 2 Accent 1"/>
    <w:basedOn w:val="TableNormal"/>
    <w:uiPriority w:val="47"/>
    <w:rsid w:val="00EE08B2"/>
    <w:pPr>
      <w:spacing w:after="0"/>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Normal"/>
    <w:link w:val="HeaderChar"/>
    <w:rsid w:val="004A26A3"/>
    <w:pPr>
      <w:tabs>
        <w:tab w:val="center" w:pos="4513"/>
        <w:tab w:val="right" w:pos="9026"/>
      </w:tabs>
      <w:spacing w:after="0"/>
    </w:pPr>
  </w:style>
  <w:style w:type="character" w:customStyle="1" w:styleId="HeaderChar">
    <w:name w:val="Header Char"/>
    <w:basedOn w:val="DefaultParagraphFont"/>
    <w:link w:val="Header"/>
    <w:rsid w:val="004A26A3"/>
  </w:style>
  <w:style w:type="paragraph" w:styleId="Footer">
    <w:name w:val="footer"/>
    <w:basedOn w:val="Normal"/>
    <w:link w:val="FooterChar"/>
    <w:rsid w:val="004A26A3"/>
    <w:pPr>
      <w:tabs>
        <w:tab w:val="center" w:pos="4513"/>
        <w:tab w:val="right" w:pos="9026"/>
      </w:tabs>
      <w:spacing w:after="0"/>
    </w:pPr>
  </w:style>
  <w:style w:type="character" w:customStyle="1" w:styleId="FooterChar">
    <w:name w:val="Footer Char"/>
    <w:basedOn w:val="DefaultParagraphFont"/>
    <w:link w:val="Footer"/>
    <w:rsid w:val="004A2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github.com/bigbio/quantms-containers" TargetMode="External"/><Relationship Id="rId26" Type="http://schemas.openxmlformats.org/officeDocument/2006/relationships/hyperlink" Target="https://github.com/nextflow-io/nextflow" TargetMode="External"/><Relationship Id="rId39" Type="http://schemas.openxmlformats.org/officeDocument/2006/relationships/hyperlink" Target="https://www.proteomexchange.org" TargetMode="External"/><Relationship Id="rId21" Type="http://schemas.openxmlformats.org/officeDocument/2006/relationships/hyperlink" Target="https://github.com/bigbio/qpx" TargetMode="External"/><Relationship Id="rId34" Type="http://schemas.openxmlformats.org/officeDocument/2006/relationships/hyperlink" Target="https://biocontainers.pro" TargetMode="External"/><Relationship Id="rId42" Type="http://schemas.openxmlformats.org/officeDocument/2006/relationships/hyperlink" Target="https://www.cellosaurus.org"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hyperlink" Target="https://github.com/bigbio/quantms-containers" TargetMode="External"/><Relationship Id="rId2" Type="http://schemas.openxmlformats.org/officeDocument/2006/relationships/styles" Target="styles.xml"/><Relationship Id="rId16" Type="http://schemas.openxmlformats.org/officeDocument/2006/relationships/hyperlink" Target="https://github.com/bigbio/quantmsdiann" TargetMode="External"/><Relationship Id="rId29" Type="http://schemas.openxmlformats.org/officeDocument/2006/relationships/hyperlink" Target="https://github.com/Vitek-Lab/MSstats" TargetMode="External"/><Relationship Id="rId11" Type="http://schemas.openxmlformats.org/officeDocument/2006/relationships/image" Target="media/image3.png"/><Relationship Id="rId24" Type="http://schemas.openxmlformats.org/officeDocument/2006/relationships/hyperlink" Target="https://github.com/PRIDE-Archive/pridepy" TargetMode="External"/><Relationship Id="rId32" Type="http://schemas.openxmlformats.org/officeDocument/2006/relationships/hyperlink" Target="https://www.docker.com" TargetMode="External"/><Relationship Id="rId37" Type="http://schemas.openxmlformats.org/officeDocument/2006/relationships/hyperlink" Target="https://scverse.org" TargetMode="External"/><Relationship Id="rId40" Type="http://schemas.openxmlformats.org/officeDocument/2006/relationships/hyperlink" Target="https://massive.ucsd.edu"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github.com/bigbio/wiffconverter" TargetMode="External"/><Relationship Id="rId28" Type="http://schemas.openxmlformats.org/officeDocument/2006/relationships/hyperlink" Target="https://github.com/MultiQC/MultiQC" TargetMode="External"/><Relationship Id="rId36" Type="http://schemas.openxmlformats.org/officeDocument/2006/relationships/hyperlink" Target="https://github.com/scverse/mudata" TargetMode="External"/><Relationship Id="rId49" Type="http://schemas.openxmlformats.org/officeDocument/2006/relationships/fontTable" Target="fontTable.xml"/><Relationship Id="rId10" Type="http://schemas.openxmlformats.org/officeDocument/2006/relationships/image" Target="media/image2.svg"/><Relationship Id="rId19" Type="http://schemas.openxmlformats.org/officeDocument/2006/relationships/hyperlink" Target="https://github.com/bigbio/proteomics-sample-metadata" TargetMode="External"/><Relationship Id="rId31" Type="http://schemas.openxmlformats.org/officeDocument/2006/relationships/hyperlink" Target="https://github.com/compomics/ThermoRawFileParser" TargetMode="External"/><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github.com/bigbio/pmultiqc" TargetMode="External"/><Relationship Id="rId27" Type="http://schemas.openxmlformats.org/officeDocument/2006/relationships/hyperlink" Target="https://nf-co.re" TargetMode="External"/><Relationship Id="rId30" Type="http://schemas.openxmlformats.org/officeDocument/2006/relationships/hyperlink" Target="https://github.com/Proteobench/ProteoBench" TargetMode="External"/><Relationship Id="rId35" Type="http://schemas.openxmlformats.org/officeDocument/2006/relationships/hyperlink" Target="https://github.com/duckdb/duckdb"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https://github.com/bigbio/sdrf-annotated-datasets" TargetMode="External"/><Relationship Id="rId3" Type="http://schemas.openxmlformats.org/officeDocument/2006/relationships/settings" Target="settings.xml"/><Relationship Id="rId12" Type="http://schemas.openxmlformats.org/officeDocument/2006/relationships/image" Target="media/image4.svg"/><Relationship Id="rId17" Type="http://schemas.openxmlformats.org/officeDocument/2006/relationships/hyperlink" Target="https://github.com/bigbio/quantms" TargetMode="External"/><Relationship Id="rId25" Type="http://schemas.openxmlformats.org/officeDocument/2006/relationships/hyperlink" Target="https://github.com/vdemichev/DiaNN" TargetMode="External"/><Relationship Id="rId33" Type="http://schemas.openxmlformats.org/officeDocument/2006/relationships/hyperlink" Target="https://apptainer.org" TargetMode="External"/><Relationship Id="rId38" Type="http://schemas.openxmlformats.org/officeDocument/2006/relationships/hyperlink" Target="https://www.ebi.ac.uk/pride" TargetMode="External"/><Relationship Id="rId46" Type="http://schemas.openxmlformats.org/officeDocument/2006/relationships/footer" Target="footer2.xml"/><Relationship Id="rId20" Type="http://schemas.openxmlformats.org/officeDocument/2006/relationships/hyperlink" Target="https://github.com/bigbio/sdrf-pipelines" TargetMode="External"/><Relationship Id="rId41" Type="http://schemas.openxmlformats.org/officeDocument/2006/relationships/hyperlink" Target="https://www.uniprot.org"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4557930-09F0-8940-99BA-6C826F89A22A}">
  <we:reference id="wa200010725" version="1.0.0.1" store="en-US" storeType="OMEX"/>
  <we:alternateReferences>
    <we:reference id="wa200010725" version="1.0.0.1" store="en-US" storeType="OMEX"/>
  </we:alternateReferences>
  <we:properties>
    <we:property name="claude.fileId" value="&quot;4a353796-1a8a-4251-bd5c-cb9ac06e4a85&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0</TotalTime>
  <Pages>12</Pages>
  <Words>2533</Words>
  <Characters>15834</Characters>
  <Application>Microsoft Office Word</Application>
  <DocSecurity>0</DocSecurity>
  <Lines>232</Lines>
  <Paragraphs>62</Paragraphs>
  <ScaleCrop>false</ScaleCrop>
  <HeadingPairs>
    <vt:vector size="2" baseType="variant">
      <vt:variant>
        <vt:lpstr>Title</vt:lpstr>
      </vt:variant>
      <vt:variant>
        <vt:i4>1</vt:i4>
      </vt:variant>
    </vt:vector>
  </HeadingPairs>
  <TitlesOfParts>
    <vt:vector size="1" baseType="lpstr">
      <vt:lpstr>Supplementary Notes for “quantmsdiann: a scalable SDRF-driven DIA-NN workflow for reanalysis of single-cell, spatial, and bulk proteomics datasets”</vt:lpstr>
    </vt:vector>
  </TitlesOfParts>
  <Company>European Bioinformatics Institute (EMBL-EBI)</Company>
  <LinksUpToDate>false</LinksUpToDate>
  <CharactersWithSpaces>18305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Notes for “quantmsdiann: a scalable SDRF-driven DIA-NN workflow for reanalysis of single-cell, spatial, and bulk proteomics datasets”</dc:title>
  <dc:creator>Yasset Perez Riverol</dc:creator>
  <cp:keywords/>
  <cp:lastModifiedBy>Yasset Perez</cp:lastModifiedBy>
  <cp:revision>2</cp:revision>
  <dcterms:created xsi:type="dcterms:W3CDTF">2026-07-10T17:30:00Z</dcterms:created>
  <dcterms:modified xsi:type="dcterms:W3CDTF">2026-07-10T17:30:00Z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
  </property>
</Properties>
</file>