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0B959" w14:textId="0508EF75" w:rsidR="000D30AF" w:rsidRPr="00AA3A0A" w:rsidRDefault="006873E9" w:rsidP="00AA3A0A">
      <w:pPr>
        <w:pStyle w:val="CommentText"/>
        <w:rPr>
          <w:rFonts w:cs="Times New Roman"/>
          <w:b/>
          <w:bCs/>
          <w:color w:val="auto"/>
          <w:sz w:val="24"/>
          <w:szCs w:val="24"/>
        </w:rPr>
      </w:pPr>
      <w:r w:rsidRPr="00AA3A0A">
        <w:rPr>
          <w:rFonts w:cs="Times New Roman"/>
          <w:b/>
          <w:bCs/>
          <w:color w:val="auto"/>
          <w:sz w:val="24"/>
          <w:szCs w:val="24"/>
        </w:rPr>
        <w:t>Opportunistic screening for incident cardiometabolic disease in metabolically healthy non-obese individuals: a prospective cohort study</w:t>
      </w:r>
    </w:p>
    <w:p w14:paraId="37C087FC" w14:textId="77777777" w:rsidR="006873E9" w:rsidRPr="00AA3A0A" w:rsidRDefault="006873E9" w:rsidP="00AA3A0A">
      <w:pPr>
        <w:pStyle w:val="CommentText"/>
        <w:rPr>
          <w:rFonts w:ascii="Arial" w:hAnsi="Arial" w:cs="Arial"/>
          <w:b/>
          <w:bCs/>
          <w:color w:val="auto"/>
          <w:sz w:val="24"/>
          <w:szCs w:val="24"/>
        </w:rPr>
      </w:pPr>
    </w:p>
    <w:p w14:paraId="52F42EBC" w14:textId="2F5D8B4A" w:rsidR="000D30AF" w:rsidRPr="00AA3A0A" w:rsidRDefault="000D30AF" w:rsidP="00AA3A0A">
      <w:pPr>
        <w:rPr>
          <w:rFonts w:cs="Times New Roman"/>
          <w:color w:val="auto"/>
          <w:szCs w:val="20"/>
        </w:rPr>
      </w:pPr>
      <w:r w:rsidRPr="00AA3A0A">
        <w:rPr>
          <w:rFonts w:cs="Times New Roman"/>
          <w:color w:val="auto"/>
          <w:szCs w:val="20"/>
        </w:rPr>
        <w:t>Balázs Bogner, Matthias Jung, Marco Reisert, Juliane Maushagen, Susanne Rospleszcz, Thomas Kroencke, Tobias Pischon, Jeanette Schulz-Menger, Thoralf Niendorf, Henry Völzke, Christopher Schlett, Fabian Bamberg, Jana Taron, Jakob Weiss</w:t>
      </w:r>
    </w:p>
    <w:p w14:paraId="2134B97C" w14:textId="77777777" w:rsidR="000D30AF" w:rsidRPr="00AA3A0A" w:rsidRDefault="000D30AF" w:rsidP="00AA3A0A">
      <w:pPr>
        <w:rPr>
          <w:rFonts w:cs="Times New Roman"/>
          <w:color w:val="auto"/>
          <w:sz w:val="22"/>
          <w:szCs w:val="22"/>
        </w:rPr>
      </w:pPr>
    </w:p>
    <w:sdt>
      <w:sdtPr>
        <w:rPr>
          <w:rFonts w:ascii="Times New Roman" w:hAnsi="Times New Roman" w:cs="Times New Roman"/>
          <w:b w:val="0"/>
          <w:bCs w:val="0"/>
          <w:i/>
          <w:iCs/>
          <w:color w:val="auto"/>
          <w:sz w:val="18"/>
          <w:szCs w:val="18"/>
          <w:lang w:val="en-GB"/>
        </w:rPr>
        <w:id w:val="717713923"/>
        <w:docPartObj>
          <w:docPartGallery w:val="Table of Contents"/>
          <w:docPartUnique/>
        </w:docPartObj>
      </w:sdtPr>
      <w:sdtEndPr>
        <w:rPr>
          <w:i w:val="0"/>
          <w:iCs w:val="0"/>
          <w:noProof/>
          <w:sz w:val="20"/>
          <w:szCs w:val="20"/>
        </w:rPr>
      </w:sdtEndPr>
      <w:sdtContent>
        <w:p w14:paraId="002BC79C" w14:textId="037A494F" w:rsidR="004228DD" w:rsidRPr="00AA3A0A" w:rsidRDefault="004228DD" w:rsidP="00AA3A0A">
          <w:pPr>
            <w:pStyle w:val="TOC2"/>
            <w:tabs>
              <w:tab w:val="left" w:pos="660"/>
            </w:tabs>
            <w:rPr>
              <w:rFonts w:ascii="Times New Roman" w:eastAsiaTheme="minorEastAsia" w:hAnsi="Times New Roman" w:cs="Times New Roman"/>
              <w:b w:val="0"/>
              <w:bCs w:val="0"/>
              <w:noProof/>
              <w:color w:val="auto"/>
              <w:sz w:val="24"/>
              <w:szCs w:val="24"/>
              <w:lang w:val="de-DE" w:eastAsia="de-DE"/>
            </w:rPr>
          </w:pPr>
          <w:r w:rsidRPr="00AA3A0A">
            <w:rPr>
              <w:rStyle w:val="Hyperlink"/>
              <w:rFonts w:ascii="Times New Roman" w:hAnsi="Times New Roman" w:cs="Times New Roman"/>
              <w:noProof/>
              <w:color w:val="auto"/>
              <w:u w:val="none"/>
              <w:lang w:val="en-GB"/>
            </w:rPr>
            <w:t>I</w:t>
          </w:r>
          <w:r w:rsidRPr="00AA3A0A">
            <w:rPr>
              <w:rFonts w:ascii="Times New Roman" w:eastAsiaTheme="minorEastAsia" w:hAnsi="Times New Roman" w:cs="Times New Roman"/>
              <w:b w:val="0"/>
              <w:bCs w:val="0"/>
              <w:noProof/>
              <w:color w:val="auto"/>
              <w:sz w:val="24"/>
              <w:szCs w:val="24"/>
              <w:lang w:val="de-DE" w:eastAsia="de-DE"/>
            </w:rPr>
            <w:tab/>
          </w:r>
          <w:r w:rsidRPr="00AA3A0A">
            <w:rPr>
              <w:rStyle w:val="Hyperlink"/>
              <w:rFonts w:ascii="Times New Roman" w:hAnsi="Times New Roman" w:cs="Times New Roman"/>
              <w:noProof/>
              <w:color w:val="auto"/>
              <w:u w:val="none"/>
              <w:lang w:val="en-GB"/>
            </w:rPr>
            <w:t>SUPPLEMENTAL METHODS</w:t>
          </w:r>
          <w:r w:rsidRPr="00AA3A0A">
            <w:rPr>
              <w:rFonts w:ascii="Times New Roman" w:hAnsi="Times New Roman" w:cs="Times New Roman"/>
              <w:noProof/>
              <w:webHidden/>
              <w:color w:val="auto"/>
            </w:rPr>
            <w:tab/>
          </w:r>
          <w:r w:rsidR="004E713B" w:rsidRPr="00AA3A0A">
            <w:rPr>
              <w:rFonts w:ascii="Times New Roman" w:hAnsi="Times New Roman" w:cs="Times New Roman"/>
              <w:noProof/>
              <w:webHidden/>
              <w:color w:val="auto"/>
            </w:rPr>
            <w:t>2</w:t>
          </w:r>
        </w:p>
        <w:p w14:paraId="2A956538" w14:textId="7E90B663" w:rsidR="004228DD" w:rsidRPr="00AA3A0A" w:rsidRDefault="004228DD" w:rsidP="00AA3A0A">
          <w:pPr>
            <w:pStyle w:val="TOC2"/>
            <w:tabs>
              <w:tab w:val="left" w:pos="660"/>
            </w:tabs>
            <w:rPr>
              <w:rFonts w:ascii="Times New Roman" w:eastAsiaTheme="minorEastAsia" w:hAnsi="Times New Roman" w:cs="Times New Roman"/>
              <w:b w:val="0"/>
              <w:bCs w:val="0"/>
              <w:noProof/>
              <w:color w:val="auto"/>
              <w:sz w:val="24"/>
              <w:szCs w:val="24"/>
              <w:lang w:val="de-DE" w:eastAsia="de-DE"/>
            </w:rPr>
          </w:pPr>
          <w:r w:rsidRPr="00AA3A0A">
            <w:rPr>
              <w:rStyle w:val="Hyperlink"/>
              <w:rFonts w:ascii="Times New Roman" w:hAnsi="Times New Roman" w:cs="Times New Roman"/>
              <w:noProof/>
              <w:color w:val="auto"/>
              <w:u w:val="none"/>
              <w:lang w:val="en-GB"/>
            </w:rPr>
            <w:t>II</w:t>
          </w:r>
          <w:r w:rsidRPr="00AA3A0A">
            <w:rPr>
              <w:rFonts w:ascii="Times New Roman" w:eastAsiaTheme="minorEastAsia" w:hAnsi="Times New Roman" w:cs="Times New Roman"/>
              <w:b w:val="0"/>
              <w:bCs w:val="0"/>
              <w:noProof/>
              <w:color w:val="auto"/>
              <w:sz w:val="24"/>
              <w:szCs w:val="24"/>
              <w:lang w:val="de-DE" w:eastAsia="de-DE"/>
            </w:rPr>
            <w:tab/>
          </w:r>
          <w:r w:rsidRPr="00AA3A0A">
            <w:rPr>
              <w:rStyle w:val="Hyperlink"/>
              <w:rFonts w:ascii="Times New Roman" w:hAnsi="Times New Roman" w:cs="Times New Roman"/>
              <w:noProof/>
              <w:color w:val="auto"/>
              <w:u w:val="none"/>
              <w:lang w:val="en-GB"/>
            </w:rPr>
            <w:t>SUPPLEMENTAL RESULTS</w:t>
          </w:r>
          <w:r w:rsidRPr="00AA3A0A">
            <w:rPr>
              <w:rFonts w:ascii="Times New Roman" w:hAnsi="Times New Roman" w:cs="Times New Roman"/>
              <w:noProof/>
              <w:webHidden/>
              <w:color w:val="auto"/>
            </w:rPr>
            <w:tab/>
          </w:r>
          <w:r w:rsidR="004E713B" w:rsidRPr="00AA3A0A">
            <w:rPr>
              <w:rFonts w:ascii="Times New Roman" w:hAnsi="Times New Roman" w:cs="Times New Roman"/>
              <w:noProof/>
              <w:webHidden/>
              <w:color w:val="auto"/>
            </w:rPr>
            <w:t>5</w:t>
          </w:r>
        </w:p>
        <w:p w14:paraId="4058DC01" w14:textId="008F36DD" w:rsidR="004228DD" w:rsidRPr="00AA3A0A" w:rsidRDefault="004228DD" w:rsidP="00AA3A0A">
          <w:pPr>
            <w:pStyle w:val="TOC2"/>
            <w:tabs>
              <w:tab w:val="left" w:pos="660"/>
            </w:tabs>
            <w:rPr>
              <w:rFonts w:ascii="Times New Roman" w:eastAsiaTheme="minorEastAsia" w:hAnsi="Times New Roman" w:cs="Times New Roman"/>
              <w:b w:val="0"/>
              <w:bCs w:val="0"/>
              <w:noProof/>
              <w:color w:val="auto"/>
              <w:sz w:val="24"/>
              <w:szCs w:val="24"/>
              <w:lang w:val="de-DE" w:eastAsia="de-DE"/>
            </w:rPr>
          </w:pPr>
          <w:r w:rsidRPr="00AA3A0A">
            <w:rPr>
              <w:rStyle w:val="Hyperlink"/>
              <w:rFonts w:ascii="Times New Roman" w:hAnsi="Times New Roman" w:cs="Times New Roman"/>
              <w:noProof/>
              <w:color w:val="auto"/>
              <w:u w:val="none"/>
              <w:lang w:val="en-GB"/>
            </w:rPr>
            <w:t>III</w:t>
          </w:r>
          <w:r w:rsidRPr="00AA3A0A">
            <w:rPr>
              <w:rFonts w:ascii="Times New Roman" w:eastAsiaTheme="minorEastAsia" w:hAnsi="Times New Roman" w:cs="Times New Roman"/>
              <w:b w:val="0"/>
              <w:bCs w:val="0"/>
              <w:noProof/>
              <w:color w:val="auto"/>
              <w:sz w:val="24"/>
              <w:szCs w:val="24"/>
              <w:lang w:val="de-DE" w:eastAsia="de-DE"/>
            </w:rPr>
            <w:tab/>
          </w:r>
          <w:r w:rsidRPr="00AA3A0A">
            <w:rPr>
              <w:rStyle w:val="Hyperlink"/>
              <w:rFonts w:ascii="Times New Roman" w:hAnsi="Times New Roman" w:cs="Times New Roman"/>
              <w:noProof/>
              <w:color w:val="auto"/>
              <w:u w:val="none"/>
              <w:lang w:val="en-GB"/>
            </w:rPr>
            <w:t>SUPPLEMENTAL TABLES</w:t>
          </w:r>
          <w:r w:rsidRPr="00AA3A0A">
            <w:rPr>
              <w:rFonts w:ascii="Times New Roman" w:hAnsi="Times New Roman" w:cs="Times New Roman"/>
              <w:noProof/>
              <w:webHidden/>
              <w:color w:val="auto"/>
            </w:rPr>
            <w:tab/>
          </w:r>
          <w:r w:rsidR="004E713B" w:rsidRPr="00AA3A0A">
            <w:rPr>
              <w:rFonts w:ascii="Times New Roman" w:hAnsi="Times New Roman" w:cs="Times New Roman"/>
              <w:noProof/>
              <w:webHidden/>
              <w:color w:val="auto"/>
            </w:rPr>
            <w:t>8</w:t>
          </w:r>
        </w:p>
        <w:p w14:paraId="2BFCDF3E" w14:textId="6957D650" w:rsidR="004228DD" w:rsidRPr="00AA3A0A" w:rsidRDefault="004228DD" w:rsidP="00AA3A0A">
          <w:pPr>
            <w:pStyle w:val="TOC2"/>
            <w:tabs>
              <w:tab w:val="left" w:pos="660"/>
            </w:tabs>
            <w:rPr>
              <w:rFonts w:ascii="Times New Roman" w:eastAsiaTheme="minorEastAsia" w:hAnsi="Times New Roman" w:cs="Times New Roman"/>
              <w:b w:val="0"/>
              <w:bCs w:val="0"/>
              <w:noProof/>
              <w:color w:val="auto"/>
              <w:sz w:val="24"/>
              <w:szCs w:val="24"/>
              <w:lang w:val="de-DE" w:eastAsia="de-DE"/>
            </w:rPr>
          </w:pPr>
          <w:r w:rsidRPr="00AA3A0A">
            <w:rPr>
              <w:rStyle w:val="Hyperlink"/>
              <w:rFonts w:ascii="Times New Roman" w:hAnsi="Times New Roman" w:cs="Times New Roman"/>
              <w:noProof/>
              <w:color w:val="auto"/>
              <w:u w:val="none"/>
              <w:lang w:val="en-GB"/>
            </w:rPr>
            <w:t>IV</w:t>
          </w:r>
          <w:r w:rsidRPr="00AA3A0A">
            <w:rPr>
              <w:rFonts w:ascii="Times New Roman" w:eastAsiaTheme="minorEastAsia" w:hAnsi="Times New Roman" w:cs="Times New Roman"/>
              <w:b w:val="0"/>
              <w:bCs w:val="0"/>
              <w:noProof/>
              <w:color w:val="auto"/>
              <w:sz w:val="24"/>
              <w:szCs w:val="24"/>
              <w:lang w:val="de-DE" w:eastAsia="de-DE"/>
            </w:rPr>
            <w:tab/>
          </w:r>
          <w:r w:rsidRPr="00AA3A0A">
            <w:rPr>
              <w:rStyle w:val="Hyperlink"/>
              <w:rFonts w:ascii="Times New Roman" w:hAnsi="Times New Roman" w:cs="Times New Roman"/>
              <w:noProof/>
              <w:color w:val="auto"/>
              <w:u w:val="none"/>
              <w:lang w:val="en-GB"/>
            </w:rPr>
            <w:t>SUPPLEMENTAL FIGURES</w:t>
          </w:r>
          <w:r w:rsidRPr="00AA3A0A">
            <w:rPr>
              <w:rFonts w:ascii="Times New Roman" w:hAnsi="Times New Roman" w:cs="Times New Roman"/>
              <w:noProof/>
              <w:webHidden/>
              <w:color w:val="auto"/>
            </w:rPr>
            <w:tab/>
          </w:r>
          <w:r w:rsidR="004E713B" w:rsidRPr="00AA3A0A">
            <w:rPr>
              <w:rFonts w:ascii="Times New Roman" w:hAnsi="Times New Roman" w:cs="Times New Roman"/>
              <w:noProof/>
              <w:webHidden/>
              <w:color w:val="auto"/>
            </w:rPr>
            <w:t>14</w:t>
          </w:r>
        </w:p>
        <w:p w14:paraId="1F0D0EF0" w14:textId="2CF70BE9" w:rsidR="004228DD" w:rsidRPr="00AA3A0A" w:rsidRDefault="004228DD" w:rsidP="00AA3A0A">
          <w:pPr>
            <w:pStyle w:val="TOC2"/>
            <w:tabs>
              <w:tab w:val="left" w:pos="660"/>
            </w:tabs>
            <w:rPr>
              <w:rFonts w:ascii="Times New Roman" w:eastAsiaTheme="minorEastAsia" w:hAnsi="Times New Roman" w:cs="Times New Roman"/>
              <w:b w:val="0"/>
              <w:bCs w:val="0"/>
              <w:noProof/>
              <w:color w:val="auto"/>
              <w:sz w:val="24"/>
              <w:szCs w:val="24"/>
              <w:lang w:val="de-DE" w:eastAsia="de-DE"/>
            </w:rPr>
          </w:pPr>
          <w:r w:rsidRPr="00AA3A0A">
            <w:rPr>
              <w:rStyle w:val="Hyperlink"/>
              <w:rFonts w:ascii="Times New Roman" w:hAnsi="Times New Roman" w:cs="Times New Roman"/>
              <w:noProof/>
              <w:color w:val="auto"/>
              <w:u w:val="none"/>
              <w:lang w:val="en-GB"/>
            </w:rPr>
            <w:t>V</w:t>
          </w:r>
          <w:r w:rsidRPr="00AA3A0A">
            <w:rPr>
              <w:rFonts w:ascii="Times New Roman" w:eastAsiaTheme="minorEastAsia" w:hAnsi="Times New Roman" w:cs="Times New Roman"/>
              <w:b w:val="0"/>
              <w:bCs w:val="0"/>
              <w:noProof/>
              <w:color w:val="auto"/>
              <w:sz w:val="24"/>
              <w:szCs w:val="24"/>
              <w:lang w:val="de-DE" w:eastAsia="de-DE"/>
            </w:rPr>
            <w:tab/>
          </w:r>
          <w:r w:rsidRPr="00AA3A0A">
            <w:rPr>
              <w:rStyle w:val="Hyperlink"/>
              <w:rFonts w:ascii="Times New Roman" w:hAnsi="Times New Roman" w:cs="Times New Roman"/>
              <w:noProof/>
              <w:color w:val="auto"/>
              <w:u w:val="none"/>
              <w:lang w:val="en-GB"/>
            </w:rPr>
            <w:t>SUPPLEMENTAL REFERENCES</w:t>
          </w:r>
          <w:r w:rsidRPr="00AA3A0A">
            <w:rPr>
              <w:rFonts w:ascii="Times New Roman" w:hAnsi="Times New Roman" w:cs="Times New Roman"/>
              <w:noProof/>
              <w:webHidden/>
              <w:color w:val="auto"/>
            </w:rPr>
            <w:tab/>
          </w:r>
          <w:r w:rsidR="004E713B" w:rsidRPr="00AA3A0A">
            <w:rPr>
              <w:rFonts w:ascii="Times New Roman" w:hAnsi="Times New Roman" w:cs="Times New Roman"/>
              <w:noProof/>
              <w:webHidden/>
              <w:color w:val="auto"/>
            </w:rPr>
            <w:t>18</w:t>
          </w:r>
        </w:p>
        <w:p w14:paraId="6DBFFF90" w14:textId="317C2A94" w:rsidR="004228DD" w:rsidRPr="00AA3A0A" w:rsidRDefault="00E45227" w:rsidP="00AA3A0A">
          <w:pPr>
            <w:rPr>
              <w:color w:val="auto"/>
              <w:lang w:val="en-GB"/>
            </w:rPr>
          </w:pPr>
        </w:p>
      </w:sdtContent>
    </w:sdt>
    <w:p w14:paraId="57B061E6" w14:textId="2460E1E1" w:rsidR="009A466C" w:rsidRPr="00AA3A0A" w:rsidRDefault="007E04A7" w:rsidP="00AA3A0A">
      <w:pPr>
        <w:pStyle w:val="Heading2"/>
        <w:rPr>
          <w:rFonts w:cs="Times New Roman"/>
          <w:color w:val="auto"/>
          <w:sz w:val="21"/>
          <w:szCs w:val="21"/>
          <w:lang w:val="en-GB"/>
        </w:rPr>
      </w:pPr>
      <w:bookmarkStart w:id="0" w:name="_Toc231931590"/>
      <w:r w:rsidRPr="00AA3A0A">
        <w:rPr>
          <w:rFonts w:cs="Times New Roman"/>
          <w:color w:val="auto"/>
          <w:szCs w:val="20"/>
          <w:lang w:val="en-GB"/>
        </w:rPr>
        <w:t>I</w:t>
      </w:r>
      <w:r w:rsidRPr="00AA3A0A">
        <w:rPr>
          <w:rFonts w:cs="Times New Roman"/>
          <w:color w:val="auto"/>
          <w:szCs w:val="20"/>
          <w:lang w:val="en-GB"/>
        </w:rPr>
        <w:tab/>
      </w:r>
      <w:r w:rsidR="009A466C" w:rsidRPr="00AA3A0A">
        <w:rPr>
          <w:rFonts w:cs="Times New Roman"/>
          <w:color w:val="auto"/>
          <w:szCs w:val="20"/>
          <w:lang w:val="en-GB"/>
        </w:rPr>
        <w:t>SUPPLEMENTAL METHODS</w:t>
      </w:r>
      <w:bookmarkEnd w:id="0"/>
    </w:p>
    <w:p w14:paraId="329BD274" w14:textId="77777777" w:rsidR="00432713" w:rsidRPr="00AA3A0A" w:rsidRDefault="00432713" w:rsidP="00AA3A0A">
      <w:pPr>
        <w:rPr>
          <w:rFonts w:cs="Times New Roman"/>
          <w:color w:val="auto"/>
          <w:lang w:val="en-GB"/>
        </w:rPr>
      </w:pPr>
    </w:p>
    <w:p w14:paraId="4A8CC2DF" w14:textId="444108B8" w:rsidR="000E0BF2" w:rsidRPr="00AA3A0A" w:rsidRDefault="000E0BF2" w:rsidP="00AA3A0A">
      <w:pPr>
        <w:rPr>
          <w:bCs/>
          <w:color w:val="auto"/>
          <w:lang w:val="en-GB"/>
        </w:rPr>
      </w:pPr>
      <w:r w:rsidRPr="00AA3A0A">
        <w:rPr>
          <w:b/>
          <w:bCs/>
          <w:color w:val="auto"/>
          <w:lang w:val="en-GB"/>
        </w:rPr>
        <w:t>Data sources</w:t>
      </w:r>
    </w:p>
    <w:p w14:paraId="097C9EC5" w14:textId="77777777" w:rsidR="00432713" w:rsidRPr="00AA3A0A" w:rsidRDefault="00432713" w:rsidP="00AA3A0A">
      <w:pPr>
        <w:rPr>
          <w:rFonts w:cs="Times New Roman"/>
          <w:color w:val="auto"/>
          <w:lang w:val="en-GB"/>
        </w:rPr>
      </w:pPr>
    </w:p>
    <w:p w14:paraId="1A16FE70" w14:textId="1424C6AE" w:rsidR="00387D5E" w:rsidRPr="00AA3A0A" w:rsidRDefault="00387D5E" w:rsidP="00AA3A0A">
      <w:pPr>
        <w:rPr>
          <w:rFonts w:cs="Times New Roman"/>
          <w:b/>
          <w:bCs/>
          <w:i/>
          <w:iCs/>
          <w:color w:val="auto"/>
          <w:lang w:val="en-GB"/>
        </w:rPr>
      </w:pPr>
      <w:r w:rsidRPr="00AA3A0A">
        <w:rPr>
          <w:rFonts w:cs="Times New Roman"/>
          <w:b/>
          <w:bCs/>
          <w:i/>
          <w:iCs/>
          <w:color w:val="auto"/>
          <w:lang w:val="en-GB"/>
        </w:rPr>
        <w:t>German National Cohort (NAKO)</w:t>
      </w:r>
    </w:p>
    <w:p w14:paraId="541B3636" w14:textId="58AB3A4D" w:rsidR="00432713" w:rsidRPr="00AA3A0A" w:rsidRDefault="00432713" w:rsidP="00AA3A0A">
      <w:pPr>
        <w:pStyle w:val="whitespace-normal"/>
        <w:rPr>
          <w:sz w:val="20"/>
          <w:szCs w:val="20"/>
        </w:rPr>
      </w:pPr>
      <w:r w:rsidRPr="00AA3A0A">
        <w:rPr>
          <w:sz w:val="20"/>
          <w:szCs w:val="20"/>
        </w:rPr>
        <w:t>The NAKO represents a large-scale, interdisciplinary prospective cohort study designed to investigate the etiology of major chronic diseases, including cardiovascular disease, diabetes, and cancer. The study enrolled 200,000 generally healthy participants aged 20–72 years across 18 study centers throughout Germany</w:t>
      </w:r>
      <w:r w:rsidR="00387D5E" w:rsidRPr="00AA3A0A">
        <w:rPr>
          <w:sz w:val="20"/>
          <w:szCs w:val="20"/>
        </w:rPr>
        <w:t xml:space="preserve"> </w:t>
      </w:r>
      <w:r w:rsidR="00133F0E" w:rsidRPr="00AA3A0A">
        <w:rPr>
          <w:noProof/>
          <w:sz w:val="20"/>
          <w:szCs w:val="20"/>
        </w:rPr>
        <w:t>[1]</w:t>
      </w:r>
      <w:r w:rsidRPr="00AA3A0A">
        <w:rPr>
          <w:sz w:val="20"/>
          <w:szCs w:val="20"/>
        </w:rPr>
        <w:t>. A subset of over 30,000 participants underwent comprehensive whole-body MRI at five designated imaging centers. The NAKO study received approval from the institutional review boards at all five imaging sites, and all participants provided written informed consent before enrollment</w:t>
      </w:r>
      <w:r w:rsidR="00387D5E" w:rsidRPr="00AA3A0A">
        <w:rPr>
          <w:sz w:val="20"/>
          <w:szCs w:val="20"/>
        </w:rPr>
        <w:t xml:space="preserve"> </w:t>
      </w:r>
      <w:r w:rsidR="00133F0E" w:rsidRPr="00AA3A0A">
        <w:rPr>
          <w:noProof/>
          <w:sz w:val="20"/>
          <w:szCs w:val="20"/>
        </w:rPr>
        <w:t>[2]</w:t>
      </w:r>
      <w:r w:rsidRPr="00AA3A0A">
        <w:rPr>
          <w:sz w:val="20"/>
          <w:szCs w:val="20"/>
        </w:rPr>
        <w:t>.</w:t>
      </w:r>
    </w:p>
    <w:p w14:paraId="32FB9F58" w14:textId="7FB827FA" w:rsidR="00432713" w:rsidRPr="00AA3A0A" w:rsidRDefault="00432713" w:rsidP="00AA3A0A">
      <w:pPr>
        <w:pStyle w:val="whitespace-normal"/>
        <w:rPr>
          <w:sz w:val="20"/>
          <w:szCs w:val="20"/>
        </w:rPr>
      </w:pPr>
      <w:r w:rsidRPr="00AA3A0A">
        <w:rPr>
          <w:sz w:val="20"/>
          <w:szCs w:val="20"/>
        </w:rPr>
        <w:t>Whole-body MR imaging was performed using a standardized T1-weighted 3D two-point VIBE Dixon sequence acquired in axial orientation across all five imaging sites (slice thickness 3 mm, voxel size 1.41 × 1.41 mm, matrix 320 × 260 × 96, TR 4.36 ms, TE 1.23 and 2.46 ms; 3T MAGNETOM Skyra, Siemens Healthineers, Erlangen, Germany)</w:t>
      </w:r>
      <w:r w:rsidR="00387D5E" w:rsidRPr="00AA3A0A">
        <w:rPr>
          <w:sz w:val="20"/>
          <w:szCs w:val="20"/>
        </w:rPr>
        <w:t xml:space="preserve"> </w:t>
      </w:r>
      <w:r w:rsidR="00133F0E" w:rsidRPr="00AA3A0A">
        <w:rPr>
          <w:noProof/>
          <w:sz w:val="20"/>
          <w:szCs w:val="20"/>
        </w:rPr>
        <w:t>[3]</w:t>
      </w:r>
      <w:r w:rsidRPr="00AA3A0A">
        <w:rPr>
          <w:sz w:val="20"/>
          <w:szCs w:val="20"/>
        </w:rPr>
        <w:t>.</w:t>
      </w:r>
    </w:p>
    <w:p w14:paraId="0E8585F8" w14:textId="71ECE8B1" w:rsidR="00432713" w:rsidRPr="00AA3A0A" w:rsidRDefault="00432713" w:rsidP="00AA3A0A">
      <w:pPr>
        <w:pStyle w:val="whitespace-normal"/>
        <w:rPr>
          <w:sz w:val="20"/>
          <w:szCs w:val="20"/>
        </w:rPr>
      </w:pPr>
      <w:r w:rsidRPr="00AA3A0A">
        <w:rPr>
          <w:sz w:val="20"/>
          <w:szCs w:val="20"/>
        </w:rPr>
        <w:t>For the current study, we utilized MRI data and clinical information from the second data release, which included 30,770 participants who underwent MR imaging between May 27, 2014, and September 30, 2019. We excluded 479 participants due to corrupt or incomplete imaging data and 61 participants with missing MACE observations. To harmonize the age distribution with the UK Biobank cohort, we further excluded participants younger than 40 years (n=6,556), resulting in a final analytical cohort of 23,664 participants with complete whole-body MRI scans available for body composition quantification (</w:t>
      </w:r>
      <w:r w:rsidRPr="00AA3A0A">
        <w:rPr>
          <w:b/>
          <w:bCs/>
          <w:sz w:val="20"/>
          <w:szCs w:val="20"/>
        </w:rPr>
        <w:t>Supplemental Figure 1</w:t>
      </w:r>
      <w:r w:rsidRPr="00AA3A0A">
        <w:rPr>
          <w:sz w:val="20"/>
          <w:szCs w:val="20"/>
        </w:rPr>
        <w:t xml:space="preserve">). NAKO data were used exclusively to derive sex-specific </w:t>
      </w:r>
      <w:r w:rsidR="0009680B" w:rsidRPr="00AA3A0A">
        <w:rPr>
          <w:sz w:val="20"/>
          <w:szCs w:val="20"/>
        </w:rPr>
        <w:t xml:space="preserve">visceral to subcutaneous adipose tissue (VAT/SAT) ratio thresholds </w:t>
      </w:r>
      <w:r w:rsidRPr="00AA3A0A">
        <w:rPr>
          <w:sz w:val="20"/>
          <w:szCs w:val="20"/>
        </w:rPr>
        <w:t>and were not included in survival analyses.</w:t>
      </w:r>
    </w:p>
    <w:p w14:paraId="39DC418F" w14:textId="47C6E6C0" w:rsidR="00432713" w:rsidRPr="00AA3A0A" w:rsidRDefault="00432713" w:rsidP="00AA3A0A">
      <w:pPr>
        <w:pStyle w:val="whitespace-normal"/>
        <w:rPr>
          <w:sz w:val="20"/>
          <w:szCs w:val="20"/>
        </w:rPr>
      </w:pPr>
      <w:r w:rsidRPr="00AA3A0A">
        <w:rPr>
          <w:sz w:val="20"/>
          <w:szCs w:val="20"/>
        </w:rPr>
        <w:t>Baseline demographic data available for NAKO participants included age at MRI, sex, height (in m),</w:t>
      </w:r>
      <w:r w:rsidR="00254246" w:rsidRPr="00AA3A0A">
        <w:rPr>
          <w:sz w:val="20"/>
          <w:szCs w:val="20"/>
        </w:rPr>
        <w:t xml:space="preserve"> </w:t>
      </w:r>
      <w:r w:rsidRPr="00AA3A0A">
        <w:rPr>
          <w:sz w:val="20"/>
          <w:szCs w:val="20"/>
        </w:rPr>
        <w:t xml:space="preserve">weight (in kg), </w:t>
      </w:r>
      <w:r w:rsidR="00C447E1" w:rsidRPr="00AA3A0A">
        <w:rPr>
          <w:sz w:val="20"/>
          <w:szCs w:val="20"/>
        </w:rPr>
        <w:t>waist circumference (</w:t>
      </w:r>
      <w:r w:rsidR="00254246" w:rsidRPr="00AA3A0A">
        <w:rPr>
          <w:sz w:val="20"/>
          <w:szCs w:val="20"/>
        </w:rPr>
        <w:t xml:space="preserve">WC, in </w:t>
      </w:r>
      <w:r w:rsidR="00C447E1" w:rsidRPr="00AA3A0A">
        <w:rPr>
          <w:sz w:val="20"/>
          <w:szCs w:val="20"/>
        </w:rPr>
        <w:t>cm)</w:t>
      </w:r>
      <w:r w:rsidR="00254246" w:rsidRPr="00AA3A0A">
        <w:rPr>
          <w:sz w:val="20"/>
          <w:szCs w:val="20"/>
        </w:rPr>
        <w:t xml:space="preserve">, and smoking status. Height and weight </w:t>
      </w:r>
      <w:r w:rsidRPr="00AA3A0A">
        <w:rPr>
          <w:sz w:val="20"/>
          <w:szCs w:val="20"/>
        </w:rPr>
        <w:t xml:space="preserve">were measured using standardized equipment at the imaging centers (Stadiometer 274 for height and medical Body Composition Analyzer 515 for weight, both seca GmbH, Hamburg, Germany). </w:t>
      </w:r>
      <w:r w:rsidR="00254246" w:rsidRPr="00AA3A0A">
        <w:rPr>
          <w:sz w:val="20"/>
          <w:szCs w:val="20"/>
        </w:rPr>
        <w:t xml:space="preserve">Smoking status was assessed by self-report and dichotomized into ever smokers (current and former smokers) and never smokers, consistent with the classification in the UK Biobank (UKB). </w:t>
      </w:r>
      <w:r w:rsidRPr="00AA3A0A">
        <w:rPr>
          <w:sz w:val="20"/>
          <w:szCs w:val="20"/>
        </w:rPr>
        <w:t xml:space="preserve">Information on prevalent disease and </w:t>
      </w:r>
      <w:r w:rsidR="0009680B" w:rsidRPr="00AA3A0A">
        <w:rPr>
          <w:sz w:val="20"/>
          <w:szCs w:val="20"/>
        </w:rPr>
        <w:t>major adverse cardiovascular events (</w:t>
      </w:r>
      <w:r w:rsidRPr="00AA3A0A">
        <w:rPr>
          <w:sz w:val="20"/>
          <w:szCs w:val="20"/>
        </w:rPr>
        <w:t>MACE</w:t>
      </w:r>
      <w:r w:rsidR="0009680B" w:rsidRPr="00AA3A0A">
        <w:rPr>
          <w:sz w:val="20"/>
          <w:szCs w:val="20"/>
        </w:rPr>
        <w:t>)</w:t>
      </w:r>
      <w:r w:rsidRPr="00AA3A0A">
        <w:rPr>
          <w:sz w:val="20"/>
          <w:szCs w:val="20"/>
        </w:rPr>
        <w:t xml:space="preserve"> was assessed to enable </w:t>
      </w:r>
      <w:r w:rsidR="0009680B" w:rsidRPr="00AA3A0A">
        <w:rPr>
          <w:sz w:val="20"/>
          <w:szCs w:val="20"/>
        </w:rPr>
        <w:t>receiver operating characteristic (</w:t>
      </w:r>
      <w:r w:rsidRPr="00AA3A0A">
        <w:rPr>
          <w:sz w:val="20"/>
          <w:szCs w:val="20"/>
        </w:rPr>
        <w:t>ROC</w:t>
      </w:r>
      <w:r w:rsidR="0009680B" w:rsidRPr="00AA3A0A">
        <w:rPr>
          <w:sz w:val="20"/>
          <w:szCs w:val="20"/>
        </w:rPr>
        <w:t>)</w:t>
      </w:r>
      <w:r w:rsidRPr="00AA3A0A">
        <w:rPr>
          <w:sz w:val="20"/>
          <w:szCs w:val="20"/>
        </w:rPr>
        <w:t xml:space="preserve"> analysis for determining optimal VAT/SAT ratio thresholds.</w:t>
      </w:r>
      <w:r w:rsidR="00254246" w:rsidRPr="00AA3A0A">
        <w:t xml:space="preserve"> </w:t>
      </w:r>
      <w:r w:rsidR="00254246" w:rsidRPr="00AA3A0A">
        <w:rPr>
          <w:sz w:val="20"/>
          <w:szCs w:val="20"/>
        </w:rPr>
        <w:t xml:space="preserve">Baseline characteristics of the NAKO cohort stratified by VAT/SAT ratio are presented in </w:t>
      </w:r>
      <w:r w:rsidR="00254246" w:rsidRPr="00AA3A0A">
        <w:rPr>
          <w:b/>
          <w:bCs/>
          <w:sz w:val="20"/>
          <w:szCs w:val="20"/>
        </w:rPr>
        <w:t>Supplemental Table 1</w:t>
      </w:r>
      <w:r w:rsidR="00254246" w:rsidRPr="00AA3A0A">
        <w:rPr>
          <w:sz w:val="20"/>
          <w:szCs w:val="20"/>
        </w:rPr>
        <w:t xml:space="preserve">. A direct comparison of baseline characteristics between NAKO and UKB participants is provided in </w:t>
      </w:r>
      <w:r w:rsidR="00254246" w:rsidRPr="00AA3A0A">
        <w:rPr>
          <w:b/>
          <w:bCs/>
          <w:sz w:val="20"/>
          <w:szCs w:val="20"/>
        </w:rPr>
        <w:t>Supplemental Table 2</w:t>
      </w:r>
      <w:r w:rsidR="00254246" w:rsidRPr="00AA3A0A">
        <w:rPr>
          <w:sz w:val="20"/>
          <w:szCs w:val="20"/>
        </w:rPr>
        <w:t>.</w:t>
      </w:r>
    </w:p>
    <w:p w14:paraId="592390E0" w14:textId="29DFC649" w:rsidR="00471D63" w:rsidRPr="00AA3A0A" w:rsidRDefault="00471D63" w:rsidP="00AA3A0A">
      <w:pPr>
        <w:rPr>
          <w:b/>
          <w:bCs/>
          <w:color w:val="auto"/>
        </w:rPr>
      </w:pPr>
      <w:r w:rsidRPr="00AA3A0A">
        <w:rPr>
          <w:b/>
          <w:bCs/>
          <w:color w:val="auto"/>
        </w:rPr>
        <w:t xml:space="preserve">Statistical analysis </w:t>
      </w:r>
    </w:p>
    <w:p w14:paraId="17D3990E" w14:textId="48472678" w:rsidR="007272D5" w:rsidRPr="00AA3A0A" w:rsidRDefault="007272D5" w:rsidP="00AA3A0A">
      <w:pPr>
        <w:pStyle w:val="whitespace-normal"/>
        <w:rPr>
          <w:sz w:val="20"/>
          <w:szCs w:val="20"/>
        </w:rPr>
      </w:pPr>
      <w:r w:rsidRPr="00AA3A0A">
        <w:rPr>
          <w:sz w:val="20"/>
          <w:szCs w:val="20"/>
        </w:rPr>
        <w:lastRenderedPageBreak/>
        <w:t xml:space="preserve">Unless otherwise specified, all sensitivity analyses were repeated using the fully adjusted model (Model 5 in main manuscript: age, sex, smoking status, WC, and </w:t>
      </w:r>
      <w:r w:rsidR="0009680B" w:rsidRPr="00AA3A0A">
        <w:rPr>
          <w:sz w:val="20"/>
          <w:szCs w:val="20"/>
        </w:rPr>
        <w:t>body mass index [</w:t>
      </w:r>
      <w:r w:rsidRPr="00AA3A0A">
        <w:rPr>
          <w:sz w:val="20"/>
          <w:szCs w:val="20"/>
        </w:rPr>
        <w:t>BMI</w:t>
      </w:r>
      <w:r w:rsidR="0009680B" w:rsidRPr="00AA3A0A">
        <w:rPr>
          <w:sz w:val="20"/>
          <w:szCs w:val="20"/>
        </w:rPr>
        <w:t>]</w:t>
      </w:r>
      <w:r w:rsidRPr="00AA3A0A">
        <w:rPr>
          <w:sz w:val="20"/>
          <w:szCs w:val="20"/>
        </w:rPr>
        <w:t>).</w:t>
      </w:r>
    </w:p>
    <w:p w14:paraId="0104A8F5" w14:textId="5A9EDD31" w:rsidR="00471D63" w:rsidRPr="00AA3A0A" w:rsidRDefault="00D369E0" w:rsidP="00AA3A0A">
      <w:pPr>
        <w:pStyle w:val="whitespace-normal"/>
        <w:rPr>
          <w:b/>
          <w:bCs/>
          <w:i/>
          <w:iCs/>
          <w:sz w:val="20"/>
          <w:szCs w:val="20"/>
        </w:rPr>
      </w:pPr>
      <w:r w:rsidRPr="00AA3A0A">
        <w:rPr>
          <w:b/>
          <w:bCs/>
          <w:i/>
          <w:iCs/>
          <w:sz w:val="20"/>
          <w:szCs w:val="20"/>
        </w:rPr>
        <w:t>Missing covariate imputation</w:t>
      </w:r>
    </w:p>
    <w:p w14:paraId="53AD6C43" w14:textId="4234DAA9" w:rsidR="00471D63" w:rsidRPr="00AA3A0A" w:rsidRDefault="00FD3A1A" w:rsidP="00AA3A0A">
      <w:pPr>
        <w:rPr>
          <w:color w:val="auto"/>
          <w:sz w:val="24"/>
          <w:lang w:val="aa-ET"/>
        </w:rPr>
      </w:pPr>
      <w:r w:rsidRPr="00AA3A0A">
        <w:rPr>
          <w:rFonts w:eastAsia="Times New Roman" w:cs="Times New Roman"/>
          <w:color w:val="auto"/>
          <w:kern w:val="0"/>
          <w:szCs w:val="20"/>
          <w:lang w:val="aa-ET" w:eastAsia="en-GB"/>
          <w14:ligatures w14:val="none"/>
        </w:rPr>
        <w:t xml:space="preserve">Missing covariates were imputed using single random forest-based imputation (1,000 trees; missRanger v2.6.1, R; seed=111). The following variables were imputed: fasting lipids (total cholesterol, </w:t>
      </w:r>
      <w:r w:rsidR="0009680B" w:rsidRPr="00AA3A0A">
        <w:rPr>
          <w:rFonts w:eastAsia="Times New Roman" w:cs="Times New Roman"/>
          <w:color w:val="auto"/>
          <w:kern w:val="0"/>
          <w:szCs w:val="20"/>
          <w:lang w:eastAsia="en-GB"/>
          <w14:ligatures w14:val="none"/>
        </w:rPr>
        <w:t>low-density lipoprotein [</w:t>
      </w:r>
      <w:r w:rsidRPr="00AA3A0A">
        <w:rPr>
          <w:rFonts w:eastAsia="Times New Roman" w:cs="Times New Roman"/>
          <w:color w:val="auto"/>
          <w:kern w:val="0"/>
          <w:szCs w:val="20"/>
          <w:lang w:val="aa-ET" w:eastAsia="en-GB"/>
          <w14:ligatures w14:val="none"/>
        </w:rPr>
        <w:t>LDL</w:t>
      </w:r>
      <w:r w:rsidR="0009680B" w:rsidRPr="00AA3A0A">
        <w:rPr>
          <w:rFonts w:eastAsia="Times New Roman" w:cs="Times New Roman"/>
          <w:color w:val="auto"/>
          <w:kern w:val="0"/>
          <w:szCs w:val="20"/>
          <w:lang w:eastAsia="en-GB"/>
          <w14:ligatures w14:val="none"/>
        </w:rPr>
        <w:t>]</w:t>
      </w:r>
      <w:r w:rsidRPr="00AA3A0A">
        <w:rPr>
          <w:rFonts w:eastAsia="Times New Roman" w:cs="Times New Roman"/>
          <w:color w:val="auto"/>
          <w:kern w:val="0"/>
          <w:szCs w:val="20"/>
          <w:lang w:val="aa-ET" w:eastAsia="en-GB"/>
          <w14:ligatures w14:val="none"/>
        </w:rPr>
        <w:t xml:space="preserve">, </w:t>
      </w:r>
      <w:r w:rsidR="0009680B" w:rsidRPr="00AA3A0A">
        <w:rPr>
          <w:rFonts w:eastAsia="Times New Roman" w:cs="Times New Roman"/>
          <w:color w:val="auto"/>
          <w:kern w:val="0"/>
          <w:szCs w:val="20"/>
          <w:lang w:eastAsia="en-GB"/>
          <w14:ligatures w14:val="none"/>
        </w:rPr>
        <w:t>high-density lipoprotein [</w:t>
      </w:r>
      <w:r w:rsidRPr="00AA3A0A">
        <w:rPr>
          <w:rFonts w:eastAsia="Times New Roman" w:cs="Times New Roman"/>
          <w:color w:val="auto"/>
          <w:kern w:val="0"/>
          <w:szCs w:val="20"/>
          <w:lang w:val="aa-ET" w:eastAsia="en-GB"/>
          <w14:ligatures w14:val="none"/>
        </w:rPr>
        <w:t>HDL</w:t>
      </w:r>
      <w:r w:rsidR="0009680B" w:rsidRPr="00AA3A0A">
        <w:rPr>
          <w:rFonts w:eastAsia="Times New Roman" w:cs="Times New Roman"/>
          <w:color w:val="auto"/>
          <w:kern w:val="0"/>
          <w:szCs w:val="20"/>
          <w:lang w:eastAsia="en-GB"/>
          <w14:ligatures w14:val="none"/>
        </w:rPr>
        <w:t>]</w:t>
      </w:r>
      <w:r w:rsidRPr="00AA3A0A">
        <w:rPr>
          <w:rFonts w:eastAsia="Times New Roman" w:cs="Times New Roman"/>
          <w:color w:val="auto"/>
          <w:kern w:val="0"/>
          <w:szCs w:val="20"/>
          <w:lang w:val="aa-ET" w:eastAsia="en-GB"/>
          <w14:ligatures w14:val="none"/>
        </w:rPr>
        <w:t xml:space="preserve">, and triglycerides; all </w:t>
      </w:r>
      <w:r w:rsidRPr="00AA3A0A">
        <w:rPr>
          <w:rFonts w:eastAsia="Times New Roman" w:cs="Times New Roman"/>
          <w:color w:val="auto"/>
          <w:kern w:val="0"/>
          <w:szCs w:val="20"/>
          <w:lang w:eastAsia="en-GB"/>
          <w14:ligatures w14:val="none"/>
        </w:rPr>
        <w:t xml:space="preserve">in </w:t>
      </w:r>
      <w:r w:rsidRPr="00AA3A0A">
        <w:rPr>
          <w:rFonts w:eastAsia="Times New Roman" w:cs="Times New Roman"/>
          <w:color w:val="auto"/>
          <w:kern w:val="0"/>
          <w:szCs w:val="20"/>
          <w:lang w:val="aa-ET" w:eastAsia="en-GB"/>
          <w14:ligatures w14:val="none"/>
        </w:rPr>
        <w:t>mmol/L), glucose (</w:t>
      </w:r>
      <w:r w:rsidRPr="00AA3A0A">
        <w:rPr>
          <w:rFonts w:eastAsia="Times New Roman" w:cs="Times New Roman"/>
          <w:color w:val="auto"/>
          <w:kern w:val="0"/>
          <w:szCs w:val="20"/>
          <w:lang w:eastAsia="en-GB"/>
          <w14:ligatures w14:val="none"/>
        </w:rPr>
        <w:t xml:space="preserve">in </w:t>
      </w:r>
      <w:r w:rsidRPr="00AA3A0A">
        <w:rPr>
          <w:rFonts w:eastAsia="Times New Roman" w:cs="Times New Roman"/>
          <w:color w:val="auto"/>
          <w:kern w:val="0"/>
          <w:szCs w:val="20"/>
          <w:lang w:val="aa-ET" w:eastAsia="en-GB"/>
          <w14:ligatures w14:val="none"/>
        </w:rPr>
        <w:t>mmol/L), HbA1c (</w:t>
      </w:r>
      <w:r w:rsidRPr="00AA3A0A">
        <w:rPr>
          <w:rFonts w:eastAsia="Times New Roman" w:cs="Times New Roman"/>
          <w:color w:val="auto"/>
          <w:kern w:val="0"/>
          <w:szCs w:val="20"/>
          <w:lang w:eastAsia="en-GB"/>
          <w14:ligatures w14:val="none"/>
        </w:rPr>
        <w:t xml:space="preserve">in </w:t>
      </w:r>
      <w:r w:rsidRPr="00AA3A0A">
        <w:rPr>
          <w:rFonts w:eastAsia="Times New Roman" w:cs="Times New Roman"/>
          <w:color w:val="auto"/>
          <w:kern w:val="0"/>
          <w:szCs w:val="20"/>
          <w:lang w:val="aa-ET" w:eastAsia="en-GB"/>
          <w14:ligatures w14:val="none"/>
        </w:rPr>
        <w:t>mmol/mol), and systolic and diastolic blood pressure (</w:t>
      </w:r>
      <w:r w:rsidRPr="00AA3A0A">
        <w:rPr>
          <w:rFonts w:eastAsia="Times New Roman" w:cs="Times New Roman"/>
          <w:color w:val="auto"/>
          <w:kern w:val="0"/>
          <w:szCs w:val="20"/>
          <w:lang w:eastAsia="en-GB"/>
          <w14:ligatures w14:val="none"/>
        </w:rPr>
        <w:t xml:space="preserve">in </w:t>
      </w:r>
      <w:r w:rsidRPr="00AA3A0A">
        <w:rPr>
          <w:rFonts w:eastAsia="Times New Roman" w:cs="Times New Roman"/>
          <w:color w:val="auto"/>
          <w:kern w:val="0"/>
          <w:szCs w:val="20"/>
          <w:lang w:val="aa-ET" w:eastAsia="en-GB"/>
          <w14:ligatures w14:val="none"/>
        </w:rPr>
        <w:t>mmHg)</w:t>
      </w:r>
      <w:r w:rsidR="00471D63" w:rsidRPr="00AA3A0A">
        <w:rPr>
          <w:rFonts w:cs="Times New Roman"/>
          <w:color w:val="auto"/>
          <w:szCs w:val="20"/>
        </w:rPr>
        <w:t>,</w:t>
      </w:r>
      <w:r w:rsidR="00471D63" w:rsidRPr="00AA3A0A">
        <w:rPr>
          <w:color w:val="auto"/>
          <w:szCs w:val="20"/>
        </w:rPr>
        <w:t xml:space="preserve"> smoking status, and waist circumference, using age, sex, BMI, VAT and SAT volumes, race/ethnicity, alcohol consumption, history of cancer, antihypertensive medication use, history of hypertension, insulin use, and history of diabetes as predictors. As single imputation does not propagate imputation uncertainty, confidence intervals and p-values should be interpreted accordingly.</w:t>
      </w:r>
      <w:r w:rsidR="0056543D" w:rsidRPr="00AA3A0A">
        <w:rPr>
          <w:color w:val="auto"/>
          <w:szCs w:val="20"/>
        </w:rPr>
        <w:t xml:space="preserve"> </w:t>
      </w:r>
      <w:r w:rsidR="00471D63" w:rsidRPr="00AA3A0A">
        <w:rPr>
          <w:color w:val="auto"/>
          <w:szCs w:val="20"/>
        </w:rPr>
        <w:t>Cox regressions were repeated in the imputed dataset (n=26,6</w:t>
      </w:r>
      <w:r w:rsidRPr="00AA3A0A">
        <w:rPr>
          <w:color w:val="auto"/>
          <w:szCs w:val="20"/>
        </w:rPr>
        <w:t>68</w:t>
      </w:r>
      <w:r w:rsidR="00471D63" w:rsidRPr="00AA3A0A">
        <w:rPr>
          <w:color w:val="auto"/>
          <w:szCs w:val="20"/>
        </w:rPr>
        <w:t xml:space="preserve">) using the primary </w:t>
      </w:r>
      <w:r w:rsidR="0009680B" w:rsidRPr="00AA3A0A">
        <w:rPr>
          <w:color w:val="auto"/>
          <w:szCs w:val="20"/>
        </w:rPr>
        <w:t>metabolically healthy non-obese (MHN) definition</w:t>
      </w:r>
      <w:r w:rsidR="0009680B" w:rsidRPr="00AA3A0A">
        <w:rPr>
          <w:rFonts w:eastAsia="Times New Roman" w:cs="Times New Roman"/>
          <w:color w:val="auto"/>
          <w:kern w:val="0"/>
          <w:szCs w:val="20"/>
          <w:lang w:val="aa-ET" w:eastAsia="en-GB"/>
          <w14:ligatures w14:val="none"/>
        </w:rPr>
        <w:t xml:space="preserve"> </w:t>
      </w:r>
      <w:r w:rsidR="0009680B" w:rsidRPr="00AA3A0A">
        <w:rPr>
          <w:rFonts w:eastAsia="Times New Roman" w:cs="Times New Roman"/>
          <w:color w:val="auto"/>
          <w:kern w:val="0"/>
          <w:szCs w:val="20"/>
          <w:lang w:eastAsia="en-GB"/>
          <w14:ligatures w14:val="none"/>
        </w:rPr>
        <w:t xml:space="preserve">based on </w:t>
      </w:r>
      <w:r w:rsidR="0009680B" w:rsidRPr="00AA3A0A">
        <w:rPr>
          <w:rFonts w:eastAsia="Times New Roman" w:cs="Times New Roman"/>
          <w:color w:val="auto"/>
          <w:kern w:val="0"/>
          <w:szCs w:val="20"/>
          <w:lang w:val="aa-ET" w:eastAsia="en-GB"/>
          <w14:ligatures w14:val="none"/>
        </w:rPr>
        <w:t>International Classification of Diseases</w:t>
      </w:r>
      <w:r w:rsidR="0009680B" w:rsidRPr="00AA3A0A">
        <w:rPr>
          <w:rFonts w:eastAsia="Times New Roman" w:cs="Times New Roman"/>
          <w:b/>
          <w:bCs/>
          <w:color w:val="auto"/>
          <w:kern w:val="0"/>
          <w:sz w:val="24"/>
          <w:lang w:eastAsia="en-GB"/>
          <w14:ligatures w14:val="none"/>
        </w:rPr>
        <w:t xml:space="preserve"> </w:t>
      </w:r>
      <w:r w:rsidR="0009680B" w:rsidRPr="00AA3A0A">
        <w:rPr>
          <w:color w:val="auto"/>
          <w:szCs w:val="20"/>
        </w:rPr>
        <w:t>(</w:t>
      </w:r>
      <w:r w:rsidR="00471D63" w:rsidRPr="00AA3A0A">
        <w:rPr>
          <w:color w:val="auto"/>
          <w:szCs w:val="20"/>
        </w:rPr>
        <w:t>ICD</w:t>
      </w:r>
      <w:r w:rsidR="0009680B" w:rsidRPr="00AA3A0A">
        <w:rPr>
          <w:color w:val="auto"/>
          <w:szCs w:val="20"/>
        </w:rPr>
        <w:t xml:space="preserve">) codes. </w:t>
      </w:r>
    </w:p>
    <w:p w14:paraId="207CF453" w14:textId="77777777" w:rsidR="00FD3A1A" w:rsidRPr="00AA3A0A" w:rsidRDefault="00FD3A1A" w:rsidP="00AA3A0A">
      <w:pPr>
        <w:pStyle w:val="whitespace-normal"/>
        <w:rPr>
          <w:b/>
          <w:bCs/>
          <w:i/>
          <w:iCs/>
          <w:sz w:val="20"/>
          <w:szCs w:val="20"/>
          <w:lang w:val="aa-ET"/>
        </w:rPr>
      </w:pPr>
    </w:p>
    <w:p w14:paraId="135FD4BE" w14:textId="0A05EDB5" w:rsidR="00471D63" w:rsidRPr="00AA3A0A" w:rsidRDefault="0056543D" w:rsidP="00AA3A0A">
      <w:pPr>
        <w:pStyle w:val="whitespace-normal"/>
        <w:rPr>
          <w:b/>
          <w:bCs/>
          <w:i/>
          <w:iCs/>
          <w:sz w:val="20"/>
          <w:szCs w:val="20"/>
        </w:rPr>
      </w:pPr>
      <w:r w:rsidRPr="00AA3A0A">
        <w:rPr>
          <w:b/>
          <w:bCs/>
          <w:i/>
          <w:iCs/>
          <w:sz w:val="20"/>
          <w:szCs w:val="20"/>
        </w:rPr>
        <w:t>E</w:t>
      </w:r>
      <w:r w:rsidR="00471D63" w:rsidRPr="00AA3A0A">
        <w:rPr>
          <w:b/>
          <w:bCs/>
          <w:i/>
          <w:iCs/>
          <w:sz w:val="20"/>
          <w:szCs w:val="20"/>
        </w:rPr>
        <w:t>nhanced metabolic health definition</w:t>
      </w:r>
    </w:p>
    <w:p w14:paraId="3D97ABFA" w14:textId="7C1BED00" w:rsidR="00471D63" w:rsidRPr="00AA3A0A" w:rsidRDefault="00471D63" w:rsidP="00AA3A0A">
      <w:pPr>
        <w:pStyle w:val="whitespace-normal"/>
        <w:rPr>
          <w:sz w:val="20"/>
          <w:szCs w:val="20"/>
        </w:rPr>
      </w:pPr>
      <w:r w:rsidRPr="00AA3A0A">
        <w:rPr>
          <w:sz w:val="20"/>
          <w:szCs w:val="20"/>
        </w:rPr>
        <w:t>To address potential misclassification of metabolic health status, we additionally applied an enhanced MHN definition using the imputed dataset. Diabetes was defined as ICD-coded history, insulin use, HbA1c ≥48 mmol/mol, or fasting glucose ≥7.0 mmol/L. Hypertension was defined as ICD-coded history, antihypertensive medication use, systolic blood pressure ≥140 mmHg, or diastolic blood pressure ≥90 mmHg. The hyperlipidemia definition was unchanged from the primary analysis. Cox regressions were repeated in this enhanced MHN subcohort</w:t>
      </w:r>
      <w:r w:rsidR="007272D5" w:rsidRPr="00AA3A0A">
        <w:rPr>
          <w:sz w:val="20"/>
          <w:szCs w:val="20"/>
        </w:rPr>
        <w:t xml:space="preserve">. </w:t>
      </w:r>
    </w:p>
    <w:p w14:paraId="6311E538" w14:textId="5C9520FD" w:rsidR="00471D63" w:rsidRPr="00AA3A0A" w:rsidRDefault="00471D63" w:rsidP="00AA3A0A">
      <w:pPr>
        <w:pStyle w:val="whitespace-normal"/>
        <w:rPr>
          <w:b/>
          <w:bCs/>
          <w:i/>
          <w:iCs/>
          <w:sz w:val="20"/>
          <w:szCs w:val="20"/>
        </w:rPr>
      </w:pPr>
      <w:bookmarkStart w:id="1" w:name="_Hlk231981645"/>
      <w:r w:rsidRPr="00AA3A0A">
        <w:rPr>
          <w:b/>
          <w:bCs/>
          <w:i/>
          <w:iCs/>
          <w:sz w:val="20"/>
          <w:szCs w:val="20"/>
        </w:rPr>
        <w:t xml:space="preserve">Alternative anthropometric </w:t>
      </w:r>
      <w:r w:rsidR="00D369E0" w:rsidRPr="00AA3A0A">
        <w:rPr>
          <w:b/>
          <w:bCs/>
          <w:i/>
          <w:iCs/>
          <w:sz w:val="20"/>
          <w:szCs w:val="20"/>
        </w:rPr>
        <w:t>measures</w:t>
      </w:r>
    </w:p>
    <w:p w14:paraId="116E72A3" w14:textId="77777777" w:rsidR="007272D5" w:rsidRPr="00AA3A0A" w:rsidRDefault="00471D63" w:rsidP="00AA3A0A">
      <w:pPr>
        <w:pStyle w:val="whitespace-normal"/>
        <w:rPr>
          <w:b/>
          <w:bCs/>
          <w:i/>
          <w:iCs/>
          <w:sz w:val="20"/>
          <w:szCs w:val="20"/>
        </w:rPr>
      </w:pPr>
      <w:r w:rsidRPr="00AA3A0A">
        <w:rPr>
          <w:sz w:val="20"/>
          <w:szCs w:val="20"/>
        </w:rPr>
        <w:t xml:space="preserve">Waist-to-hip ratio (WHR) and waist-to-height ratio (WHtR) were derived as </w:t>
      </w:r>
      <w:r w:rsidR="007272D5" w:rsidRPr="00AA3A0A">
        <w:rPr>
          <w:sz w:val="20"/>
          <w:szCs w:val="20"/>
        </w:rPr>
        <w:t>WC</w:t>
      </w:r>
      <w:r w:rsidRPr="00AA3A0A">
        <w:rPr>
          <w:sz w:val="20"/>
          <w:szCs w:val="20"/>
        </w:rPr>
        <w:t xml:space="preserve"> divided by hip circumference and height, respectively. First, to assess the independent association of VAT/SAT ratio with incident MACE and diabetes after adjustment for alternative anthropometric measures, Cox regressions were repeated replacing WC with WHR or WHtR, while retaining BMI (full model: age, sex, smoking status, BMI, and WHR or WHtR). Second, to assess the incremental prognostic value of VAT/SAT ratio beyond each anthropometric measure, nested Cox models with and without VAT/SAT ratio were compared using likelihood ratio tests and Harrell's C-index, identical to the primary analysis.</w:t>
      </w:r>
      <w:bookmarkEnd w:id="1"/>
      <w:r w:rsidR="009878E4" w:rsidRPr="00AA3A0A">
        <w:rPr>
          <w:sz w:val="20"/>
          <w:szCs w:val="20"/>
        </w:rPr>
        <w:br/>
      </w:r>
      <w:r w:rsidR="009878E4" w:rsidRPr="00AA3A0A">
        <w:rPr>
          <w:sz w:val="20"/>
          <w:szCs w:val="20"/>
        </w:rPr>
        <w:br/>
      </w:r>
      <w:bookmarkStart w:id="2" w:name="_Hlk231910814"/>
      <w:r w:rsidR="007272D5" w:rsidRPr="00AA3A0A">
        <w:rPr>
          <w:b/>
          <w:bCs/>
          <w:i/>
          <w:iCs/>
          <w:sz w:val="20"/>
          <w:szCs w:val="20"/>
        </w:rPr>
        <w:t>Continuous VAT/SAT ratio and VAT volume analyses</w:t>
      </w:r>
    </w:p>
    <w:p w14:paraId="50B494FC" w14:textId="38C0FA4B" w:rsidR="007272D5" w:rsidRPr="00AA3A0A" w:rsidRDefault="00647D63" w:rsidP="00AA3A0A">
      <w:pPr>
        <w:pStyle w:val="whitespace-normal"/>
        <w:rPr>
          <w:sz w:val="20"/>
          <w:szCs w:val="20"/>
        </w:rPr>
      </w:pPr>
      <w:r w:rsidRPr="00AA3A0A">
        <w:rPr>
          <w:sz w:val="20"/>
          <w:szCs w:val="20"/>
        </w:rPr>
        <w:t>To assess whether associations were independent of the chosen cutoffs, and to compare the incremental prognostic performance of the VAT/SAT ratio and VAT volume, both were analy</w:t>
      </w:r>
      <w:r w:rsidR="00F60C58" w:rsidRPr="00AA3A0A">
        <w:rPr>
          <w:sz w:val="20"/>
          <w:szCs w:val="20"/>
        </w:rPr>
        <w:t>z</w:t>
      </w:r>
      <w:r w:rsidRPr="00AA3A0A">
        <w:rPr>
          <w:sz w:val="20"/>
          <w:szCs w:val="20"/>
        </w:rPr>
        <w:t xml:space="preserve">ed as continuous predictors. The </w:t>
      </w:r>
      <w:r w:rsidR="006F5E55" w:rsidRPr="00AA3A0A">
        <w:rPr>
          <w:sz w:val="20"/>
          <w:szCs w:val="20"/>
        </w:rPr>
        <w:t>VAT/SAT ratio</w:t>
      </w:r>
      <w:r w:rsidRPr="00AA3A0A">
        <w:rPr>
          <w:sz w:val="20"/>
          <w:szCs w:val="20"/>
        </w:rPr>
        <w:t xml:space="preserve"> and VAT volume </w:t>
      </w:r>
      <w:r w:rsidR="006F5E55" w:rsidRPr="00AA3A0A">
        <w:rPr>
          <w:sz w:val="20"/>
          <w:szCs w:val="20"/>
        </w:rPr>
        <w:t>showed a right-skewed distribution in both sexes and w</w:t>
      </w:r>
      <w:r w:rsidRPr="00AA3A0A">
        <w:rPr>
          <w:sz w:val="20"/>
          <w:szCs w:val="20"/>
        </w:rPr>
        <w:t>ere</w:t>
      </w:r>
      <w:r w:rsidR="006F5E55" w:rsidRPr="00AA3A0A">
        <w:rPr>
          <w:sz w:val="20"/>
          <w:szCs w:val="20"/>
        </w:rPr>
        <w:t xml:space="preserve"> therefore log-transformed before analysis.</w:t>
      </w:r>
      <w:r w:rsidRPr="00AA3A0A">
        <w:rPr>
          <w:sz w:val="20"/>
          <w:szCs w:val="20"/>
        </w:rPr>
        <w:t xml:space="preserve"> </w:t>
      </w:r>
      <w:r w:rsidR="006F5E55" w:rsidRPr="00AA3A0A">
        <w:rPr>
          <w:sz w:val="20"/>
          <w:szCs w:val="20"/>
        </w:rPr>
        <w:t>Both variables were standardized to sex-specific z-scores to account for known sex differences in fat distribution</w:t>
      </w:r>
      <w:r w:rsidR="00CA5FDA" w:rsidRPr="00AA3A0A">
        <w:rPr>
          <w:sz w:val="20"/>
          <w:szCs w:val="20"/>
        </w:rPr>
        <w:t xml:space="preserve"> </w:t>
      </w:r>
      <w:r w:rsidR="00CA5FDA" w:rsidRPr="00AA3A0A">
        <w:rPr>
          <w:noProof/>
          <w:sz w:val="20"/>
          <w:szCs w:val="20"/>
        </w:rPr>
        <w:t>[4]</w:t>
      </w:r>
      <w:r w:rsidR="006F5E55" w:rsidRPr="00AA3A0A">
        <w:rPr>
          <w:sz w:val="20"/>
          <w:szCs w:val="20"/>
        </w:rPr>
        <w:t xml:space="preserve">. First, Cox regressions were performed separately for each predictor (per 1 </w:t>
      </w:r>
      <w:r w:rsidR="00ED2B65" w:rsidRPr="00AA3A0A">
        <w:rPr>
          <w:sz w:val="20"/>
          <w:szCs w:val="20"/>
        </w:rPr>
        <w:t>standard deviation [</w:t>
      </w:r>
      <w:r w:rsidR="006F5E55" w:rsidRPr="00AA3A0A">
        <w:rPr>
          <w:sz w:val="20"/>
          <w:szCs w:val="20"/>
        </w:rPr>
        <w:t>SD</w:t>
      </w:r>
      <w:r w:rsidR="00ED2B65" w:rsidRPr="00AA3A0A">
        <w:rPr>
          <w:sz w:val="20"/>
          <w:szCs w:val="20"/>
        </w:rPr>
        <w:t>]</w:t>
      </w:r>
      <w:r w:rsidR="006F5E55" w:rsidRPr="00AA3A0A">
        <w:rPr>
          <w:sz w:val="20"/>
          <w:szCs w:val="20"/>
        </w:rPr>
        <w:t xml:space="preserve"> of log-transformed sex-specific values) to assess independent associations with incident MACE and diabetes. Second, incremental prognostic value beyond the fully adjusted base</w:t>
      </w:r>
      <w:r w:rsidR="00F30952" w:rsidRPr="00AA3A0A">
        <w:rPr>
          <w:sz w:val="20"/>
          <w:szCs w:val="20"/>
        </w:rPr>
        <w:t>line</w:t>
      </w:r>
      <w:r w:rsidR="006F5E55" w:rsidRPr="00AA3A0A">
        <w:rPr>
          <w:sz w:val="20"/>
          <w:szCs w:val="20"/>
        </w:rPr>
        <w:t xml:space="preserve"> model was assessed for each predictor using likelihood ratio tests and Harrell's C-index.</w:t>
      </w:r>
    </w:p>
    <w:p w14:paraId="5D9AC54B" w14:textId="209A0B6A" w:rsidR="008D04E7" w:rsidRPr="00AA3A0A" w:rsidRDefault="008D04E7" w:rsidP="00AA3A0A">
      <w:pPr>
        <w:pStyle w:val="whitespace-normal"/>
        <w:rPr>
          <w:b/>
          <w:bCs/>
          <w:i/>
          <w:iCs/>
          <w:sz w:val="20"/>
          <w:szCs w:val="20"/>
        </w:rPr>
      </w:pPr>
      <w:bookmarkStart w:id="3" w:name="_Hlk231914216"/>
      <w:bookmarkEnd w:id="2"/>
      <w:r w:rsidRPr="00AA3A0A">
        <w:rPr>
          <w:b/>
          <w:bCs/>
          <w:i/>
          <w:iCs/>
          <w:sz w:val="20"/>
          <w:szCs w:val="20"/>
        </w:rPr>
        <w:t>Competing risk analysis</w:t>
      </w:r>
    </w:p>
    <w:p w14:paraId="41CEF4FB" w14:textId="796840B3" w:rsidR="008D04E7" w:rsidRPr="00AA3A0A" w:rsidRDefault="008D04E7" w:rsidP="00AA3A0A">
      <w:pPr>
        <w:pStyle w:val="whitespace-normal"/>
        <w:rPr>
          <w:sz w:val="20"/>
          <w:szCs w:val="20"/>
        </w:rPr>
      </w:pPr>
      <w:r w:rsidRPr="00AA3A0A">
        <w:rPr>
          <w:sz w:val="20"/>
          <w:szCs w:val="20"/>
        </w:rPr>
        <w:t xml:space="preserve">In the primary analysis, incident MACE and incident diabetes were treated as independent outcomes. To account for the potential influence of competing events, Fine &amp; Gray subdistribution hazard models were fitted for each outcome, with the alternative outcome treated as the competing risk (i.e., diabetes as competing event for MACE analyses, and MACE as competing event for diabetes analyses). A combined follow-up time was defined as the minimum of the MACE and diabetes follow-up times. </w:t>
      </w:r>
    </w:p>
    <w:p w14:paraId="091A313A" w14:textId="77777777" w:rsidR="00D369E0" w:rsidRPr="00AA3A0A" w:rsidRDefault="00D369E0" w:rsidP="00AA3A0A">
      <w:pPr>
        <w:pStyle w:val="whitespace-normal"/>
        <w:rPr>
          <w:b/>
          <w:bCs/>
          <w:i/>
          <w:iCs/>
          <w:sz w:val="20"/>
          <w:szCs w:val="20"/>
        </w:rPr>
      </w:pPr>
      <w:bookmarkStart w:id="4" w:name="_Hlk231911398"/>
      <w:bookmarkEnd w:id="3"/>
      <w:r w:rsidRPr="00AA3A0A">
        <w:rPr>
          <w:b/>
          <w:bCs/>
          <w:i/>
          <w:iCs/>
          <w:sz w:val="20"/>
          <w:szCs w:val="20"/>
        </w:rPr>
        <w:lastRenderedPageBreak/>
        <w:t>Lag-time and minimum follow-up analyses</w:t>
      </w:r>
    </w:p>
    <w:p w14:paraId="3D20FFD0" w14:textId="77777777" w:rsidR="0005769C" w:rsidRPr="00AA3A0A" w:rsidRDefault="009878E4" w:rsidP="00AA3A0A">
      <w:pPr>
        <w:pStyle w:val="whitespace-normal"/>
        <w:rPr>
          <w:sz w:val="20"/>
          <w:szCs w:val="20"/>
        </w:rPr>
      </w:pPr>
      <w:r w:rsidRPr="00AA3A0A">
        <w:rPr>
          <w:sz w:val="20"/>
          <w:szCs w:val="20"/>
        </w:rPr>
        <w:t xml:space="preserve">Two sensitivity analyses were performed to assess the robustness of results to early events and short follow-up. </w:t>
      </w:r>
    </w:p>
    <w:p w14:paraId="5930489C" w14:textId="2C5E6A4E" w:rsidR="0005769C" w:rsidRPr="00AA3A0A" w:rsidRDefault="009878E4" w:rsidP="00AA3A0A">
      <w:pPr>
        <w:pStyle w:val="whitespace-normal"/>
        <w:rPr>
          <w:sz w:val="20"/>
          <w:szCs w:val="20"/>
        </w:rPr>
      </w:pPr>
      <w:r w:rsidRPr="00AA3A0A">
        <w:rPr>
          <w:sz w:val="20"/>
          <w:szCs w:val="20"/>
        </w:rPr>
        <w:t>First, to address potential reverse causation, whereby subclinical disease present at the time of imaging may have driven early outcome events, participants who experienced an outcome within the first 1 or 2 years of follow-up were excluded (lag-time analyses). Participants without an event retained their full follow-up time.</w:t>
      </w:r>
      <w:r w:rsidR="00C9319B" w:rsidRPr="00AA3A0A">
        <w:rPr>
          <w:sz w:val="20"/>
          <w:szCs w:val="20"/>
        </w:rPr>
        <w:t xml:space="preserve"> </w:t>
      </w:r>
    </w:p>
    <w:p w14:paraId="31A7AB56" w14:textId="3602A15C" w:rsidR="008D04E7" w:rsidRPr="00AA3A0A" w:rsidRDefault="009878E4" w:rsidP="00AA3A0A">
      <w:pPr>
        <w:pStyle w:val="whitespace-normal"/>
        <w:rPr>
          <w:sz w:val="20"/>
          <w:szCs w:val="20"/>
        </w:rPr>
      </w:pPr>
      <w:r w:rsidRPr="00AA3A0A">
        <w:rPr>
          <w:sz w:val="20"/>
          <w:szCs w:val="20"/>
        </w:rPr>
        <w:t>Second, to assess whether results were influenced by participants with very short total follow-up, analyses were repeated restricting the cohort to participants with a minimum follow-up of ≥1 and ≥2 years, respectively. Unlike the lag-time analyses, this restriction excluded participants regardless of whether they experienced an event.</w:t>
      </w:r>
      <w:r w:rsidR="00C9319B" w:rsidRPr="00AA3A0A">
        <w:rPr>
          <w:sz w:val="20"/>
          <w:szCs w:val="20"/>
        </w:rPr>
        <w:t xml:space="preserve"> </w:t>
      </w:r>
      <w:r w:rsidRPr="00AA3A0A">
        <w:rPr>
          <w:sz w:val="20"/>
          <w:szCs w:val="20"/>
        </w:rPr>
        <w:t>Both sensitivity analyses were applied separately for incident diabetes and MACE</w:t>
      </w:r>
      <w:r w:rsidR="00647D63" w:rsidRPr="00AA3A0A">
        <w:rPr>
          <w:sz w:val="20"/>
          <w:szCs w:val="20"/>
        </w:rPr>
        <w:t xml:space="preserve">. </w:t>
      </w:r>
    </w:p>
    <w:p w14:paraId="7ACD9BC8" w14:textId="77777777" w:rsidR="0005769C" w:rsidRPr="00AA3A0A" w:rsidRDefault="0005769C" w:rsidP="00AA3A0A">
      <w:pPr>
        <w:pStyle w:val="whitespace-normal"/>
        <w:rPr>
          <w:sz w:val="20"/>
          <w:szCs w:val="20"/>
        </w:rPr>
      </w:pPr>
    </w:p>
    <w:p w14:paraId="6BEC10A3" w14:textId="340AEE80" w:rsidR="007A6A96" w:rsidRPr="00AA3A0A" w:rsidRDefault="00D369E0" w:rsidP="00AA3A0A">
      <w:pPr>
        <w:pStyle w:val="whitespace-normal"/>
        <w:rPr>
          <w:sz w:val="20"/>
          <w:szCs w:val="20"/>
        </w:rPr>
      </w:pPr>
      <w:bookmarkStart w:id="5" w:name="_Hlk231977468"/>
      <w:bookmarkEnd w:id="4"/>
      <w:r w:rsidRPr="00AA3A0A">
        <w:rPr>
          <w:b/>
          <w:bCs/>
          <w:i/>
          <w:iCs/>
          <w:sz w:val="20"/>
          <w:szCs w:val="20"/>
        </w:rPr>
        <w:t>Analysis across metabolic phenotypes</w:t>
      </w:r>
      <w:r w:rsidR="008D04E7" w:rsidRPr="00AA3A0A">
        <w:rPr>
          <w:sz w:val="20"/>
          <w:szCs w:val="20"/>
        </w:rPr>
        <w:br/>
      </w:r>
      <w:r w:rsidR="008D04E7" w:rsidRPr="00AA3A0A">
        <w:rPr>
          <w:sz w:val="20"/>
          <w:szCs w:val="20"/>
        </w:rPr>
        <w:br/>
        <w:t xml:space="preserve">The primary analysis was restricted to MHN participants. We additionally performed Cox regressions across all four metabolic phenotypes. Participants were classified as metabolically unhealthy by the presence of (1) diabetes, regardless of other metabolic risk factors, or (2) a combination of hypertension and hyperlipidemia. Combined with obesity status (BMI ≥30 kg/m² defined as obese), participants were assigned to one of four phenotypes: metabolically healthy non-obese (MHN), metabolically healthy obese (MHO), metabolically unhealthy non-obese (MUN), and metabolically unhealthy obese (MUO). </w:t>
      </w:r>
      <w:r w:rsidR="00647D63" w:rsidRPr="00AA3A0A">
        <w:rPr>
          <w:sz w:val="20"/>
          <w:szCs w:val="20"/>
        </w:rPr>
        <w:t xml:space="preserve">Participants with prevalent cardiovascular disease were excluded across all phenotypes; for incident diabetes analyses, participants with prevalent diabetes at baseline were additionally excluded. Cox </w:t>
      </w:r>
      <w:r w:rsidR="00DF2AAE" w:rsidRPr="00AA3A0A">
        <w:rPr>
          <w:sz w:val="20"/>
          <w:szCs w:val="20"/>
        </w:rPr>
        <w:t xml:space="preserve">regressions </w:t>
      </w:r>
      <w:r w:rsidR="00647D63" w:rsidRPr="00AA3A0A">
        <w:rPr>
          <w:sz w:val="20"/>
          <w:szCs w:val="20"/>
        </w:rPr>
        <w:t>were fitted separately within each phenotype.</w:t>
      </w:r>
      <w:bookmarkEnd w:id="5"/>
      <w:r w:rsidR="007A6A96" w:rsidRPr="00AA3A0A">
        <w:rPr>
          <w:sz w:val="20"/>
          <w:szCs w:val="20"/>
        </w:rPr>
        <w:br/>
      </w:r>
      <w:r w:rsidR="007A6A96" w:rsidRPr="00AA3A0A">
        <w:rPr>
          <w:sz w:val="20"/>
          <w:szCs w:val="20"/>
        </w:rPr>
        <w:br/>
      </w:r>
      <w:bookmarkStart w:id="6" w:name="_Hlk231980498"/>
      <w:r w:rsidR="007A6A96" w:rsidRPr="00AA3A0A">
        <w:rPr>
          <w:b/>
          <w:bCs/>
          <w:i/>
          <w:iCs/>
          <w:sz w:val="20"/>
          <w:szCs w:val="20"/>
        </w:rPr>
        <w:t>Sex- and age-stratified analyses</w:t>
      </w:r>
    </w:p>
    <w:p w14:paraId="5FED20B8" w14:textId="774C1D3E" w:rsidR="007A6A96" w:rsidRPr="00AA3A0A" w:rsidRDefault="007B2D7F" w:rsidP="00AA3A0A">
      <w:pPr>
        <w:pStyle w:val="whitespace-normal"/>
        <w:rPr>
          <w:sz w:val="20"/>
          <w:szCs w:val="20"/>
        </w:rPr>
      </w:pPr>
      <w:r w:rsidRPr="00AA3A0A">
        <w:rPr>
          <w:sz w:val="20"/>
          <w:szCs w:val="20"/>
        </w:rPr>
        <w:t xml:space="preserve">To assess whether the association between VAT/SAT ratio and incident MACE and diabetes differed by sex or age, Cox </w:t>
      </w:r>
      <w:r w:rsidR="00DF2AAE" w:rsidRPr="00AA3A0A">
        <w:rPr>
          <w:sz w:val="20"/>
          <w:szCs w:val="20"/>
        </w:rPr>
        <w:t xml:space="preserve">regressions were </w:t>
      </w:r>
      <w:r w:rsidRPr="00AA3A0A">
        <w:rPr>
          <w:sz w:val="20"/>
          <w:szCs w:val="20"/>
        </w:rPr>
        <w:t>fitted separately in males and females, and in participants aged &lt;60 and ≥60 years, respectively. All models used identical specifications to the primary analysis, with sex omitted from models in sex-stratified analyses. Formal tests for effect modification by sex and age were performed by adding a multiplicative interaction term to the pooled model, with significance assessed using likelihood ratio tests.</w:t>
      </w:r>
      <w:bookmarkEnd w:id="6"/>
      <w:r w:rsidR="007A6A96" w:rsidRPr="00AA3A0A">
        <w:rPr>
          <w:sz w:val="20"/>
          <w:szCs w:val="20"/>
        </w:rPr>
        <w:br/>
      </w:r>
      <w:r w:rsidR="007A6A96" w:rsidRPr="00AA3A0A">
        <w:rPr>
          <w:sz w:val="20"/>
          <w:szCs w:val="20"/>
        </w:rPr>
        <w:br/>
      </w:r>
      <w:r w:rsidR="007A6A96" w:rsidRPr="00AA3A0A">
        <w:rPr>
          <w:b/>
          <w:bCs/>
          <w:i/>
          <w:iCs/>
          <w:sz w:val="20"/>
          <w:szCs w:val="20"/>
        </w:rPr>
        <w:t>Adjustment for race</w:t>
      </w:r>
    </w:p>
    <w:p w14:paraId="6743AC26" w14:textId="77777777" w:rsidR="00AE1D54" w:rsidRPr="00AA3A0A" w:rsidRDefault="007A6A96" w:rsidP="00AA3A0A">
      <w:pPr>
        <w:pStyle w:val="whitespace-normal"/>
        <w:rPr>
          <w:sz w:val="20"/>
          <w:szCs w:val="20"/>
        </w:rPr>
      </w:pPr>
      <w:r w:rsidRPr="00AA3A0A">
        <w:rPr>
          <w:sz w:val="20"/>
          <w:szCs w:val="20"/>
        </w:rPr>
        <w:t>Due to the limited number of non-white participants in the UKB imaging subsample, self-reported race was dichotomized into white and non-white. To assess whether results were robust to adjustment for race, analyses were repeated adding this variable as an additional covariate to the fully adjusted primary model.</w:t>
      </w:r>
      <w:r w:rsidR="00AE1D54" w:rsidRPr="00AA3A0A">
        <w:rPr>
          <w:sz w:val="20"/>
          <w:szCs w:val="20"/>
        </w:rPr>
        <w:br/>
      </w:r>
      <w:r w:rsidR="00AE1D54" w:rsidRPr="00AA3A0A">
        <w:rPr>
          <w:sz w:val="20"/>
          <w:szCs w:val="20"/>
        </w:rPr>
        <w:br/>
      </w:r>
      <w:bookmarkStart w:id="7" w:name="_Hlk231987556"/>
      <w:r w:rsidR="00AE1D54" w:rsidRPr="00AA3A0A">
        <w:rPr>
          <w:b/>
          <w:bCs/>
          <w:i/>
          <w:iCs/>
          <w:sz w:val="20"/>
          <w:szCs w:val="20"/>
        </w:rPr>
        <w:t>Assessment of multicollinearity</w:t>
      </w:r>
    </w:p>
    <w:p w14:paraId="1F950EF9" w14:textId="33C627C4" w:rsidR="00432713" w:rsidRPr="00AA3A0A" w:rsidRDefault="00AE1D54" w:rsidP="00AA3A0A">
      <w:pPr>
        <w:pStyle w:val="whitespace-normal"/>
        <w:rPr>
          <w:rFonts w:ascii="Arial" w:eastAsiaTheme="majorEastAsia" w:hAnsi="Arial" w:cs="Arial"/>
          <w:b/>
          <w:lang w:val="en-GB"/>
        </w:rPr>
      </w:pPr>
      <w:r w:rsidRPr="00AA3A0A">
        <w:rPr>
          <w:sz w:val="20"/>
          <w:szCs w:val="20"/>
        </w:rPr>
        <w:t>The primary Cox regressions included the VAT/SAT ratio, BMI, and WC in the fully adjusted model. We assessed multicollinearity of anthropometric measures using the variance inflation factor (VIF). VIF requires continuous predictors; the VAT/SAT ratio was entered as a sex-specific log z-score for this assessment. VIF was calculated separately for the MACE and diabetes models. A VIF &gt;</w:t>
      </w:r>
      <w:r w:rsidR="00F60C58" w:rsidRPr="00AA3A0A">
        <w:rPr>
          <w:sz w:val="20"/>
          <w:szCs w:val="20"/>
        </w:rPr>
        <w:t>5</w:t>
      </w:r>
      <w:r w:rsidRPr="00AA3A0A">
        <w:rPr>
          <w:sz w:val="20"/>
          <w:szCs w:val="20"/>
        </w:rPr>
        <w:t xml:space="preserve"> was considered indicative of problematic multicollinearity</w:t>
      </w:r>
      <w:r w:rsidR="00CA5FDA" w:rsidRPr="00AA3A0A">
        <w:rPr>
          <w:sz w:val="20"/>
          <w:szCs w:val="20"/>
        </w:rPr>
        <w:t xml:space="preserve"> </w:t>
      </w:r>
      <w:r w:rsidR="00CA5FDA" w:rsidRPr="00AA3A0A">
        <w:rPr>
          <w:noProof/>
          <w:sz w:val="20"/>
          <w:szCs w:val="20"/>
        </w:rPr>
        <w:t>[5]</w:t>
      </w:r>
      <w:r w:rsidRPr="00AA3A0A">
        <w:rPr>
          <w:sz w:val="20"/>
          <w:szCs w:val="20"/>
        </w:rPr>
        <w:t>.</w:t>
      </w:r>
      <w:bookmarkEnd w:id="7"/>
    </w:p>
    <w:p w14:paraId="0CFD7BAA" w14:textId="25789FBE" w:rsidR="009A466C" w:rsidRPr="00AA3A0A" w:rsidRDefault="007E04A7" w:rsidP="00AA3A0A">
      <w:pPr>
        <w:pStyle w:val="Heading2"/>
        <w:rPr>
          <w:rFonts w:cs="Times New Roman"/>
          <w:color w:val="auto"/>
          <w:lang w:val="en-GB"/>
        </w:rPr>
      </w:pPr>
      <w:bookmarkStart w:id="8" w:name="_Toc231931591"/>
      <w:r w:rsidRPr="00AA3A0A">
        <w:rPr>
          <w:rFonts w:cs="Times New Roman"/>
          <w:color w:val="auto"/>
          <w:lang w:val="en-GB"/>
        </w:rPr>
        <w:t>II</w:t>
      </w:r>
      <w:r w:rsidRPr="00AA3A0A">
        <w:rPr>
          <w:rFonts w:cs="Times New Roman"/>
          <w:color w:val="auto"/>
          <w:lang w:val="en-GB"/>
        </w:rPr>
        <w:tab/>
      </w:r>
      <w:r w:rsidR="009A466C" w:rsidRPr="00AA3A0A">
        <w:rPr>
          <w:rFonts w:cs="Times New Roman"/>
          <w:color w:val="auto"/>
          <w:lang w:val="en-GB"/>
        </w:rPr>
        <w:t>SUPPLEMENTAL RESULTS</w:t>
      </w:r>
      <w:bookmarkEnd w:id="8"/>
    </w:p>
    <w:p w14:paraId="41D79892" w14:textId="77777777" w:rsidR="00432713" w:rsidRPr="00AA3A0A" w:rsidRDefault="00432713" w:rsidP="00AA3A0A">
      <w:pPr>
        <w:rPr>
          <w:rFonts w:cs="Times New Roman"/>
          <w:color w:val="auto"/>
          <w:lang w:val="en-GB"/>
        </w:rPr>
      </w:pPr>
    </w:p>
    <w:p w14:paraId="5C85D455" w14:textId="74372E84" w:rsidR="00345D4A" w:rsidRPr="00AA3A0A" w:rsidRDefault="00432713" w:rsidP="00AA3A0A">
      <w:pPr>
        <w:pStyle w:val="NoSpacing"/>
        <w:rPr>
          <w:rFonts w:cs="Times New Roman"/>
          <w:color w:val="auto"/>
          <w:lang w:val="en-GB"/>
        </w:rPr>
      </w:pPr>
      <w:r w:rsidRPr="00AA3A0A">
        <w:rPr>
          <w:color w:val="auto"/>
        </w:rPr>
        <w:t>Baseline characteristics of the NAKO cohort</w:t>
      </w:r>
      <w:r w:rsidRPr="00AA3A0A">
        <w:rPr>
          <w:bCs/>
          <w:color w:val="auto"/>
        </w:rPr>
        <w:t>:</w:t>
      </w:r>
      <w:r w:rsidRPr="00AA3A0A">
        <w:rPr>
          <w:rFonts w:cs="Times New Roman"/>
          <w:bCs/>
          <w:color w:val="auto"/>
          <w:szCs w:val="20"/>
        </w:rPr>
        <w:t xml:space="preserve"> </w:t>
      </w:r>
      <w:r w:rsidRPr="00AA3A0A">
        <w:rPr>
          <w:rFonts w:cs="Times New Roman"/>
          <w:color w:val="auto"/>
          <w:lang w:val="en-GB"/>
        </w:rPr>
        <w:t>The NAKO cohort, used for VAT/SAT cutoff derivation, comprised 23,664 participants (mean age 53.9 ± 8.2 years, 44.9% female).</w:t>
      </w:r>
      <w:r w:rsidR="00345D4A" w:rsidRPr="00AA3A0A">
        <w:rPr>
          <w:rFonts w:cs="Times New Roman"/>
          <w:color w:val="auto"/>
          <w:lang w:val="en-GB"/>
        </w:rPr>
        <w:t xml:space="preserve"> 14,876 (62.9%) had a low and 8,788 (37.1%) had a high VAT/SAT ratio.</w:t>
      </w:r>
      <w:r w:rsidR="00345D4A" w:rsidRPr="00AA3A0A">
        <w:rPr>
          <w:color w:val="auto"/>
        </w:rPr>
        <w:t xml:space="preserve"> </w:t>
      </w:r>
      <w:r w:rsidR="00345D4A" w:rsidRPr="00AA3A0A">
        <w:rPr>
          <w:rFonts w:cs="Times New Roman"/>
          <w:color w:val="auto"/>
          <w:lang w:val="en-GB"/>
        </w:rPr>
        <w:t xml:space="preserve">Participants with high VAT/SAT ratios were predominantly male (65.7% vs. 48.8%), older (57.8 ± 8.3 vs. 52.0 ± 7.7 years), had higher BMI (28.1 ± 4.1 vs. 26.3 ± 4.9 kg/m²), larger WC (98.2 ± 11.1 vs. 89.5 </w:t>
      </w:r>
      <w:r w:rsidR="00345D4A" w:rsidRPr="00AA3A0A">
        <w:rPr>
          <w:rFonts w:cs="Times New Roman"/>
          <w:color w:val="auto"/>
          <w:lang w:val="en-GB"/>
        </w:rPr>
        <w:lastRenderedPageBreak/>
        <w:t xml:space="preserve">± 13.7 cm), and were more frequently current or former smokers (54.1% vs. 48.7%). Detailed baseline characteristics are presented in </w:t>
      </w:r>
      <w:r w:rsidR="00345D4A" w:rsidRPr="00AA3A0A">
        <w:rPr>
          <w:rFonts w:cs="Times New Roman"/>
          <w:b/>
          <w:color w:val="auto"/>
          <w:lang w:val="en-GB"/>
        </w:rPr>
        <w:t>Supplemental Table 1</w:t>
      </w:r>
      <w:r w:rsidR="00345D4A" w:rsidRPr="00AA3A0A">
        <w:rPr>
          <w:rFonts w:cs="Times New Roman"/>
          <w:color w:val="auto"/>
          <w:lang w:val="en-GB"/>
        </w:rPr>
        <w:t>.</w:t>
      </w:r>
    </w:p>
    <w:p w14:paraId="600722BA" w14:textId="77777777" w:rsidR="00345D4A" w:rsidRPr="00AA3A0A" w:rsidRDefault="00345D4A" w:rsidP="00AA3A0A">
      <w:pPr>
        <w:rPr>
          <w:rFonts w:cs="Times New Roman"/>
          <w:color w:val="auto"/>
          <w:lang w:val="en-GB"/>
        </w:rPr>
      </w:pPr>
    </w:p>
    <w:p w14:paraId="7B3280ED" w14:textId="42B89087" w:rsidR="007D1FF2" w:rsidRPr="00AA3A0A" w:rsidRDefault="00254246" w:rsidP="00AA3A0A">
      <w:pPr>
        <w:rPr>
          <w:rFonts w:eastAsia="Times New Roman" w:cs="Times New Roman"/>
          <w:color w:val="auto"/>
          <w:kern w:val="0"/>
          <w:sz w:val="24"/>
          <w:lang w:val="aa-ET" w:eastAsia="en-GB"/>
          <w14:ligatures w14:val="none"/>
        </w:rPr>
      </w:pPr>
      <w:r w:rsidRPr="00AA3A0A">
        <w:rPr>
          <w:b/>
          <w:bCs/>
          <w:color w:val="auto"/>
        </w:rPr>
        <w:t>C</w:t>
      </w:r>
      <w:r w:rsidR="00345D4A" w:rsidRPr="00AA3A0A">
        <w:rPr>
          <w:b/>
          <w:bCs/>
          <w:color w:val="auto"/>
        </w:rPr>
        <w:t>omparison between NAKO and UKB cohorts:</w:t>
      </w:r>
      <w:r w:rsidR="00345D4A" w:rsidRPr="00AA3A0A">
        <w:rPr>
          <w:rFonts w:cs="Times New Roman"/>
          <w:b/>
          <w:bCs/>
          <w:color w:val="auto"/>
          <w:lang w:val="en-GB"/>
        </w:rPr>
        <w:t xml:space="preserve"> </w:t>
      </w:r>
      <w:r w:rsidR="00345D4A" w:rsidRPr="00AA3A0A">
        <w:rPr>
          <w:rFonts w:cs="Times New Roman"/>
          <w:color w:val="auto"/>
          <w:lang w:val="en-GB"/>
        </w:rPr>
        <w:t xml:space="preserve">Compared to the UKB cohort (N=22,040), </w:t>
      </w:r>
      <w:r w:rsidR="007D1FF2" w:rsidRPr="00AA3A0A">
        <w:rPr>
          <w:rFonts w:eastAsia="Times New Roman" w:cs="Times New Roman"/>
          <w:color w:val="auto"/>
          <w:kern w:val="0"/>
          <w:szCs w:val="20"/>
          <w:lang w:val="aa-ET" w:eastAsia="en-GB"/>
          <w14:ligatures w14:val="none"/>
        </w:rPr>
        <w:t xml:space="preserve">NAKO participants </w:t>
      </w:r>
      <w:r w:rsidR="007D1FF2" w:rsidRPr="00AA3A0A">
        <w:rPr>
          <w:rFonts w:cs="Times New Roman"/>
          <w:color w:val="auto"/>
          <w:lang w:val="en-GB"/>
        </w:rPr>
        <w:t xml:space="preserve">N=23,664) </w:t>
      </w:r>
      <w:r w:rsidR="007D1FF2" w:rsidRPr="00AA3A0A">
        <w:rPr>
          <w:rFonts w:eastAsia="Times New Roman" w:cs="Times New Roman"/>
          <w:color w:val="auto"/>
          <w:kern w:val="0"/>
          <w:szCs w:val="20"/>
          <w:lang w:val="aa-ET" w:eastAsia="en-GB"/>
          <w14:ligatures w14:val="none"/>
        </w:rPr>
        <w:t xml:space="preserve">were younger (53.9 </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 xml:space="preserve"> 8.2 vs. 64.6 </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 xml:space="preserve"> 7.8 years), more frequently male (55.1% vs. 46.7%), had higher BMI (27.0 </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 xml:space="preserve"> 4.7 vs. 24.4 </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 xml:space="preserve"> 2.8 kg/m</w:t>
      </w:r>
      <w:r w:rsidR="007D1FF2" w:rsidRPr="00AA3A0A">
        <w:rPr>
          <w:rFonts w:eastAsia="Times New Roman" w:cs="Times New Roman" w:hint="eastAsia"/>
          <w:color w:val="auto"/>
          <w:kern w:val="0"/>
          <w:szCs w:val="20"/>
          <w:lang w:val="aa-ET" w:eastAsia="en-GB"/>
          <w14:ligatures w14:val="none"/>
        </w:rPr>
        <w:t>²</w:t>
      </w:r>
      <w:r w:rsidR="007D1FF2" w:rsidRPr="00AA3A0A">
        <w:rPr>
          <w:rFonts w:eastAsia="Times New Roman" w:cs="Times New Roman"/>
          <w:color w:val="auto"/>
          <w:kern w:val="0"/>
          <w:szCs w:val="20"/>
          <w:lang w:val="aa-ET" w:eastAsia="en-GB"/>
          <w14:ligatures w14:val="none"/>
        </w:rPr>
        <w:t xml:space="preserve">), larger </w:t>
      </w:r>
      <w:r w:rsidR="00ED2B65" w:rsidRPr="00AA3A0A">
        <w:rPr>
          <w:rFonts w:eastAsia="Times New Roman" w:cs="Times New Roman"/>
          <w:color w:val="auto"/>
          <w:kern w:val="0"/>
          <w:szCs w:val="20"/>
          <w:lang w:eastAsia="en-GB"/>
          <w14:ligatures w14:val="none"/>
        </w:rPr>
        <w:t>WC</w:t>
      </w:r>
      <w:r w:rsidR="007D1FF2" w:rsidRPr="00AA3A0A">
        <w:rPr>
          <w:rFonts w:eastAsia="Times New Roman" w:cs="Times New Roman"/>
          <w:color w:val="auto"/>
          <w:kern w:val="0"/>
          <w:szCs w:val="20"/>
          <w:lang w:val="aa-ET" w:eastAsia="en-GB"/>
          <w14:ligatures w14:val="none"/>
        </w:rPr>
        <w:t xml:space="preserve"> (92.7 </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 xml:space="preserve"> 13.5 vs. 84.9 </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 xml:space="preserve"> 10.4 cm), greater VAT (3.35 [</w:t>
      </w:r>
      <w:r w:rsidR="00ED2B65" w:rsidRPr="00AA3A0A">
        <w:rPr>
          <w:rFonts w:eastAsia="Times New Roman" w:cs="Times New Roman"/>
          <w:color w:val="auto"/>
          <w:kern w:val="0"/>
          <w:szCs w:val="20"/>
          <w:lang w:eastAsia="en-GB"/>
          <w14:ligatures w14:val="none"/>
        </w:rPr>
        <w:t>interquartile range (</w:t>
      </w:r>
      <w:r w:rsidR="007D1FF2" w:rsidRPr="00AA3A0A">
        <w:rPr>
          <w:rFonts w:eastAsia="Times New Roman" w:cs="Times New Roman"/>
          <w:color w:val="auto"/>
          <w:kern w:val="0"/>
          <w:szCs w:val="20"/>
          <w:lang w:val="aa-ET" w:eastAsia="en-GB"/>
          <w14:ligatures w14:val="none"/>
        </w:rPr>
        <w:t>IQR</w:t>
      </w:r>
      <w:r w:rsidR="00ED2B65" w:rsidRPr="00AA3A0A">
        <w:rPr>
          <w:rFonts w:eastAsia="Times New Roman" w:cs="Times New Roman"/>
          <w:color w:val="auto"/>
          <w:kern w:val="0"/>
          <w:szCs w:val="20"/>
          <w:lang w:eastAsia="en-GB"/>
          <w14:ligatures w14:val="none"/>
        </w:rPr>
        <w:t>)</w:t>
      </w:r>
      <w:r w:rsidR="007D1FF2" w:rsidRPr="00AA3A0A">
        <w:rPr>
          <w:rFonts w:eastAsia="Times New Roman" w:cs="Times New Roman"/>
          <w:color w:val="auto"/>
          <w:kern w:val="0"/>
          <w:szCs w:val="20"/>
          <w:lang w:val="aa-ET" w:eastAsia="en-GB"/>
          <w14:ligatures w14:val="none"/>
        </w:rPr>
        <w:t xml:space="preserve"> 1.82</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5.15] vs. 2.93 [IQR 1.71</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4.55] dm</w:t>
      </w:r>
      <w:r w:rsidR="007D1FF2" w:rsidRPr="00AA3A0A">
        <w:rPr>
          <w:rFonts w:eastAsia="Times New Roman" w:cs="Times New Roman" w:hint="eastAsia"/>
          <w:color w:val="auto"/>
          <w:kern w:val="0"/>
          <w:szCs w:val="20"/>
          <w:lang w:val="aa-ET" w:eastAsia="en-GB"/>
          <w14:ligatures w14:val="none"/>
        </w:rPr>
        <w:t>³</w:t>
      </w:r>
      <w:r w:rsidR="007D1FF2" w:rsidRPr="00AA3A0A">
        <w:rPr>
          <w:rFonts w:eastAsia="Times New Roman" w:cs="Times New Roman"/>
          <w:color w:val="auto"/>
          <w:kern w:val="0"/>
          <w:szCs w:val="20"/>
          <w:lang w:val="aa-ET" w:eastAsia="en-GB"/>
          <w14:ligatures w14:val="none"/>
        </w:rPr>
        <w:t>) and SAT volumes (14.41 [IQR 10.95</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19.09] vs. 13.85 [IQR 11.01</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17.16] dm</w:t>
      </w:r>
      <w:r w:rsidR="007D1FF2" w:rsidRPr="00AA3A0A">
        <w:rPr>
          <w:rFonts w:eastAsia="Times New Roman" w:cs="Times New Roman" w:hint="eastAsia"/>
          <w:color w:val="auto"/>
          <w:kern w:val="0"/>
          <w:szCs w:val="20"/>
          <w:lang w:val="aa-ET" w:eastAsia="en-GB"/>
          <w14:ligatures w14:val="none"/>
        </w:rPr>
        <w:t>³</w:t>
      </w:r>
      <w:r w:rsidR="007D1FF2" w:rsidRPr="00AA3A0A">
        <w:rPr>
          <w:rFonts w:eastAsia="Times New Roman" w:cs="Times New Roman"/>
          <w:color w:val="auto"/>
          <w:kern w:val="0"/>
          <w:szCs w:val="20"/>
          <w:lang w:val="aa-ET" w:eastAsia="en-GB"/>
          <w14:ligatures w14:val="none"/>
        </w:rPr>
        <w:t>), and were more often current or former smokers (50.7% vs. 38.8%). VAT/SAT ratios were similar between cohorts (0.223 [IQR 0.122</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0.347] vs. 0.20 [IQR 0.12</w:t>
      </w:r>
      <w:r w:rsidR="007D1FF2" w:rsidRPr="00AA3A0A">
        <w:rPr>
          <w:rFonts w:eastAsia="Times New Roman" w:cs="Times New Roman" w:hint="eastAsia"/>
          <w:color w:val="auto"/>
          <w:kern w:val="0"/>
          <w:szCs w:val="20"/>
          <w:lang w:val="aa-ET" w:eastAsia="en-GB"/>
          <w14:ligatures w14:val="none"/>
        </w:rPr>
        <w:t>–</w:t>
      </w:r>
      <w:r w:rsidR="007D1FF2" w:rsidRPr="00AA3A0A">
        <w:rPr>
          <w:rFonts w:eastAsia="Times New Roman" w:cs="Times New Roman"/>
          <w:color w:val="auto"/>
          <w:kern w:val="0"/>
          <w:szCs w:val="20"/>
          <w:lang w:val="aa-ET" w:eastAsia="en-GB"/>
          <w14:ligatures w14:val="none"/>
        </w:rPr>
        <w:t xml:space="preserve">0.34]). A detailed comparison is provided in </w:t>
      </w:r>
      <w:r w:rsidR="007D1FF2" w:rsidRPr="00AA3A0A">
        <w:rPr>
          <w:rFonts w:eastAsia="Times New Roman" w:cs="Times New Roman"/>
          <w:b/>
          <w:bCs/>
          <w:color w:val="auto"/>
          <w:kern w:val="0"/>
          <w:szCs w:val="20"/>
          <w:lang w:val="aa-ET" w:eastAsia="en-GB"/>
          <w14:ligatures w14:val="none"/>
        </w:rPr>
        <w:t>Supplemental Table 2</w:t>
      </w:r>
      <w:r w:rsidR="007D1FF2" w:rsidRPr="00AA3A0A">
        <w:rPr>
          <w:rFonts w:eastAsia="Times New Roman" w:cs="Times New Roman"/>
          <w:color w:val="auto"/>
          <w:kern w:val="0"/>
          <w:szCs w:val="20"/>
          <w:lang w:val="aa-ET" w:eastAsia="en-GB"/>
          <w14:ligatures w14:val="none"/>
        </w:rPr>
        <w:t>.</w:t>
      </w:r>
    </w:p>
    <w:p w14:paraId="13AED354" w14:textId="0699C8AF" w:rsidR="001C6A24" w:rsidRPr="00AA3A0A" w:rsidRDefault="001C6A24" w:rsidP="00AA3A0A">
      <w:pPr>
        <w:rPr>
          <w:b/>
          <w:bCs/>
          <w:color w:val="auto"/>
        </w:rPr>
      </w:pPr>
      <w:r w:rsidRPr="00AA3A0A">
        <w:rPr>
          <w:rFonts w:cs="Times New Roman"/>
          <w:color w:val="auto"/>
          <w:lang w:val="en-GB"/>
        </w:rPr>
        <w:br/>
      </w:r>
      <w:r w:rsidR="00D369E0" w:rsidRPr="00AA3A0A">
        <w:rPr>
          <w:b/>
          <w:bCs/>
          <w:color w:val="auto"/>
        </w:rPr>
        <w:t>Missing covariate imputation</w:t>
      </w:r>
    </w:p>
    <w:p w14:paraId="3B59B135" w14:textId="77777777" w:rsidR="001C6A24" w:rsidRPr="00AA3A0A" w:rsidRDefault="001C6A24" w:rsidP="00AA3A0A">
      <w:pPr>
        <w:rPr>
          <w:rFonts w:cs="Times New Roman"/>
          <w:b/>
          <w:bCs/>
          <w:color w:val="auto"/>
          <w:lang w:val="en-GB"/>
        </w:rPr>
      </w:pPr>
    </w:p>
    <w:p w14:paraId="4D60446A" w14:textId="13C13C5A" w:rsidR="001C6A24" w:rsidRPr="00AA3A0A" w:rsidRDefault="001C6A24" w:rsidP="00AA3A0A">
      <w:pPr>
        <w:rPr>
          <w:rFonts w:cs="Times New Roman"/>
          <w:b/>
          <w:bCs/>
          <w:color w:val="auto"/>
          <w:lang w:val="en-GB"/>
        </w:rPr>
      </w:pPr>
      <w:r w:rsidRPr="00AA3A0A">
        <w:rPr>
          <w:rFonts w:cs="Times New Roman"/>
          <w:b/>
          <w:bCs/>
          <w:color w:val="auto"/>
          <w:lang w:val="en-GB"/>
        </w:rPr>
        <w:t xml:space="preserve">MACE: </w:t>
      </w:r>
      <w:r w:rsidRPr="00AA3A0A">
        <w:rPr>
          <w:rFonts w:cs="Times New Roman"/>
          <w:color w:val="auto"/>
          <w:lang w:val="en-GB"/>
        </w:rPr>
        <w:t>In the imputed dataset (n=26,6</w:t>
      </w:r>
      <w:r w:rsidR="00A014C0" w:rsidRPr="00AA3A0A">
        <w:rPr>
          <w:rFonts w:cs="Times New Roman"/>
          <w:color w:val="auto"/>
          <w:lang w:val="en-GB"/>
        </w:rPr>
        <w:t>68</w:t>
      </w:r>
      <w:r w:rsidRPr="00AA3A0A">
        <w:rPr>
          <w:rFonts w:cs="Times New Roman"/>
          <w:color w:val="auto"/>
          <w:lang w:val="en-GB"/>
        </w:rPr>
        <w:t>), 3</w:t>
      </w:r>
      <w:r w:rsidR="00A014C0" w:rsidRPr="00AA3A0A">
        <w:rPr>
          <w:rFonts w:cs="Times New Roman"/>
          <w:color w:val="auto"/>
          <w:lang w:val="en-GB"/>
        </w:rPr>
        <w:t>78</w:t>
      </w:r>
      <w:r w:rsidRPr="00AA3A0A">
        <w:rPr>
          <w:rFonts w:cs="Times New Roman"/>
          <w:color w:val="auto"/>
          <w:lang w:val="en-GB"/>
        </w:rPr>
        <w:t xml:space="preserve"> MACE events (1.</w:t>
      </w:r>
      <w:r w:rsidR="00A014C0" w:rsidRPr="00AA3A0A">
        <w:rPr>
          <w:rFonts w:cs="Times New Roman"/>
          <w:color w:val="auto"/>
          <w:lang w:val="en-GB"/>
        </w:rPr>
        <w:t>42</w:t>
      </w:r>
      <w:r w:rsidRPr="00AA3A0A">
        <w:rPr>
          <w:rFonts w:cs="Times New Roman"/>
          <w:color w:val="auto"/>
          <w:lang w:val="en-GB"/>
        </w:rPr>
        <w:t>%) occurred. High VAT/SAT ratio remained independently associated with MACE after full adjustment (</w:t>
      </w:r>
      <w:r w:rsidR="00ED2B65" w:rsidRPr="00AA3A0A">
        <w:rPr>
          <w:rFonts w:cs="Times New Roman"/>
          <w:color w:val="auto"/>
          <w:lang w:val="en-GB"/>
        </w:rPr>
        <w:t>adjusted hazard ratio [</w:t>
      </w:r>
      <w:r w:rsidRPr="00AA3A0A">
        <w:rPr>
          <w:rFonts w:cs="Times New Roman"/>
          <w:color w:val="auto"/>
          <w:lang w:val="en-GB"/>
        </w:rPr>
        <w:t>aHR</w:t>
      </w:r>
      <w:r w:rsidR="00ED2B65" w:rsidRPr="00AA3A0A">
        <w:rPr>
          <w:rFonts w:cs="Times New Roman"/>
          <w:color w:val="auto"/>
          <w:lang w:val="en-GB"/>
        </w:rPr>
        <w:t>]</w:t>
      </w:r>
      <w:r w:rsidRPr="00AA3A0A">
        <w:rPr>
          <w:rFonts w:cs="Times New Roman"/>
          <w:color w:val="auto"/>
          <w:lang w:val="en-GB"/>
        </w:rPr>
        <w:t>: 1.2</w:t>
      </w:r>
      <w:r w:rsidR="00A014C0" w:rsidRPr="00AA3A0A">
        <w:rPr>
          <w:rFonts w:cs="Times New Roman"/>
          <w:color w:val="auto"/>
          <w:lang w:val="en-GB"/>
        </w:rPr>
        <w:t>7</w:t>
      </w:r>
      <w:r w:rsidRPr="00AA3A0A">
        <w:rPr>
          <w:rFonts w:cs="Times New Roman"/>
          <w:color w:val="auto"/>
          <w:lang w:val="en-GB"/>
        </w:rPr>
        <w:t>, 95% CI: 1.03–1.</w:t>
      </w:r>
      <w:r w:rsidR="00A014C0" w:rsidRPr="00AA3A0A">
        <w:rPr>
          <w:rFonts w:cs="Times New Roman"/>
          <w:color w:val="auto"/>
          <w:lang w:val="en-GB"/>
        </w:rPr>
        <w:t>58</w:t>
      </w:r>
      <w:r w:rsidRPr="00AA3A0A">
        <w:rPr>
          <w:rFonts w:cs="Times New Roman"/>
          <w:color w:val="auto"/>
          <w:lang w:val="en-GB"/>
        </w:rPr>
        <w:t>, p=0.02</w:t>
      </w:r>
      <w:r w:rsidR="00A014C0" w:rsidRPr="00AA3A0A">
        <w:rPr>
          <w:rFonts w:cs="Times New Roman"/>
          <w:color w:val="auto"/>
          <w:lang w:val="en-GB"/>
        </w:rPr>
        <w:t>9</w:t>
      </w:r>
      <w:r w:rsidRPr="00AA3A0A">
        <w:rPr>
          <w:rFonts w:cs="Times New Roman"/>
          <w:color w:val="auto"/>
          <w:lang w:val="en-GB"/>
        </w:rPr>
        <w:t xml:space="preserve">). </w:t>
      </w:r>
      <w:r w:rsidR="00325B33" w:rsidRPr="00AA3A0A">
        <w:rPr>
          <w:rFonts w:cs="Times New Roman"/>
          <w:color w:val="auto"/>
          <w:lang w:val="en-GB"/>
        </w:rPr>
        <w:t>Adding VAT/SAT ratio to the baseline model resulted in a significant increment in discrimination (C-index 0.685 vs.</w:t>
      </w:r>
      <w:r w:rsidR="00A014C0" w:rsidRPr="00AA3A0A">
        <w:rPr>
          <w:rFonts w:cs="Times New Roman"/>
          <w:color w:val="auto"/>
          <w:lang w:val="en-GB"/>
        </w:rPr>
        <w:t>0.681</w:t>
      </w:r>
      <w:r w:rsidR="00325B33" w:rsidRPr="00AA3A0A">
        <w:rPr>
          <w:rFonts w:cs="Times New Roman"/>
          <w:color w:val="auto"/>
          <w:lang w:val="en-GB"/>
        </w:rPr>
        <w:t>, LRT p=</w:t>
      </w:r>
      <w:r w:rsidR="00A014C0" w:rsidRPr="00AA3A0A">
        <w:rPr>
          <w:rFonts w:cs="Times New Roman"/>
          <w:color w:val="auto"/>
          <w:lang w:val="en-GB"/>
        </w:rPr>
        <w:t>0.028</w:t>
      </w:r>
      <w:r w:rsidR="00325B33" w:rsidRPr="00AA3A0A">
        <w:rPr>
          <w:rFonts w:cs="Times New Roman"/>
          <w:color w:val="auto"/>
          <w:lang w:val="en-GB"/>
        </w:rPr>
        <w:t>).</w:t>
      </w:r>
    </w:p>
    <w:p w14:paraId="460C646A" w14:textId="77777777" w:rsidR="001C6A24" w:rsidRPr="00AA3A0A" w:rsidRDefault="001C6A24" w:rsidP="00AA3A0A">
      <w:pPr>
        <w:rPr>
          <w:rFonts w:cs="Times New Roman"/>
          <w:b/>
          <w:bCs/>
          <w:color w:val="auto"/>
          <w:lang w:val="en-GB"/>
        </w:rPr>
      </w:pPr>
    </w:p>
    <w:p w14:paraId="721397B1" w14:textId="44DE2945" w:rsidR="00DF2AAE" w:rsidRPr="00AA3A0A" w:rsidRDefault="001C6A24" w:rsidP="00AA3A0A">
      <w:pPr>
        <w:rPr>
          <w:rFonts w:cs="Times New Roman"/>
          <w:color w:val="auto"/>
          <w:lang w:val="en-GB"/>
        </w:rPr>
      </w:pPr>
      <w:r w:rsidRPr="00AA3A0A">
        <w:rPr>
          <w:rFonts w:cs="Times New Roman"/>
          <w:b/>
          <w:bCs/>
          <w:color w:val="auto"/>
          <w:lang w:val="en-GB"/>
        </w:rPr>
        <w:t xml:space="preserve">Diabetes: </w:t>
      </w:r>
      <w:r w:rsidRPr="00AA3A0A">
        <w:rPr>
          <w:rFonts w:cs="Times New Roman"/>
          <w:color w:val="auto"/>
          <w:lang w:val="en-GB"/>
        </w:rPr>
        <w:t>3</w:t>
      </w:r>
      <w:r w:rsidR="00A014C0" w:rsidRPr="00AA3A0A">
        <w:rPr>
          <w:rFonts w:cs="Times New Roman"/>
          <w:color w:val="auto"/>
          <w:lang w:val="en-GB"/>
        </w:rPr>
        <w:t>1</w:t>
      </w:r>
      <w:r w:rsidRPr="00AA3A0A">
        <w:rPr>
          <w:rFonts w:cs="Times New Roman"/>
          <w:color w:val="auto"/>
          <w:lang w:val="en-GB"/>
        </w:rPr>
        <w:t>7 incident diabetes events (1.</w:t>
      </w:r>
      <w:r w:rsidR="00A014C0" w:rsidRPr="00AA3A0A">
        <w:rPr>
          <w:rFonts w:cs="Times New Roman"/>
          <w:color w:val="auto"/>
          <w:lang w:val="en-GB"/>
        </w:rPr>
        <w:t>19</w:t>
      </w:r>
      <w:r w:rsidRPr="00AA3A0A">
        <w:rPr>
          <w:rFonts w:cs="Times New Roman"/>
          <w:color w:val="auto"/>
          <w:lang w:val="en-GB"/>
        </w:rPr>
        <w:t>%) occurred. High VAT/SAT ratio remained independently associated with diabetes (aHR: 1.7</w:t>
      </w:r>
      <w:r w:rsidR="00A014C0" w:rsidRPr="00AA3A0A">
        <w:rPr>
          <w:rFonts w:cs="Times New Roman"/>
          <w:color w:val="auto"/>
          <w:lang w:val="en-GB"/>
        </w:rPr>
        <w:t>5</w:t>
      </w:r>
      <w:r w:rsidRPr="00AA3A0A">
        <w:rPr>
          <w:rFonts w:cs="Times New Roman"/>
          <w:color w:val="auto"/>
          <w:lang w:val="en-GB"/>
        </w:rPr>
        <w:t xml:space="preserve">, 95% CI: 1.36–2.23, p&lt;0.001). Adding VAT/SAT ratio to the </w:t>
      </w:r>
      <w:r w:rsidR="00F30952" w:rsidRPr="00AA3A0A">
        <w:rPr>
          <w:rFonts w:cs="Times New Roman"/>
          <w:color w:val="auto"/>
          <w:lang w:val="en-GB"/>
        </w:rPr>
        <w:t xml:space="preserve">baseline model resulted in </w:t>
      </w:r>
      <w:r w:rsidR="00325B33" w:rsidRPr="00AA3A0A">
        <w:rPr>
          <w:rFonts w:cs="Times New Roman"/>
          <w:color w:val="auto"/>
          <w:lang w:val="en-GB"/>
        </w:rPr>
        <w:t xml:space="preserve">a significant increment in discrimination </w:t>
      </w:r>
      <w:r w:rsidRPr="00AA3A0A">
        <w:rPr>
          <w:rFonts w:cs="Times New Roman"/>
          <w:color w:val="auto"/>
          <w:lang w:val="en-GB"/>
        </w:rPr>
        <w:t>(C-index 0.72</w:t>
      </w:r>
      <w:r w:rsidR="00A014C0" w:rsidRPr="00AA3A0A">
        <w:rPr>
          <w:rFonts w:cs="Times New Roman"/>
          <w:color w:val="auto"/>
          <w:lang w:val="en-GB"/>
        </w:rPr>
        <w:t>4</w:t>
      </w:r>
      <w:r w:rsidRPr="00AA3A0A">
        <w:rPr>
          <w:rFonts w:cs="Times New Roman"/>
          <w:color w:val="auto"/>
          <w:lang w:val="en-GB"/>
        </w:rPr>
        <w:t xml:space="preserve"> vs. </w:t>
      </w:r>
      <w:r w:rsidR="00A014C0" w:rsidRPr="00AA3A0A">
        <w:rPr>
          <w:rFonts w:cs="Times New Roman"/>
          <w:color w:val="auto"/>
          <w:lang w:val="en-GB"/>
        </w:rPr>
        <w:t>0.716</w:t>
      </w:r>
      <w:r w:rsidRPr="00AA3A0A">
        <w:rPr>
          <w:rFonts w:cs="Times New Roman"/>
          <w:color w:val="auto"/>
          <w:lang w:val="en-GB"/>
        </w:rPr>
        <w:t xml:space="preserve">, </w:t>
      </w:r>
      <w:r w:rsidR="00A014C0" w:rsidRPr="00AA3A0A">
        <w:rPr>
          <w:rFonts w:cs="Times New Roman"/>
          <w:color w:val="auto"/>
          <w:lang w:val="en-GB"/>
        </w:rPr>
        <w:t>p&lt;0.001</w:t>
      </w:r>
      <w:r w:rsidRPr="00AA3A0A">
        <w:rPr>
          <w:rFonts w:cs="Times New Roman"/>
          <w:color w:val="auto"/>
          <w:lang w:val="en-GB"/>
        </w:rPr>
        <w:t>).</w:t>
      </w:r>
      <w:r w:rsidR="00DF2AAE" w:rsidRPr="00AA3A0A">
        <w:rPr>
          <w:rFonts w:cs="Times New Roman"/>
          <w:color w:val="auto"/>
          <w:lang w:val="en-GB"/>
        </w:rPr>
        <w:t xml:space="preserve"> Results are presented in </w:t>
      </w:r>
      <w:r w:rsidR="00DF2AAE" w:rsidRPr="00AA3A0A">
        <w:rPr>
          <w:rFonts w:cs="Times New Roman"/>
          <w:b/>
          <w:bCs/>
          <w:color w:val="auto"/>
          <w:lang w:val="en-GB"/>
        </w:rPr>
        <w:t>Supplemental Table 3</w:t>
      </w:r>
      <w:r w:rsidR="00DF2AAE" w:rsidRPr="00AA3A0A">
        <w:rPr>
          <w:rFonts w:cs="Times New Roman"/>
          <w:color w:val="auto"/>
          <w:lang w:val="en-GB"/>
        </w:rPr>
        <w:t>.</w:t>
      </w:r>
    </w:p>
    <w:p w14:paraId="69A838C9" w14:textId="77777777" w:rsidR="001C6A24" w:rsidRPr="00AA3A0A" w:rsidRDefault="001C6A24" w:rsidP="00AA3A0A">
      <w:pPr>
        <w:rPr>
          <w:rFonts w:cs="Times New Roman"/>
          <w:b/>
          <w:bCs/>
          <w:color w:val="auto"/>
          <w:lang w:val="en-GB"/>
        </w:rPr>
      </w:pPr>
    </w:p>
    <w:p w14:paraId="43D1899D" w14:textId="68F0179F" w:rsidR="001C6A24" w:rsidRPr="00AA3A0A" w:rsidRDefault="00D369E0" w:rsidP="00AA3A0A">
      <w:pPr>
        <w:rPr>
          <w:b/>
          <w:bCs/>
          <w:color w:val="auto"/>
        </w:rPr>
      </w:pPr>
      <w:r w:rsidRPr="00AA3A0A">
        <w:rPr>
          <w:b/>
          <w:bCs/>
          <w:color w:val="auto"/>
        </w:rPr>
        <w:t>Enhanced metabolic health definition</w:t>
      </w:r>
    </w:p>
    <w:p w14:paraId="1C99819E" w14:textId="77777777" w:rsidR="00D369E0" w:rsidRPr="00AA3A0A" w:rsidRDefault="00D369E0" w:rsidP="00AA3A0A">
      <w:pPr>
        <w:rPr>
          <w:rFonts w:cs="Times New Roman"/>
          <w:b/>
          <w:bCs/>
          <w:color w:val="auto"/>
          <w:lang w:val="en-GB"/>
        </w:rPr>
      </w:pPr>
    </w:p>
    <w:p w14:paraId="1084C47D" w14:textId="440F2238" w:rsidR="001C6A24" w:rsidRPr="00AA3A0A" w:rsidRDefault="001C6A24" w:rsidP="00AA3A0A">
      <w:pPr>
        <w:rPr>
          <w:rFonts w:cs="Times New Roman"/>
          <w:b/>
          <w:bCs/>
          <w:color w:val="auto"/>
          <w:lang w:val="en-GB"/>
        </w:rPr>
      </w:pPr>
      <w:r w:rsidRPr="00AA3A0A">
        <w:rPr>
          <w:rFonts w:cs="Times New Roman"/>
          <w:b/>
          <w:bCs/>
          <w:color w:val="auto"/>
          <w:lang w:val="en-GB"/>
        </w:rPr>
        <w:t xml:space="preserve">MACE: </w:t>
      </w:r>
      <w:r w:rsidRPr="00AA3A0A">
        <w:rPr>
          <w:rFonts w:cs="Times New Roman"/>
          <w:color w:val="auto"/>
          <w:lang w:val="en-GB"/>
        </w:rPr>
        <w:t>Applying the enhanced MHN definition to the imputed dataset (n=16,</w:t>
      </w:r>
      <w:r w:rsidR="00A014C0" w:rsidRPr="00AA3A0A">
        <w:rPr>
          <w:rFonts w:cs="Times New Roman"/>
          <w:color w:val="auto"/>
          <w:lang w:val="en-GB"/>
        </w:rPr>
        <w:t>177</w:t>
      </w:r>
      <w:r w:rsidRPr="00AA3A0A">
        <w:rPr>
          <w:rFonts w:cs="Times New Roman"/>
          <w:color w:val="auto"/>
          <w:lang w:val="en-GB"/>
        </w:rPr>
        <w:t>), 1</w:t>
      </w:r>
      <w:r w:rsidR="00A014C0" w:rsidRPr="00AA3A0A">
        <w:rPr>
          <w:rFonts w:cs="Times New Roman"/>
          <w:color w:val="auto"/>
          <w:lang w:val="en-GB"/>
        </w:rPr>
        <w:t>54</w:t>
      </w:r>
      <w:r w:rsidRPr="00AA3A0A">
        <w:rPr>
          <w:rFonts w:cs="Times New Roman"/>
          <w:color w:val="auto"/>
          <w:lang w:val="en-GB"/>
        </w:rPr>
        <w:t xml:space="preserve"> MACE events (</w:t>
      </w:r>
      <w:r w:rsidR="00E67207" w:rsidRPr="00AA3A0A">
        <w:rPr>
          <w:rFonts w:cs="Times New Roman"/>
          <w:color w:val="auto"/>
          <w:lang w:val="en-GB"/>
        </w:rPr>
        <w:t>0</w:t>
      </w:r>
      <w:r w:rsidRPr="00AA3A0A">
        <w:rPr>
          <w:rFonts w:cs="Times New Roman"/>
          <w:color w:val="auto"/>
          <w:lang w:val="en-GB"/>
        </w:rPr>
        <w:t>.</w:t>
      </w:r>
      <w:r w:rsidR="00E67207" w:rsidRPr="00AA3A0A">
        <w:rPr>
          <w:rFonts w:cs="Times New Roman"/>
          <w:color w:val="auto"/>
          <w:lang w:val="en-GB"/>
        </w:rPr>
        <w:t>95</w:t>
      </w:r>
      <w:r w:rsidRPr="00AA3A0A">
        <w:rPr>
          <w:rFonts w:cs="Times New Roman"/>
          <w:color w:val="auto"/>
          <w:lang w:val="en-GB"/>
        </w:rPr>
        <w:t>%) occurred. High VAT/SAT ratio remained independently associated with MACE (aHR: 1.7</w:t>
      </w:r>
      <w:r w:rsidR="00A014C0" w:rsidRPr="00AA3A0A">
        <w:rPr>
          <w:rFonts w:cs="Times New Roman"/>
          <w:color w:val="auto"/>
          <w:lang w:val="en-GB"/>
        </w:rPr>
        <w:t>3</w:t>
      </w:r>
      <w:r w:rsidRPr="00AA3A0A">
        <w:rPr>
          <w:rFonts w:cs="Times New Roman"/>
          <w:color w:val="auto"/>
          <w:lang w:val="en-GB"/>
        </w:rPr>
        <w:t>, 95% CI: 1.2</w:t>
      </w:r>
      <w:r w:rsidR="00A014C0" w:rsidRPr="00AA3A0A">
        <w:rPr>
          <w:rFonts w:cs="Times New Roman"/>
          <w:color w:val="auto"/>
          <w:lang w:val="en-GB"/>
        </w:rPr>
        <w:t>3</w:t>
      </w:r>
      <w:r w:rsidRPr="00AA3A0A">
        <w:rPr>
          <w:rFonts w:cs="Times New Roman"/>
          <w:color w:val="auto"/>
          <w:lang w:val="en-GB"/>
        </w:rPr>
        <w:t>–2.4</w:t>
      </w:r>
      <w:r w:rsidR="00A014C0" w:rsidRPr="00AA3A0A">
        <w:rPr>
          <w:rFonts w:cs="Times New Roman"/>
          <w:color w:val="auto"/>
          <w:lang w:val="en-GB"/>
        </w:rPr>
        <w:t>3</w:t>
      </w:r>
      <w:r w:rsidRPr="00AA3A0A">
        <w:rPr>
          <w:rFonts w:cs="Times New Roman"/>
          <w:color w:val="auto"/>
          <w:lang w:val="en-GB"/>
        </w:rPr>
        <w:t>, p</w:t>
      </w:r>
      <w:r w:rsidR="00A014C0" w:rsidRPr="00AA3A0A">
        <w:rPr>
          <w:rFonts w:cs="Times New Roman"/>
          <w:color w:val="auto"/>
          <w:lang w:val="en-GB"/>
        </w:rPr>
        <w:t>=</w:t>
      </w:r>
      <w:r w:rsidRPr="00AA3A0A">
        <w:rPr>
          <w:rFonts w:cs="Times New Roman"/>
          <w:color w:val="auto"/>
          <w:lang w:val="en-GB"/>
        </w:rPr>
        <w:t>0.00</w:t>
      </w:r>
      <w:r w:rsidR="00A014C0" w:rsidRPr="00AA3A0A">
        <w:rPr>
          <w:rFonts w:cs="Times New Roman"/>
          <w:color w:val="auto"/>
          <w:lang w:val="en-GB"/>
        </w:rPr>
        <w:t>2</w:t>
      </w:r>
      <w:r w:rsidRPr="00AA3A0A">
        <w:rPr>
          <w:rFonts w:cs="Times New Roman"/>
          <w:color w:val="auto"/>
          <w:lang w:val="en-GB"/>
        </w:rPr>
        <w:t xml:space="preserve">). </w:t>
      </w:r>
      <w:r w:rsidR="00325B33" w:rsidRPr="00AA3A0A">
        <w:rPr>
          <w:rFonts w:cs="Times New Roman"/>
          <w:color w:val="auto"/>
          <w:lang w:val="en-GB"/>
        </w:rPr>
        <w:t xml:space="preserve">Adding VAT/SAT ratio to the baseline model resulted in a significant increment in discrimination </w:t>
      </w:r>
      <w:r w:rsidRPr="00AA3A0A">
        <w:rPr>
          <w:rFonts w:cs="Times New Roman"/>
          <w:color w:val="auto"/>
          <w:lang w:val="en-GB"/>
        </w:rPr>
        <w:t>(C-index 0.7</w:t>
      </w:r>
      <w:r w:rsidR="00A014C0" w:rsidRPr="00AA3A0A">
        <w:rPr>
          <w:rFonts w:cs="Times New Roman"/>
          <w:color w:val="auto"/>
          <w:lang w:val="en-GB"/>
        </w:rPr>
        <w:t>34</w:t>
      </w:r>
      <w:r w:rsidRPr="00AA3A0A">
        <w:rPr>
          <w:rFonts w:cs="Times New Roman"/>
          <w:color w:val="auto"/>
          <w:lang w:val="en-GB"/>
        </w:rPr>
        <w:t xml:space="preserve"> vs. </w:t>
      </w:r>
      <w:r w:rsidR="00A014C0" w:rsidRPr="00AA3A0A">
        <w:rPr>
          <w:rFonts w:cs="Times New Roman"/>
          <w:color w:val="auto"/>
          <w:lang w:val="en-GB"/>
        </w:rPr>
        <w:t>0.720</w:t>
      </w:r>
      <w:r w:rsidRPr="00AA3A0A">
        <w:rPr>
          <w:rFonts w:cs="Times New Roman"/>
          <w:color w:val="auto"/>
          <w:lang w:val="en-GB"/>
        </w:rPr>
        <w:t>, p=</w:t>
      </w:r>
      <w:r w:rsidR="00A014C0" w:rsidRPr="00AA3A0A">
        <w:rPr>
          <w:rFonts w:cs="Times New Roman"/>
          <w:color w:val="auto"/>
          <w:lang w:val="en-GB"/>
        </w:rPr>
        <w:t>0.001</w:t>
      </w:r>
      <w:r w:rsidRPr="00AA3A0A">
        <w:rPr>
          <w:rFonts w:cs="Times New Roman"/>
          <w:color w:val="auto"/>
          <w:lang w:val="en-GB"/>
        </w:rPr>
        <w:t>).</w:t>
      </w:r>
    </w:p>
    <w:p w14:paraId="57CA002E" w14:textId="77777777" w:rsidR="001C6A24" w:rsidRPr="00AA3A0A" w:rsidRDefault="001C6A24" w:rsidP="00AA3A0A">
      <w:pPr>
        <w:rPr>
          <w:rFonts w:cs="Times New Roman"/>
          <w:b/>
          <w:bCs/>
          <w:color w:val="auto"/>
          <w:lang w:val="en-GB"/>
        </w:rPr>
      </w:pPr>
    </w:p>
    <w:p w14:paraId="557C3309" w14:textId="74864838" w:rsidR="001C6A24" w:rsidRPr="00AA3A0A" w:rsidRDefault="001C6A24" w:rsidP="00AA3A0A">
      <w:pPr>
        <w:rPr>
          <w:rFonts w:cs="Times New Roman"/>
          <w:b/>
          <w:bCs/>
          <w:color w:val="auto"/>
          <w:lang w:val="en-GB"/>
        </w:rPr>
      </w:pPr>
      <w:r w:rsidRPr="00AA3A0A">
        <w:rPr>
          <w:rFonts w:cs="Times New Roman"/>
          <w:b/>
          <w:bCs/>
          <w:color w:val="auto"/>
          <w:lang w:val="en-GB"/>
        </w:rPr>
        <w:t xml:space="preserve">Diabetes: </w:t>
      </w:r>
      <w:r w:rsidRPr="00AA3A0A">
        <w:rPr>
          <w:rFonts w:cs="Times New Roman"/>
          <w:color w:val="auto"/>
          <w:lang w:val="en-GB"/>
        </w:rPr>
        <w:t>9</w:t>
      </w:r>
      <w:r w:rsidR="00A014C0" w:rsidRPr="00AA3A0A">
        <w:rPr>
          <w:rFonts w:cs="Times New Roman"/>
          <w:color w:val="auto"/>
          <w:lang w:val="en-GB"/>
        </w:rPr>
        <w:t>6</w:t>
      </w:r>
      <w:r w:rsidRPr="00AA3A0A">
        <w:rPr>
          <w:rFonts w:cs="Times New Roman"/>
          <w:color w:val="auto"/>
          <w:lang w:val="en-GB"/>
        </w:rPr>
        <w:t xml:space="preserve"> incident diabetes events (0.</w:t>
      </w:r>
      <w:r w:rsidR="00E67207" w:rsidRPr="00AA3A0A">
        <w:rPr>
          <w:rFonts w:cs="Times New Roman"/>
          <w:color w:val="auto"/>
          <w:lang w:val="en-GB"/>
        </w:rPr>
        <w:t>59</w:t>
      </w:r>
      <w:r w:rsidRPr="00AA3A0A">
        <w:rPr>
          <w:rFonts w:cs="Times New Roman"/>
          <w:color w:val="auto"/>
          <w:lang w:val="en-GB"/>
        </w:rPr>
        <w:t>%) occurred. High VAT/SAT ratio remained independently associated with diabetes (aHR: 1.8</w:t>
      </w:r>
      <w:r w:rsidR="00A014C0" w:rsidRPr="00AA3A0A">
        <w:rPr>
          <w:rFonts w:cs="Times New Roman"/>
          <w:color w:val="auto"/>
          <w:lang w:val="en-GB"/>
        </w:rPr>
        <w:t>5</w:t>
      </w:r>
      <w:r w:rsidRPr="00AA3A0A">
        <w:rPr>
          <w:rFonts w:cs="Times New Roman"/>
          <w:color w:val="auto"/>
          <w:lang w:val="en-GB"/>
        </w:rPr>
        <w:t>, 95% CI: 1.2</w:t>
      </w:r>
      <w:r w:rsidR="00A014C0" w:rsidRPr="00AA3A0A">
        <w:rPr>
          <w:rFonts w:cs="Times New Roman"/>
          <w:color w:val="auto"/>
          <w:lang w:val="en-GB"/>
        </w:rPr>
        <w:t>0</w:t>
      </w:r>
      <w:r w:rsidRPr="00AA3A0A">
        <w:rPr>
          <w:rFonts w:cs="Times New Roman"/>
          <w:color w:val="auto"/>
          <w:lang w:val="en-GB"/>
        </w:rPr>
        <w:t>–2.8</w:t>
      </w:r>
      <w:r w:rsidR="00A014C0" w:rsidRPr="00AA3A0A">
        <w:rPr>
          <w:rFonts w:cs="Times New Roman"/>
          <w:color w:val="auto"/>
          <w:lang w:val="en-GB"/>
        </w:rPr>
        <w:t>5</w:t>
      </w:r>
      <w:r w:rsidRPr="00AA3A0A">
        <w:rPr>
          <w:rFonts w:cs="Times New Roman"/>
          <w:color w:val="auto"/>
          <w:lang w:val="en-GB"/>
        </w:rPr>
        <w:t>, p=0.00</w:t>
      </w:r>
      <w:r w:rsidR="00A014C0" w:rsidRPr="00AA3A0A">
        <w:rPr>
          <w:rFonts w:cs="Times New Roman"/>
          <w:color w:val="auto"/>
          <w:lang w:val="en-GB"/>
        </w:rPr>
        <w:t>5</w:t>
      </w:r>
      <w:r w:rsidRPr="00AA3A0A">
        <w:rPr>
          <w:rFonts w:cs="Times New Roman"/>
          <w:color w:val="auto"/>
          <w:lang w:val="en-GB"/>
        </w:rPr>
        <w:t xml:space="preserve">). </w:t>
      </w:r>
      <w:r w:rsidR="00325B33" w:rsidRPr="00AA3A0A">
        <w:rPr>
          <w:rFonts w:cs="Times New Roman"/>
          <w:color w:val="auto"/>
          <w:lang w:val="en-GB"/>
        </w:rPr>
        <w:t xml:space="preserve">Adding VAT/SAT ratio to the baseline model resulted in a significant increment in discrimination </w:t>
      </w:r>
      <w:r w:rsidRPr="00AA3A0A">
        <w:rPr>
          <w:rFonts w:cs="Times New Roman"/>
          <w:color w:val="auto"/>
          <w:lang w:val="en-GB"/>
        </w:rPr>
        <w:t>(C-index 0.75</w:t>
      </w:r>
      <w:r w:rsidR="00A014C0" w:rsidRPr="00AA3A0A">
        <w:rPr>
          <w:rFonts w:cs="Times New Roman"/>
          <w:color w:val="auto"/>
          <w:lang w:val="en-GB"/>
        </w:rPr>
        <w:t>4</w:t>
      </w:r>
      <w:r w:rsidRPr="00AA3A0A">
        <w:rPr>
          <w:rFonts w:cs="Times New Roman"/>
          <w:color w:val="auto"/>
          <w:lang w:val="en-GB"/>
        </w:rPr>
        <w:t xml:space="preserve"> vs. </w:t>
      </w:r>
      <w:r w:rsidR="00A014C0" w:rsidRPr="00AA3A0A">
        <w:rPr>
          <w:rFonts w:cs="Times New Roman"/>
          <w:color w:val="auto"/>
          <w:lang w:val="en-GB"/>
        </w:rPr>
        <w:t>0.746</w:t>
      </w:r>
      <w:r w:rsidRPr="00AA3A0A">
        <w:rPr>
          <w:rFonts w:cs="Times New Roman"/>
          <w:color w:val="auto"/>
          <w:lang w:val="en-GB"/>
        </w:rPr>
        <w:t>, p=</w:t>
      </w:r>
      <w:r w:rsidR="00A014C0" w:rsidRPr="00AA3A0A">
        <w:rPr>
          <w:rFonts w:cs="Times New Roman"/>
          <w:color w:val="auto"/>
          <w:lang w:val="en-GB"/>
        </w:rPr>
        <w:t>0.005</w:t>
      </w:r>
      <w:r w:rsidRPr="00AA3A0A">
        <w:rPr>
          <w:rFonts w:cs="Times New Roman"/>
          <w:color w:val="auto"/>
          <w:lang w:val="en-GB"/>
        </w:rPr>
        <w:t>).</w:t>
      </w:r>
      <w:r w:rsidR="00DF2AAE" w:rsidRPr="00AA3A0A">
        <w:rPr>
          <w:rFonts w:cs="Times New Roman"/>
          <w:color w:val="auto"/>
          <w:lang w:val="en-GB"/>
        </w:rPr>
        <w:t xml:space="preserve"> Results are presented in </w:t>
      </w:r>
      <w:r w:rsidR="00DF2AAE" w:rsidRPr="00AA3A0A">
        <w:rPr>
          <w:rFonts w:cs="Times New Roman"/>
          <w:b/>
          <w:bCs/>
          <w:color w:val="auto"/>
          <w:lang w:val="en-GB"/>
        </w:rPr>
        <w:t>Supplemental Table 4</w:t>
      </w:r>
      <w:r w:rsidR="00DF2AAE" w:rsidRPr="00AA3A0A">
        <w:rPr>
          <w:rFonts w:cs="Times New Roman"/>
          <w:color w:val="auto"/>
          <w:lang w:val="en-GB"/>
        </w:rPr>
        <w:t>.</w:t>
      </w:r>
      <w:r w:rsidRPr="00AA3A0A">
        <w:rPr>
          <w:rFonts w:cs="Times New Roman"/>
          <w:color w:val="auto"/>
          <w:lang w:val="en-GB"/>
        </w:rPr>
        <w:br/>
      </w:r>
      <w:r w:rsidRPr="00AA3A0A">
        <w:rPr>
          <w:rFonts w:cs="Times New Roman"/>
          <w:color w:val="auto"/>
          <w:lang w:val="en-GB"/>
        </w:rPr>
        <w:br/>
      </w:r>
      <w:bookmarkStart w:id="9" w:name="_Hlk231981692"/>
      <w:r w:rsidRPr="00AA3A0A">
        <w:rPr>
          <w:b/>
          <w:bCs/>
          <w:color w:val="auto"/>
        </w:rPr>
        <w:t xml:space="preserve">Alternative anthropometric </w:t>
      </w:r>
      <w:r w:rsidR="00D369E0" w:rsidRPr="00AA3A0A">
        <w:rPr>
          <w:b/>
          <w:bCs/>
          <w:color w:val="auto"/>
        </w:rPr>
        <w:t>measures</w:t>
      </w:r>
    </w:p>
    <w:p w14:paraId="42F61082" w14:textId="77777777" w:rsidR="001C6A24" w:rsidRPr="00AA3A0A" w:rsidRDefault="001C6A24" w:rsidP="00AA3A0A">
      <w:pPr>
        <w:rPr>
          <w:rFonts w:cs="Times New Roman"/>
          <w:b/>
          <w:bCs/>
          <w:color w:val="auto"/>
          <w:lang w:val="en-GB"/>
        </w:rPr>
      </w:pPr>
    </w:p>
    <w:p w14:paraId="6A04DA80" w14:textId="340BED23" w:rsidR="00325B33" w:rsidRPr="00AA3A0A" w:rsidRDefault="00325B33" w:rsidP="00AA3A0A">
      <w:pPr>
        <w:rPr>
          <w:rFonts w:cs="Times New Roman"/>
          <w:b/>
          <w:bCs/>
          <w:color w:val="auto"/>
          <w:lang w:val="en-GB"/>
        </w:rPr>
      </w:pPr>
      <w:r w:rsidRPr="00AA3A0A">
        <w:rPr>
          <w:rFonts w:cs="Times New Roman"/>
          <w:b/>
          <w:bCs/>
          <w:color w:val="auto"/>
          <w:lang w:val="en-GB"/>
        </w:rPr>
        <w:t xml:space="preserve">MACE: </w:t>
      </w:r>
      <w:r w:rsidRPr="00AA3A0A">
        <w:rPr>
          <w:rFonts w:cs="Times New Roman"/>
          <w:color w:val="auto"/>
          <w:lang w:val="en-GB"/>
        </w:rPr>
        <w:t xml:space="preserve">In the model adjusted for WHR, high VAT/SAT ratio was not independently associated with incident MACE (aHR: 1.22, 95% CI: 0.95–1.57, p=0.121), and did not provide incremental prognostic value beyond the baseline model (C-index 0.694 vs. 0.691, p=0.120). </w:t>
      </w:r>
      <w:r w:rsidR="006B5B4F" w:rsidRPr="00AA3A0A">
        <w:rPr>
          <w:rFonts w:cs="Times New Roman"/>
          <w:color w:val="auto"/>
          <w:lang w:val="en-GB"/>
        </w:rPr>
        <w:t xml:space="preserve">After adjustment </w:t>
      </w:r>
      <w:r w:rsidRPr="00AA3A0A">
        <w:rPr>
          <w:rFonts w:cs="Times New Roman"/>
          <w:color w:val="auto"/>
          <w:lang w:val="en-GB"/>
        </w:rPr>
        <w:t>for WHtR, the association was significant (aHR: 1.28, 95% CI: 1.00–1.63, p=0.050), with modest but statistically significant incremental discrimination improvement (C-index 0.694 vs. 0.690, p=0.049).</w:t>
      </w:r>
    </w:p>
    <w:p w14:paraId="7C6BA8A0" w14:textId="77777777" w:rsidR="00325B33" w:rsidRPr="00AA3A0A" w:rsidRDefault="00325B33" w:rsidP="00AA3A0A">
      <w:pPr>
        <w:rPr>
          <w:rFonts w:cs="Times New Roman"/>
          <w:b/>
          <w:bCs/>
          <w:color w:val="auto"/>
          <w:lang w:val="en-GB"/>
        </w:rPr>
      </w:pPr>
    </w:p>
    <w:p w14:paraId="44FEACE2" w14:textId="77777777" w:rsidR="00325B33" w:rsidRPr="00AA3A0A" w:rsidRDefault="00325B33" w:rsidP="00AA3A0A">
      <w:pPr>
        <w:rPr>
          <w:bCs/>
          <w:color w:val="auto"/>
          <w:lang w:val="en-GB"/>
        </w:rPr>
      </w:pPr>
      <w:r w:rsidRPr="00AA3A0A">
        <w:rPr>
          <w:b/>
          <w:color w:val="auto"/>
        </w:rPr>
        <w:t>Diabetes:</w:t>
      </w:r>
      <w:r w:rsidRPr="00AA3A0A">
        <w:rPr>
          <w:bCs/>
          <w:color w:val="auto"/>
          <w:lang w:val="en-GB"/>
        </w:rPr>
        <w:t xml:space="preserve"> </w:t>
      </w:r>
      <w:r w:rsidRPr="00AA3A0A">
        <w:rPr>
          <w:color w:val="auto"/>
          <w:lang w:val="en-GB"/>
        </w:rPr>
        <w:t>High VAT/SAT ratio remained independently associated with incident diabetes after adjustment for WHR (aHR: 1.57, 95% CI: 1.18–2.08, p=0.002) and WHtR (aHR: 1.74, 95% CI: 1.32–2.29, p&lt;0.001). Adding VAT/SAT ratio to the baseline model resulted in a modest but statistically significant increment in discrimination beyond both models (WHR: C-index 0.732 vs. 0.727, p=0.002; WHtR: C-index 0.725 vs. 0.718, p&lt;0.001). Results are presented in</w:t>
      </w:r>
      <w:r w:rsidRPr="00AA3A0A">
        <w:rPr>
          <w:bCs/>
          <w:color w:val="auto"/>
          <w:lang w:val="en-GB"/>
        </w:rPr>
        <w:t xml:space="preserve"> </w:t>
      </w:r>
      <w:r w:rsidRPr="00AA3A0A">
        <w:rPr>
          <w:b/>
          <w:color w:val="auto"/>
          <w:lang w:val="en-GB"/>
        </w:rPr>
        <w:t>Supplemental Table 5</w:t>
      </w:r>
      <w:r w:rsidRPr="00AA3A0A">
        <w:rPr>
          <w:bCs/>
          <w:color w:val="auto"/>
          <w:lang w:val="en-GB"/>
        </w:rPr>
        <w:t>.</w:t>
      </w:r>
    </w:p>
    <w:bookmarkEnd w:id="9"/>
    <w:p w14:paraId="7996421E" w14:textId="77777777" w:rsidR="004228DD" w:rsidRPr="00AA3A0A" w:rsidRDefault="004228DD" w:rsidP="00AA3A0A">
      <w:pPr>
        <w:rPr>
          <w:bCs/>
          <w:color w:val="auto"/>
          <w:lang w:val="en-GB"/>
        </w:rPr>
      </w:pPr>
    </w:p>
    <w:p w14:paraId="4084C6D7" w14:textId="77777777" w:rsidR="004228DD" w:rsidRPr="00AA3A0A" w:rsidRDefault="004228DD" w:rsidP="00AA3A0A">
      <w:pPr>
        <w:rPr>
          <w:bCs/>
          <w:color w:val="auto"/>
          <w:lang w:val="en-GB"/>
        </w:rPr>
      </w:pPr>
    </w:p>
    <w:p w14:paraId="2167D8D7" w14:textId="77777777" w:rsidR="00530E60" w:rsidRPr="00AA3A0A" w:rsidRDefault="00530E60" w:rsidP="00AA3A0A">
      <w:pPr>
        <w:rPr>
          <w:color w:val="auto"/>
          <w:lang w:val="en-GB"/>
        </w:rPr>
      </w:pPr>
    </w:p>
    <w:p w14:paraId="4C1F3F6D" w14:textId="68FE62AC" w:rsidR="00ED0757" w:rsidRPr="00AA3A0A" w:rsidRDefault="00D369E0" w:rsidP="00AA3A0A">
      <w:pPr>
        <w:rPr>
          <w:rFonts w:eastAsiaTheme="majorEastAsia" w:cstheme="majorBidi"/>
          <w:b/>
          <w:color w:val="auto"/>
        </w:rPr>
      </w:pPr>
      <w:bookmarkStart w:id="10" w:name="_Hlk231910956"/>
      <w:bookmarkStart w:id="11" w:name="_Hlk231976028"/>
      <w:r w:rsidRPr="00AA3A0A">
        <w:rPr>
          <w:rFonts w:eastAsiaTheme="majorEastAsia" w:cstheme="majorBidi"/>
          <w:b/>
          <w:bCs/>
          <w:color w:val="auto"/>
        </w:rPr>
        <w:t>Continuous VAT/SAT ratio analysis and comparison of VAT/SAT ratio vs. VAT volume</w:t>
      </w:r>
      <w:r w:rsidR="00ED0757" w:rsidRPr="00AA3A0A">
        <w:rPr>
          <w:rFonts w:eastAsiaTheme="majorEastAsia" w:cstheme="majorBidi"/>
          <w:color w:val="auto"/>
        </w:rPr>
        <w:br/>
      </w:r>
    </w:p>
    <w:p w14:paraId="02EA8E55" w14:textId="3C787702" w:rsidR="00055256" w:rsidRPr="00AA3A0A" w:rsidRDefault="00B72D76" w:rsidP="00AA3A0A">
      <w:pPr>
        <w:rPr>
          <w:rFonts w:cs="Times New Roman"/>
          <w:color w:val="auto"/>
          <w:lang w:val="en-GB"/>
        </w:rPr>
      </w:pPr>
      <w:r w:rsidRPr="00AA3A0A">
        <w:rPr>
          <w:rFonts w:cs="Times New Roman"/>
          <w:b/>
          <w:bCs/>
          <w:color w:val="auto"/>
          <w:lang w:val="en-GB"/>
        </w:rPr>
        <w:t>VAT/SAT ratio</w:t>
      </w:r>
      <w:r w:rsidRPr="00AA3A0A">
        <w:rPr>
          <w:rFonts w:cs="Times New Roman"/>
          <w:color w:val="auto"/>
          <w:lang w:val="en-GB"/>
        </w:rPr>
        <w:t xml:space="preserve">: </w:t>
      </w:r>
      <w:r w:rsidR="00055256" w:rsidRPr="00AA3A0A">
        <w:rPr>
          <w:rFonts w:cs="Times New Roman"/>
          <w:color w:val="auto"/>
          <w:lang w:val="en-GB"/>
        </w:rPr>
        <w:t xml:space="preserve">When analyzed as a continuous predictor (per 1 SD of log-transformed sex-specific values), a higher VAT/SAT ratio was independently associated with increased risk of </w:t>
      </w:r>
      <w:r w:rsidR="00325B33" w:rsidRPr="00AA3A0A">
        <w:rPr>
          <w:rFonts w:cs="Times New Roman"/>
          <w:color w:val="auto"/>
          <w:lang w:val="en-GB"/>
        </w:rPr>
        <w:t xml:space="preserve">incident </w:t>
      </w:r>
      <w:r w:rsidR="00055256" w:rsidRPr="00AA3A0A">
        <w:rPr>
          <w:rFonts w:cs="Times New Roman"/>
          <w:color w:val="auto"/>
          <w:lang w:val="en-GB"/>
        </w:rPr>
        <w:t xml:space="preserve">MACE (aHR: 1.17, 95% CI: 1.02–1.34, p=0.022) and diabetes (aHR: 1.50, 95% CI: 1.28–1.75, p&lt;0.001) after full adjustment. Adding VAT/SAT </w:t>
      </w:r>
      <w:r w:rsidR="00055256" w:rsidRPr="00AA3A0A">
        <w:rPr>
          <w:rFonts w:cs="Times New Roman"/>
          <w:color w:val="auto"/>
          <w:lang w:val="en-GB"/>
        </w:rPr>
        <w:lastRenderedPageBreak/>
        <w:t>ratio to the</w:t>
      </w:r>
      <w:r w:rsidR="00325B33" w:rsidRPr="00AA3A0A">
        <w:rPr>
          <w:rFonts w:cs="Times New Roman"/>
          <w:color w:val="auto"/>
          <w:lang w:val="en-GB"/>
        </w:rPr>
        <w:t xml:space="preserve"> </w:t>
      </w:r>
      <w:r w:rsidR="00055256" w:rsidRPr="00AA3A0A">
        <w:rPr>
          <w:rFonts w:cs="Times New Roman"/>
          <w:color w:val="auto"/>
          <w:lang w:val="en-GB"/>
        </w:rPr>
        <w:t>base</w:t>
      </w:r>
      <w:r w:rsidR="00F30952" w:rsidRPr="00AA3A0A">
        <w:rPr>
          <w:rFonts w:cs="Times New Roman"/>
          <w:color w:val="auto"/>
          <w:lang w:val="en-GB"/>
        </w:rPr>
        <w:t>line</w:t>
      </w:r>
      <w:r w:rsidR="00055256" w:rsidRPr="00AA3A0A">
        <w:rPr>
          <w:rFonts w:cs="Times New Roman"/>
          <w:color w:val="auto"/>
          <w:lang w:val="en-GB"/>
        </w:rPr>
        <w:t xml:space="preserve"> model </w:t>
      </w:r>
      <w:r w:rsidR="00325B33" w:rsidRPr="00AA3A0A">
        <w:rPr>
          <w:rFonts w:cs="Times New Roman"/>
          <w:color w:val="auto"/>
          <w:lang w:val="en-GB"/>
        </w:rPr>
        <w:t xml:space="preserve">resulted in a statistically significant increment in </w:t>
      </w:r>
      <w:r w:rsidR="00055256" w:rsidRPr="00AA3A0A">
        <w:rPr>
          <w:rFonts w:cs="Times New Roman"/>
          <w:color w:val="auto"/>
          <w:lang w:val="en-GB"/>
        </w:rPr>
        <w:t>discrimination for MACE (C-index 0.693 vs. 0.690, p=0.021) and diabetes (C-index 0.726 vs. 0.715, p&lt;0.001).</w:t>
      </w:r>
    </w:p>
    <w:p w14:paraId="428365C4" w14:textId="77777777" w:rsidR="00B72D76" w:rsidRPr="00AA3A0A" w:rsidRDefault="00B72D76" w:rsidP="00AA3A0A">
      <w:pPr>
        <w:rPr>
          <w:rFonts w:cs="Times New Roman"/>
          <w:color w:val="auto"/>
          <w:lang w:val="en-GB"/>
        </w:rPr>
      </w:pPr>
      <w:r w:rsidRPr="00AA3A0A">
        <w:rPr>
          <w:rFonts w:cs="Times New Roman"/>
          <w:color w:val="auto"/>
          <w:lang w:val="en-GB"/>
        </w:rPr>
        <w:br/>
      </w:r>
      <w:r w:rsidRPr="00AA3A0A">
        <w:rPr>
          <w:rFonts w:cs="Times New Roman"/>
          <w:b/>
          <w:bCs/>
          <w:color w:val="auto"/>
          <w:lang w:val="en-GB"/>
        </w:rPr>
        <w:t>VAT volume</w:t>
      </w:r>
      <w:r w:rsidRPr="00AA3A0A">
        <w:rPr>
          <w:rFonts w:cs="Times New Roman"/>
          <w:color w:val="auto"/>
          <w:lang w:val="en-GB"/>
        </w:rPr>
        <w:t xml:space="preserve">: </w:t>
      </w:r>
      <w:r w:rsidR="00055256" w:rsidRPr="00AA3A0A">
        <w:rPr>
          <w:rFonts w:cs="Times New Roman"/>
          <w:color w:val="auto"/>
          <w:lang w:val="en-GB"/>
        </w:rPr>
        <w:t xml:space="preserve">VAT volume was evaluated as an alternative continuous predictor using the same approach. A higher VAT volume was independently associated with increased diabetes risk (aHR: 1.68, 95% CI: 1.31–2.14, p&lt;0.001), while no significant association with MACE was </w:t>
      </w:r>
      <w:r w:rsidR="00325B33" w:rsidRPr="00AA3A0A">
        <w:rPr>
          <w:rFonts w:cs="Times New Roman"/>
          <w:color w:val="auto"/>
          <w:lang w:val="en-GB"/>
        </w:rPr>
        <w:t xml:space="preserve">found </w:t>
      </w:r>
      <w:r w:rsidR="00055256" w:rsidRPr="00AA3A0A">
        <w:rPr>
          <w:rFonts w:cs="Times New Roman"/>
          <w:color w:val="auto"/>
          <w:lang w:val="en-GB"/>
        </w:rPr>
        <w:t>(aHR: 1.12, 95% CI: 0.93–1.35, p=0.227). VAT volume did not provide incremental prognostic value beyond the</w:t>
      </w:r>
      <w:r w:rsidR="00325B33" w:rsidRPr="00AA3A0A">
        <w:rPr>
          <w:rFonts w:cs="Times New Roman"/>
          <w:color w:val="auto"/>
          <w:lang w:val="en-GB"/>
        </w:rPr>
        <w:t xml:space="preserve"> </w:t>
      </w:r>
      <w:r w:rsidR="00055256" w:rsidRPr="00AA3A0A">
        <w:rPr>
          <w:rFonts w:cs="Times New Roman"/>
          <w:color w:val="auto"/>
          <w:lang w:val="en-GB"/>
        </w:rPr>
        <w:t>base</w:t>
      </w:r>
      <w:r w:rsidR="00F30952" w:rsidRPr="00AA3A0A">
        <w:rPr>
          <w:rFonts w:cs="Times New Roman"/>
          <w:color w:val="auto"/>
          <w:lang w:val="en-GB"/>
        </w:rPr>
        <w:t>line</w:t>
      </w:r>
      <w:r w:rsidR="00055256" w:rsidRPr="00AA3A0A">
        <w:rPr>
          <w:rFonts w:cs="Times New Roman"/>
          <w:color w:val="auto"/>
          <w:lang w:val="en-GB"/>
        </w:rPr>
        <w:t xml:space="preserve"> model for MACE (C-index 0.691 vs. 0.690, p=0.220), while incremental value was observed for diabetes (C-index 0.723 vs. 0.715, p&lt;0.001). </w:t>
      </w:r>
    </w:p>
    <w:p w14:paraId="52D30276" w14:textId="77777777" w:rsidR="00B72D76" w:rsidRPr="00AA3A0A" w:rsidRDefault="00B72D76" w:rsidP="00AA3A0A">
      <w:pPr>
        <w:rPr>
          <w:rFonts w:cs="Times New Roman"/>
          <w:color w:val="auto"/>
          <w:lang w:val="en-GB"/>
        </w:rPr>
      </w:pPr>
    </w:p>
    <w:p w14:paraId="5B5F85A1" w14:textId="45E3E4F2" w:rsidR="00ED0757" w:rsidRPr="00AA3A0A" w:rsidRDefault="00055256" w:rsidP="00AA3A0A">
      <w:pPr>
        <w:rPr>
          <w:rFonts w:cs="Times New Roman"/>
          <w:color w:val="auto"/>
          <w:lang w:val="en-GB"/>
        </w:rPr>
      </w:pPr>
      <w:r w:rsidRPr="00AA3A0A">
        <w:rPr>
          <w:rFonts w:cs="Times New Roman"/>
          <w:color w:val="auto"/>
          <w:lang w:val="en-GB"/>
        </w:rPr>
        <w:t>C-index was marginally higher for VAT/SAT ratio compared to VAT volume for both outcomes. Formal direct comparison between predictors was not performed due to collinearity between VAT volume and VAT/SAT ratio.</w:t>
      </w:r>
      <w:r w:rsidR="00DF2AAE" w:rsidRPr="00AA3A0A">
        <w:rPr>
          <w:rFonts w:cs="Times New Roman"/>
          <w:color w:val="auto"/>
          <w:lang w:val="en-GB"/>
        </w:rPr>
        <w:t xml:space="preserve"> Results are presented in </w:t>
      </w:r>
      <w:r w:rsidR="00DF2AAE" w:rsidRPr="00AA3A0A">
        <w:rPr>
          <w:rFonts w:cs="Times New Roman"/>
          <w:b/>
          <w:bCs/>
          <w:color w:val="auto"/>
          <w:lang w:val="en-GB"/>
        </w:rPr>
        <w:t>Supplemental Table 6</w:t>
      </w:r>
      <w:r w:rsidR="00DF2AAE" w:rsidRPr="00AA3A0A">
        <w:rPr>
          <w:rFonts w:cs="Times New Roman"/>
          <w:color w:val="auto"/>
          <w:lang w:val="en-GB"/>
        </w:rPr>
        <w:t>.</w:t>
      </w:r>
      <w:bookmarkEnd w:id="10"/>
      <w:bookmarkEnd w:id="11"/>
      <w:r w:rsidR="00ED0757" w:rsidRPr="00AA3A0A">
        <w:rPr>
          <w:rFonts w:cs="Times New Roman"/>
          <w:color w:val="auto"/>
          <w:lang w:val="en-GB"/>
        </w:rPr>
        <w:br/>
      </w:r>
      <w:r w:rsidR="00ED0757" w:rsidRPr="00AA3A0A">
        <w:rPr>
          <w:rFonts w:cs="Times New Roman"/>
          <w:color w:val="auto"/>
          <w:lang w:val="en-GB"/>
        </w:rPr>
        <w:br/>
      </w:r>
      <w:bookmarkStart w:id="12" w:name="_Hlk231914256"/>
      <w:r w:rsidR="00ED0757" w:rsidRPr="00AA3A0A">
        <w:rPr>
          <w:b/>
          <w:bCs/>
          <w:color w:val="auto"/>
        </w:rPr>
        <w:t>Competing risk analysis</w:t>
      </w:r>
    </w:p>
    <w:p w14:paraId="21C4D21C" w14:textId="77777777" w:rsidR="00ED0757" w:rsidRPr="00AA3A0A" w:rsidRDefault="00ED0757" w:rsidP="00AA3A0A">
      <w:pPr>
        <w:rPr>
          <w:rFonts w:cs="Times New Roman"/>
          <w:color w:val="auto"/>
          <w:lang w:val="en-GB"/>
        </w:rPr>
      </w:pPr>
    </w:p>
    <w:p w14:paraId="7A965331" w14:textId="77777777" w:rsidR="00ED0757" w:rsidRPr="00AA3A0A" w:rsidRDefault="00ED0757" w:rsidP="00AA3A0A">
      <w:pPr>
        <w:rPr>
          <w:rFonts w:cs="Times New Roman"/>
          <w:color w:val="auto"/>
          <w:lang w:val="en-GB"/>
        </w:rPr>
      </w:pPr>
      <w:r w:rsidRPr="00AA3A0A">
        <w:rPr>
          <w:rFonts w:cs="Times New Roman"/>
          <w:b/>
          <w:bCs/>
          <w:color w:val="auto"/>
          <w:lang w:val="en-GB"/>
        </w:rPr>
        <w:t>MACE:</w:t>
      </w:r>
      <w:r w:rsidRPr="00AA3A0A">
        <w:rPr>
          <w:rFonts w:cs="Times New Roman"/>
          <w:color w:val="auto"/>
          <w:lang w:val="en-GB"/>
        </w:rPr>
        <w:t xml:space="preserve"> Accounting for incident diabetes as a competing event, high VAT/SAT ratio remained independently associated with MACE in the fully adjusted Fine &amp; Gray model (subdistribution HR: 1.30, 95% CI: 1.01–1.66, p=0.038).</w:t>
      </w:r>
    </w:p>
    <w:p w14:paraId="56F7FCCB" w14:textId="77777777" w:rsidR="00ED0757" w:rsidRPr="00AA3A0A" w:rsidRDefault="00ED0757" w:rsidP="00AA3A0A">
      <w:pPr>
        <w:rPr>
          <w:rFonts w:cs="Times New Roman"/>
          <w:color w:val="auto"/>
          <w:lang w:val="en-GB"/>
        </w:rPr>
      </w:pPr>
    </w:p>
    <w:p w14:paraId="299AFE88" w14:textId="6DBBDE4F" w:rsidR="00891ED9" w:rsidRPr="00AA3A0A" w:rsidRDefault="00ED0757" w:rsidP="00AA3A0A">
      <w:pPr>
        <w:rPr>
          <w:rFonts w:cs="Times New Roman"/>
          <w:color w:val="auto"/>
          <w:lang w:val="en-GB"/>
        </w:rPr>
      </w:pPr>
      <w:r w:rsidRPr="00AA3A0A">
        <w:rPr>
          <w:rFonts w:cs="Times New Roman"/>
          <w:b/>
          <w:bCs/>
          <w:color w:val="auto"/>
          <w:lang w:val="en-GB"/>
        </w:rPr>
        <w:t>Diabetes:</w:t>
      </w:r>
      <w:r w:rsidRPr="00AA3A0A">
        <w:rPr>
          <w:rFonts w:cs="Times New Roman"/>
          <w:color w:val="auto"/>
          <w:lang w:val="en-GB"/>
        </w:rPr>
        <w:t xml:space="preserve"> Accounting for incident MACE as a competing event, high VAT/SAT ratio remained independently associated with diabetes in the fully adjusted Fine &amp; Gray model (subdistribution HR: 1.77, 95% CI: 1.35–2.33, p&lt;0.001).</w:t>
      </w:r>
      <w:r w:rsidR="00DF2AAE" w:rsidRPr="00AA3A0A">
        <w:rPr>
          <w:rFonts w:cs="Times New Roman"/>
          <w:color w:val="auto"/>
          <w:lang w:val="en-GB"/>
        </w:rPr>
        <w:t xml:space="preserve"> Results are presented in </w:t>
      </w:r>
      <w:r w:rsidR="00DF2AAE" w:rsidRPr="00AA3A0A">
        <w:rPr>
          <w:rFonts w:cs="Times New Roman"/>
          <w:b/>
          <w:bCs/>
          <w:color w:val="auto"/>
          <w:lang w:val="en-GB"/>
        </w:rPr>
        <w:t>Supplemental Table 7</w:t>
      </w:r>
      <w:r w:rsidR="00DF2AAE" w:rsidRPr="00AA3A0A">
        <w:rPr>
          <w:rFonts w:cs="Times New Roman"/>
          <w:color w:val="auto"/>
          <w:lang w:val="en-GB"/>
        </w:rPr>
        <w:t>.</w:t>
      </w:r>
      <w:bookmarkEnd w:id="12"/>
      <w:r w:rsidR="00891ED9" w:rsidRPr="00AA3A0A">
        <w:rPr>
          <w:rFonts w:cs="Times New Roman"/>
          <w:color w:val="auto"/>
          <w:lang w:val="en-GB"/>
        </w:rPr>
        <w:br/>
      </w:r>
      <w:r w:rsidR="00891ED9" w:rsidRPr="00AA3A0A">
        <w:rPr>
          <w:rFonts w:cs="Times New Roman"/>
          <w:color w:val="auto"/>
          <w:lang w:val="en-GB"/>
        </w:rPr>
        <w:br/>
      </w:r>
      <w:bookmarkStart w:id="13" w:name="_Hlk231911551"/>
      <w:r w:rsidR="00D369E0" w:rsidRPr="00AA3A0A">
        <w:rPr>
          <w:b/>
          <w:bCs/>
          <w:color w:val="auto"/>
        </w:rPr>
        <w:t>Lag-time and minimum follow-up analyses</w:t>
      </w:r>
    </w:p>
    <w:p w14:paraId="32F7579E" w14:textId="77777777" w:rsidR="00891ED9" w:rsidRPr="00AA3A0A" w:rsidRDefault="00891ED9" w:rsidP="00AA3A0A">
      <w:pPr>
        <w:rPr>
          <w:rFonts w:cs="Times New Roman"/>
          <w:color w:val="auto"/>
          <w:lang w:val="en-GB"/>
        </w:rPr>
      </w:pPr>
    </w:p>
    <w:p w14:paraId="3A237A94" w14:textId="698E9A87" w:rsidR="00891ED9" w:rsidRPr="00AA3A0A" w:rsidRDefault="00891ED9" w:rsidP="00AA3A0A">
      <w:pPr>
        <w:rPr>
          <w:rFonts w:cs="Times New Roman"/>
          <w:color w:val="auto"/>
          <w:lang w:val="en-GB"/>
        </w:rPr>
      </w:pPr>
      <w:r w:rsidRPr="00AA3A0A">
        <w:rPr>
          <w:rFonts w:cs="Times New Roman"/>
          <w:b/>
          <w:bCs/>
          <w:color w:val="auto"/>
          <w:lang w:val="en-GB"/>
        </w:rPr>
        <w:t>MACE:</w:t>
      </w:r>
      <w:r w:rsidRPr="00AA3A0A">
        <w:rPr>
          <w:rFonts w:cs="Times New Roman"/>
          <w:color w:val="auto"/>
          <w:lang w:val="en-GB"/>
        </w:rPr>
        <w:t xml:space="preserve"> After exclusion of events occurring within the first 1 and 2 years of follow-up, the association between high VAT/SAT ratio and MACE was attenuated and no longer statistically significant (lag 1 year: aHR 1.28, 95% CI 0.99–1.68, p=0.064; lag 2 years: aHR 1.21, 95% CI 0.89–1.65, p=0.226). Restriction to participants with a minimum follow-up of ≥1 and ≥2 years yielded comparable results.</w:t>
      </w:r>
    </w:p>
    <w:p w14:paraId="5D86AFE7" w14:textId="77777777" w:rsidR="00891ED9" w:rsidRPr="00AA3A0A" w:rsidRDefault="00891ED9" w:rsidP="00AA3A0A">
      <w:pPr>
        <w:rPr>
          <w:rFonts w:cs="Times New Roman"/>
          <w:color w:val="auto"/>
          <w:lang w:val="en-GB"/>
        </w:rPr>
      </w:pPr>
    </w:p>
    <w:p w14:paraId="2FDBEB1B" w14:textId="2D6314B2" w:rsidR="00806DCA" w:rsidRPr="00AA3A0A" w:rsidRDefault="00891ED9" w:rsidP="00AA3A0A">
      <w:pPr>
        <w:rPr>
          <w:b/>
          <w:bCs/>
          <w:color w:val="auto"/>
        </w:rPr>
      </w:pPr>
      <w:r w:rsidRPr="00AA3A0A">
        <w:rPr>
          <w:rFonts w:cs="Times New Roman"/>
          <w:b/>
          <w:bCs/>
          <w:color w:val="auto"/>
          <w:lang w:val="en-GB"/>
        </w:rPr>
        <w:t>Diabetes:</w:t>
      </w:r>
      <w:r w:rsidRPr="00AA3A0A">
        <w:rPr>
          <w:rFonts w:cs="Times New Roman"/>
          <w:color w:val="auto"/>
          <w:lang w:val="en-GB"/>
        </w:rPr>
        <w:t xml:space="preserve"> The association between high VAT/SAT ratio and incident diabetes remained significant and strengthened with longer lag periods (lag 1 year: aHR 1.82, 95% CI 1.22–2.86, p&lt;0.001; lag 2 years: aHR 2.44, 95% CI 1.65–3.59, p&lt;0.001). Results were identical when restricting to participants with minimum follow-up of ≥1 and ≥2 years.</w:t>
      </w:r>
      <w:r w:rsidR="00DF2AAE" w:rsidRPr="00AA3A0A">
        <w:rPr>
          <w:rFonts w:cs="Times New Roman"/>
          <w:color w:val="auto"/>
          <w:lang w:val="en-GB"/>
        </w:rPr>
        <w:t xml:space="preserve"> Results are presented in </w:t>
      </w:r>
      <w:r w:rsidR="00DF2AAE" w:rsidRPr="00AA3A0A">
        <w:rPr>
          <w:rFonts w:cs="Times New Roman"/>
          <w:b/>
          <w:bCs/>
          <w:color w:val="auto"/>
          <w:lang w:val="en-GB"/>
        </w:rPr>
        <w:t>Supplemental Table 8</w:t>
      </w:r>
      <w:r w:rsidR="00DF2AAE" w:rsidRPr="00AA3A0A">
        <w:rPr>
          <w:rFonts w:cs="Times New Roman"/>
          <w:color w:val="auto"/>
          <w:lang w:val="en-GB"/>
        </w:rPr>
        <w:t>.</w:t>
      </w:r>
      <w:bookmarkEnd w:id="13"/>
      <w:r w:rsidRPr="00AA3A0A">
        <w:rPr>
          <w:rFonts w:cs="Times New Roman"/>
          <w:color w:val="auto"/>
          <w:lang w:val="en-GB"/>
        </w:rPr>
        <w:br/>
      </w:r>
      <w:r w:rsidRPr="00AA3A0A">
        <w:rPr>
          <w:rFonts w:cs="Times New Roman"/>
          <w:color w:val="auto"/>
          <w:lang w:val="en-GB"/>
        </w:rPr>
        <w:br/>
      </w:r>
      <w:bookmarkStart w:id="14" w:name="_Hlk231977530"/>
      <w:r w:rsidR="00D369E0" w:rsidRPr="00AA3A0A">
        <w:rPr>
          <w:b/>
          <w:bCs/>
          <w:color w:val="auto"/>
        </w:rPr>
        <w:t>Analysis across metabolic phenotypes</w:t>
      </w:r>
    </w:p>
    <w:p w14:paraId="0DE1F161" w14:textId="77777777" w:rsidR="00806DCA" w:rsidRPr="00AA3A0A" w:rsidRDefault="00806DCA" w:rsidP="00AA3A0A">
      <w:pPr>
        <w:rPr>
          <w:rFonts w:cs="Times New Roman"/>
          <w:color w:val="auto"/>
          <w:lang w:val="en-GB"/>
        </w:rPr>
      </w:pPr>
    </w:p>
    <w:p w14:paraId="22D74ACB" w14:textId="1BBAE5B4" w:rsidR="00806DCA" w:rsidRPr="00AA3A0A" w:rsidRDefault="00806DCA" w:rsidP="00AA3A0A">
      <w:pPr>
        <w:rPr>
          <w:rFonts w:cs="Times New Roman"/>
          <w:color w:val="auto"/>
          <w:lang w:val="en-GB"/>
        </w:rPr>
      </w:pPr>
      <w:r w:rsidRPr="00AA3A0A">
        <w:rPr>
          <w:rFonts w:cs="Times New Roman"/>
          <w:color w:val="auto"/>
          <w:lang w:val="en-GB"/>
        </w:rPr>
        <w:t xml:space="preserve">Of 29,021 participants across all metabolic phenotypes, 22,040 (75.9%) were MHN, 3,376 (11.6%) MHO, 2,435 (8.4%) MUN, and 936 (3.2%) MUO. </w:t>
      </w:r>
      <w:r w:rsidR="00B72D76" w:rsidRPr="00AA3A0A">
        <w:rPr>
          <w:rFonts w:cs="Times New Roman"/>
          <w:color w:val="auto"/>
          <w:lang w:val="en-GB"/>
        </w:rPr>
        <w:t xml:space="preserve">In </w:t>
      </w:r>
      <w:r w:rsidRPr="00AA3A0A">
        <w:rPr>
          <w:rFonts w:cs="Times New Roman"/>
          <w:color w:val="auto"/>
          <w:lang w:val="en-GB"/>
        </w:rPr>
        <w:t>diabetes analyses, participants with prevalent diabetes were excluded from MUN and MUO, yielding 1,971 MUN and 670 MUO participants.</w:t>
      </w:r>
    </w:p>
    <w:p w14:paraId="2FBBBA1A" w14:textId="77777777" w:rsidR="00806DCA" w:rsidRPr="00AA3A0A" w:rsidRDefault="00806DCA" w:rsidP="00AA3A0A">
      <w:pPr>
        <w:rPr>
          <w:rFonts w:cs="Times New Roman"/>
          <w:color w:val="auto"/>
          <w:lang w:val="en-GB"/>
        </w:rPr>
      </w:pPr>
    </w:p>
    <w:p w14:paraId="385D1B5F" w14:textId="663ACA8F" w:rsidR="00806DCA" w:rsidRPr="00AA3A0A" w:rsidRDefault="00806DCA" w:rsidP="00AA3A0A">
      <w:pPr>
        <w:rPr>
          <w:rFonts w:cs="Times New Roman"/>
          <w:color w:val="auto"/>
          <w:lang w:val="en-GB"/>
        </w:rPr>
      </w:pPr>
      <w:r w:rsidRPr="00AA3A0A">
        <w:rPr>
          <w:rFonts w:cs="Times New Roman"/>
          <w:b/>
          <w:bCs/>
          <w:color w:val="auto"/>
          <w:lang w:val="en-GB"/>
        </w:rPr>
        <w:t>MACE:</w:t>
      </w:r>
      <w:r w:rsidRPr="00AA3A0A">
        <w:rPr>
          <w:rFonts w:cs="Times New Roman"/>
          <w:color w:val="auto"/>
          <w:lang w:val="en-GB"/>
        </w:rPr>
        <w:t xml:space="preserve"> MACE event rates varied across phenotypes: 1.3% </w:t>
      </w:r>
      <w:r w:rsidR="00B72D76" w:rsidRPr="00AA3A0A">
        <w:rPr>
          <w:rFonts w:cs="Times New Roman"/>
          <w:color w:val="auto"/>
          <w:lang w:val="en-GB"/>
        </w:rPr>
        <w:t xml:space="preserve">(297/22,040) </w:t>
      </w:r>
      <w:r w:rsidRPr="00AA3A0A">
        <w:rPr>
          <w:rFonts w:cs="Times New Roman"/>
          <w:color w:val="auto"/>
          <w:lang w:val="en-GB"/>
        </w:rPr>
        <w:t xml:space="preserve">in MHN, 1.6% </w:t>
      </w:r>
      <w:r w:rsidR="00B72D76" w:rsidRPr="00AA3A0A">
        <w:rPr>
          <w:rFonts w:cs="Times New Roman"/>
          <w:color w:val="auto"/>
          <w:lang w:val="en-GB"/>
        </w:rPr>
        <w:t xml:space="preserve">(53/3,376) </w:t>
      </w:r>
      <w:r w:rsidRPr="00AA3A0A">
        <w:rPr>
          <w:rFonts w:cs="Times New Roman"/>
          <w:color w:val="auto"/>
          <w:lang w:val="en-GB"/>
        </w:rPr>
        <w:t xml:space="preserve">in MHO, 2.3% </w:t>
      </w:r>
      <w:r w:rsidR="00B72D76" w:rsidRPr="00AA3A0A">
        <w:rPr>
          <w:rFonts w:cs="Times New Roman"/>
          <w:color w:val="auto"/>
          <w:lang w:val="en-GB"/>
        </w:rPr>
        <w:t xml:space="preserve">(57/2,435) </w:t>
      </w:r>
      <w:r w:rsidRPr="00AA3A0A">
        <w:rPr>
          <w:rFonts w:cs="Times New Roman"/>
          <w:color w:val="auto"/>
          <w:lang w:val="en-GB"/>
        </w:rPr>
        <w:t xml:space="preserve">in MUN, and 2.4% </w:t>
      </w:r>
      <w:r w:rsidR="00B72D76" w:rsidRPr="00AA3A0A">
        <w:rPr>
          <w:rFonts w:cs="Times New Roman"/>
          <w:color w:val="auto"/>
          <w:lang w:val="en-GB"/>
        </w:rPr>
        <w:t xml:space="preserve">(22/936) </w:t>
      </w:r>
      <w:r w:rsidRPr="00AA3A0A">
        <w:rPr>
          <w:rFonts w:cs="Times New Roman"/>
          <w:color w:val="auto"/>
          <w:lang w:val="en-GB"/>
        </w:rPr>
        <w:t>in MUO. High VAT/SAT ratio was independently associated with MACE in the MHN phenotype only (aHR: 1.30, 95% CI: 1.02–1.66, p=0.037). No significant associations were observed in MHO (aHR: 0.77, 95% CI: 0.44–1.34, p=0.358), MUN (aHR: 0.91, 95% CI: 0.52–1.61, p=0.755), or MUO (aHR: 1.37, 95% CI: 0.55–3.46, p=0.500)</w:t>
      </w:r>
      <w:r w:rsidR="00DE5DB0" w:rsidRPr="00AA3A0A">
        <w:rPr>
          <w:rFonts w:cs="Times New Roman"/>
          <w:color w:val="auto"/>
          <w:lang w:val="en-GB"/>
        </w:rPr>
        <w:t>.</w:t>
      </w:r>
    </w:p>
    <w:p w14:paraId="67A218B4" w14:textId="77777777" w:rsidR="00806DCA" w:rsidRPr="00AA3A0A" w:rsidRDefault="00806DCA" w:rsidP="00AA3A0A">
      <w:pPr>
        <w:rPr>
          <w:rFonts w:cs="Times New Roman"/>
          <w:color w:val="auto"/>
          <w:lang w:val="en-GB"/>
        </w:rPr>
      </w:pPr>
    </w:p>
    <w:p w14:paraId="7FCAD22D" w14:textId="6005FFC1" w:rsidR="00DF2AAE" w:rsidRPr="00AA3A0A" w:rsidRDefault="00806DCA" w:rsidP="00AA3A0A">
      <w:pPr>
        <w:rPr>
          <w:rFonts w:cs="Times New Roman"/>
          <w:color w:val="auto"/>
          <w:lang w:val="en-GB"/>
        </w:rPr>
      </w:pPr>
      <w:r w:rsidRPr="00AA3A0A">
        <w:rPr>
          <w:rFonts w:cs="Times New Roman"/>
          <w:b/>
          <w:bCs/>
          <w:color w:val="auto"/>
          <w:lang w:val="en-GB"/>
        </w:rPr>
        <w:t>Diabetes:</w:t>
      </w:r>
      <w:r w:rsidRPr="00AA3A0A">
        <w:rPr>
          <w:rFonts w:cs="Times New Roman"/>
          <w:color w:val="auto"/>
          <w:lang w:val="en-GB"/>
        </w:rPr>
        <w:t xml:space="preserve"> Diabetes event rates were 1.1% </w:t>
      </w:r>
      <w:r w:rsidR="00B72D76" w:rsidRPr="00AA3A0A">
        <w:rPr>
          <w:rFonts w:cs="Times New Roman"/>
          <w:color w:val="auto"/>
          <w:lang w:val="en-GB"/>
        </w:rPr>
        <w:t xml:space="preserve">(251/22,040) </w:t>
      </w:r>
      <w:r w:rsidRPr="00AA3A0A">
        <w:rPr>
          <w:rFonts w:cs="Times New Roman"/>
          <w:color w:val="auto"/>
          <w:lang w:val="en-GB"/>
        </w:rPr>
        <w:t xml:space="preserve">in MHN, 4.6% </w:t>
      </w:r>
      <w:r w:rsidR="00B72D76" w:rsidRPr="00AA3A0A">
        <w:rPr>
          <w:rFonts w:cs="Times New Roman"/>
          <w:color w:val="auto"/>
          <w:lang w:val="en-GB"/>
        </w:rPr>
        <w:t xml:space="preserve">(155/3,376) </w:t>
      </w:r>
      <w:r w:rsidRPr="00AA3A0A">
        <w:rPr>
          <w:rFonts w:cs="Times New Roman"/>
          <w:color w:val="auto"/>
          <w:lang w:val="en-GB"/>
        </w:rPr>
        <w:t xml:space="preserve">in MHO, 3.0% </w:t>
      </w:r>
      <w:r w:rsidR="00B72D76" w:rsidRPr="00AA3A0A">
        <w:rPr>
          <w:rFonts w:cs="Times New Roman"/>
          <w:color w:val="auto"/>
          <w:lang w:val="en-GB"/>
        </w:rPr>
        <w:t xml:space="preserve">(60/1,971) </w:t>
      </w:r>
      <w:r w:rsidRPr="00AA3A0A">
        <w:rPr>
          <w:rFonts w:cs="Times New Roman"/>
          <w:color w:val="auto"/>
          <w:lang w:val="en-GB"/>
        </w:rPr>
        <w:t xml:space="preserve">in MUN, and 6.1% </w:t>
      </w:r>
      <w:r w:rsidR="00B72D76" w:rsidRPr="00AA3A0A">
        <w:rPr>
          <w:rFonts w:cs="Times New Roman"/>
          <w:color w:val="auto"/>
          <w:lang w:val="en-GB"/>
        </w:rPr>
        <w:t xml:space="preserve">(41/670) </w:t>
      </w:r>
      <w:r w:rsidRPr="00AA3A0A">
        <w:rPr>
          <w:rFonts w:cs="Times New Roman"/>
          <w:color w:val="auto"/>
          <w:lang w:val="en-GB"/>
        </w:rPr>
        <w:t>in MUO. High VAT/SAT ratio was independently associated with incident diabetes in MHN (aHR: 1.77, 95% CI: 1.34–2.33, p&lt;0.001), MUN (aHR: 2.08, 95% CI: 1.07–4.02, p=0.030), and MUO (aHR: 2.38, 95% CI: 1.12–5.07, p=0.024). No significant association was observed in MHO (aHR: 1.19, 95% CI: 0.85–1.66, p=0.306)</w:t>
      </w:r>
      <w:r w:rsidR="00DE5DB0" w:rsidRPr="00AA3A0A">
        <w:rPr>
          <w:rFonts w:cs="Times New Roman"/>
          <w:color w:val="auto"/>
          <w:lang w:val="en-GB"/>
        </w:rPr>
        <w:t xml:space="preserve">. </w:t>
      </w:r>
      <w:r w:rsidR="00DF2AAE" w:rsidRPr="00AA3A0A">
        <w:rPr>
          <w:rFonts w:cs="Times New Roman"/>
          <w:color w:val="auto"/>
          <w:lang w:val="en-GB"/>
        </w:rPr>
        <w:t xml:space="preserve">Results are presented in </w:t>
      </w:r>
      <w:r w:rsidR="00DF2AAE" w:rsidRPr="00AA3A0A">
        <w:rPr>
          <w:rFonts w:cs="Times New Roman"/>
          <w:b/>
          <w:bCs/>
          <w:color w:val="auto"/>
          <w:lang w:val="en-GB"/>
        </w:rPr>
        <w:t>Supplemental Figure 2</w:t>
      </w:r>
      <w:r w:rsidR="00DF2AAE" w:rsidRPr="00AA3A0A">
        <w:rPr>
          <w:rFonts w:cs="Times New Roman"/>
          <w:color w:val="auto"/>
          <w:lang w:val="en-GB"/>
        </w:rPr>
        <w:t>.</w:t>
      </w:r>
    </w:p>
    <w:bookmarkEnd w:id="14"/>
    <w:p w14:paraId="55FB263C" w14:textId="77777777" w:rsidR="00DF2AAE" w:rsidRPr="00AA3A0A" w:rsidRDefault="00DF2AAE" w:rsidP="00AA3A0A">
      <w:pPr>
        <w:rPr>
          <w:rFonts w:cs="Times New Roman"/>
          <w:color w:val="auto"/>
          <w:lang w:val="en-GB"/>
        </w:rPr>
      </w:pPr>
    </w:p>
    <w:p w14:paraId="14AD8D05" w14:textId="2E3B3338" w:rsidR="007B2D7F" w:rsidRPr="00AA3A0A" w:rsidRDefault="007B2D7F" w:rsidP="00AA3A0A">
      <w:pPr>
        <w:rPr>
          <w:b/>
          <w:bCs/>
          <w:color w:val="auto"/>
          <w:lang w:val="en-GB"/>
        </w:rPr>
      </w:pPr>
      <w:bookmarkStart w:id="15" w:name="_Hlk231980566"/>
      <w:r w:rsidRPr="00AA3A0A">
        <w:rPr>
          <w:b/>
          <w:bCs/>
          <w:color w:val="auto"/>
          <w:lang w:val="en-GB"/>
        </w:rPr>
        <w:t>Sex-stratified analyses</w:t>
      </w:r>
    </w:p>
    <w:p w14:paraId="2F0CFCB3" w14:textId="77777777" w:rsidR="007B2D7F" w:rsidRPr="00AA3A0A" w:rsidRDefault="007B2D7F" w:rsidP="00AA3A0A">
      <w:pPr>
        <w:rPr>
          <w:rFonts w:cs="Times New Roman"/>
          <w:color w:val="auto"/>
          <w:lang w:val="en-GB"/>
        </w:rPr>
      </w:pPr>
    </w:p>
    <w:p w14:paraId="6107B4D5" w14:textId="24FF4652" w:rsidR="007B2D7F" w:rsidRPr="00AA3A0A" w:rsidRDefault="007B2D7F" w:rsidP="00AA3A0A">
      <w:pPr>
        <w:rPr>
          <w:rFonts w:cs="Times New Roman"/>
          <w:color w:val="auto"/>
          <w:lang w:val="en-GB"/>
        </w:rPr>
      </w:pPr>
      <w:r w:rsidRPr="00AA3A0A">
        <w:rPr>
          <w:rFonts w:cs="Times New Roman"/>
          <w:b/>
          <w:bCs/>
          <w:color w:val="auto"/>
          <w:lang w:val="en-GB"/>
        </w:rPr>
        <w:lastRenderedPageBreak/>
        <w:t>MACE:</w:t>
      </w:r>
      <w:r w:rsidRPr="00AA3A0A">
        <w:rPr>
          <w:rFonts w:cs="Times New Roman"/>
          <w:color w:val="auto"/>
          <w:lang w:val="en-GB"/>
        </w:rPr>
        <w:t xml:space="preserve"> MACE event rates were 2.0% </w:t>
      </w:r>
      <w:r w:rsidR="00B72D76" w:rsidRPr="00AA3A0A">
        <w:rPr>
          <w:rFonts w:cs="Times New Roman"/>
          <w:color w:val="auto"/>
          <w:lang w:val="en-GB"/>
        </w:rPr>
        <w:t xml:space="preserve">(202/10,291) </w:t>
      </w:r>
      <w:r w:rsidRPr="00AA3A0A">
        <w:rPr>
          <w:rFonts w:cs="Times New Roman"/>
          <w:color w:val="auto"/>
          <w:lang w:val="en-GB"/>
        </w:rPr>
        <w:t xml:space="preserve">in males and 0.8% </w:t>
      </w:r>
      <w:r w:rsidR="00B72D76" w:rsidRPr="00AA3A0A">
        <w:rPr>
          <w:rFonts w:cs="Times New Roman"/>
          <w:color w:val="auto"/>
          <w:lang w:val="en-GB"/>
        </w:rPr>
        <w:t xml:space="preserve">(95/11,749) </w:t>
      </w:r>
      <w:r w:rsidRPr="00AA3A0A">
        <w:rPr>
          <w:rFonts w:cs="Times New Roman"/>
          <w:color w:val="auto"/>
          <w:lang w:val="en-GB"/>
        </w:rPr>
        <w:t>in females. In sex-stratified analyses, high VAT/SAT ratio was not significantly associated with MACE in either males (aHR: 1.23, 95% CI: 0.92–1.65, p=0.171) or females (aHR: 1.41, 95% CI: 0.91–2.19, p=0.127). No significant effect modification by sex was detected (p=0.727).</w:t>
      </w:r>
    </w:p>
    <w:p w14:paraId="3CC3A132" w14:textId="77777777" w:rsidR="00DF2AAE" w:rsidRPr="00AA3A0A" w:rsidRDefault="00DF2AAE" w:rsidP="00AA3A0A">
      <w:pPr>
        <w:rPr>
          <w:rFonts w:cs="Times New Roman"/>
          <w:color w:val="auto"/>
          <w:lang w:val="en-GB"/>
        </w:rPr>
      </w:pPr>
    </w:p>
    <w:p w14:paraId="470ABE48" w14:textId="681F46FE" w:rsidR="007B2D7F" w:rsidRPr="00AA3A0A" w:rsidRDefault="007B2D7F" w:rsidP="00AA3A0A">
      <w:pPr>
        <w:rPr>
          <w:rFonts w:cs="Times New Roman"/>
          <w:color w:val="auto"/>
          <w:lang w:val="en-GB"/>
        </w:rPr>
      </w:pPr>
      <w:r w:rsidRPr="00AA3A0A">
        <w:rPr>
          <w:rFonts w:cs="Times New Roman"/>
          <w:b/>
          <w:bCs/>
          <w:color w:val="auto"/>
          <w:lang w:val="en-GB"/>
        </w:rPr>
        <w:t>Diabetes:</w:t>
      </w:r>
      <w:r w:rsidRPr="00AA3A0A">
        <w:rPr>
          <w:rFonts w:cs="Times New Roman"/>
          <w:color w:val="auto"/>
          <w:lang w:val="en-GB"/>
        </w:rPr>
        <w:t xml:space="preserve"> Diabetes event rates were 1.7% </w:t>
      </w:r>
      <w:r w:rsidR="004E713B" w:rsidRPr="00AA3A0A">
        <w:rPr>
          <w:rFonts w:cs="Times New Roman"/>
          <w:color w:val="auto"/>
          <w:lang w:val="en-GB"/>
        </w:rPr>
        <w:t xml:space="preserve">(173/10,291) </w:t>
      </w:r>
      <w:r w:rsidRPr="00AA3A0A">
        <w:rPr>
          <w:rFonts w:cs="Times New Roman"/>
          <w:color w:val="auto"/>
          <w:lang w:val="en-GB"/>
        </w:rPr>
        <w:t xml:space="preserve">in males and 0.7% </w:t>
      </w:r>
      <w:r w:rsidR="004E713B" w:rsidRPr="00AA3A0A">
        <w:rPr>
          <w:rFonts w:cs="Times New Roman"/>
          <w:color w:val="auto"/>
          <w:lang w:val="en-GB"/>
        </w:rPr>
        <w:t xml:space="preserve">(78/11,749) </w:t>
      </w:r>
      <w:r w:rsidRPr="00AA3A0A">
        <w:rPr>
          <w:rFonts w:cs="Times New Roman"/>
          <w:color w:val="auto"/>
          <w:lang w:val="en-GB"/>
        </w:rPr>
        <w:t>in females. High VAT/SAT ratio was independently associated with incident diabetes in males (aHR: 1.83, 95% CI: 1.31–2.58, p&lt;0.001), while the association in females did not reach statistical significance (aHR: 1.54, 95% CI: 0.95–2.51, p=0.080). No significant effect modification by sex was detected (p=0.719).</w:t>
      </w:r>
      <w:r w:rsidR="00DF2AAE" w:rsidRPr="00AA3A0A">
        <w:rPr>
          <w:rFonts w:cs="Times New Roman"/>
          <w:color w:val="auto"/>
          <w:lang w:val="en-GB"/>
        </w:rPr>
        <w:t xml:space="preserve"> Results are presented in </w:t>
      </w:r>
      <w:r w:rsidR="00DF2AAE" w:rsidRPr="00AA3A0A">
        <w:rPr>
          <w:rFonts w:cs="Times New Roman"/>
          <w:b/>
          <w:bCs/>
          <w:color w:val="auto"/>
          <w:lang w:val="en-GB"/>
        </w:rPr>
        <w:t>Supplemental Figure 3</w:t>
      </w:r>
      <w:r w:rsidR="00DF2AAE" w:rsidRPr="00AA3A0A">
        <w:rPr>
          <w:rFonts w:cs="Times New Roman"/>
          <w:color w:val="auto"/>
          <w:lang w:val="en-GB"/>
        </w:rPr>
        <w:t>.</w:t>
      </w:r>
      <w:bookmarkEnd w:id="15"/>
      <w:r w:rsidRPr="00AA3A0A">
        <w:rPr>
          <w:rFonts w:cs="Times New Roman"/>
          <w:color w:val="auto"/>
          <w:lang w:val="en-GB"/>
        </w:rPr>
        <w:br/>
      </w:r>
      <w:r w:rsidRPr="00AA3A0A">
        <w:rPr>
          <w:rFonts w:cs="Times New Roman"/>
          <w:color w:val="auto"/>
          <w:lang w:val="en-GB"/>
        </w:rPr>
        <w:br/>
      </w:r>
      <w:r w:rsidRPr="00AA3A0A">
        <w:rPr>
          <w:b/>
          <w:bCs/>
          <w:color w:val="auto"/>
        </w:rPr>
        <w:t>Age-stratified analyses</w:t>
      </w:r>
    </w:p>
    <w:p w14:paraId="11D1117F" w14:textId="77777777" w:rsidR="007B2D7F" w:rsidRPr="00AA3A0A" w:rsidRDefault="007B2D7F" w:rsidP="00AA3A0A">
      <w:pPr>
        <w:rPr>
          <w:rFonts w:cs="Times New Roman"/>
          <w:color w:val="auto"/>
          <w:lang w:val="en-GB"/>
        </w:rPr>
      </w:pPr>
    </w:p>
    <w:p w14:paraId="0232B311" w14:textId="69D7678D" w:rsidR="007B2D7F" w:rsidRPr="00AA3A0A" w:rsidRDefault="007B2D7F" w:rsidP="00AA3A0A">
      <w:pPr>
        <w:rPr>
          <w:rFonts w:cs="Times New Roman"/>
          <w:color w:val="auto"/>
          <w:lang w:val="en-GB"/>
        </w:rPr>
      </w:pPr>
      <w:r w:rsidRPr="00AA3A0A">
        <w:rPr>
          <w:rFonts w:cs="Times New Roman"/>
          <w:b/>
          <w:bCs/>
          <w:color w:val="auto"/>
          <w:lang w:val="en-GB"/>
        </w:rPr>
        <w:t>MACE:</w:t>
      </w:r>
      <w:r w:rsidRPr="00AA3A0A">
        <w:rPr>
          <w:rFonts w:cs="Times New Roman"/>
          <w:color w:val="auto"/>
          <w:lang w:val="en-GB"/>
        </w:rPr>
        <w:t xml:space="preserve"> MACE event rates were 0.7% </w:t>
      </w:r>
      <w:r w:rsidR="00917BBE" w:rsidRPr="00AA3A0A">
        <w:rPr>
          <w:rFonts w:cs="Times New Roman"/>
          <w:color w:val="auto"/>
          <w:lang w:val="en-GB"/>
        </w:rPr>
        <w:t xml:space="preserve">(48/6,668) </w:t>
      </w:r>
      <w:r w:rsidRPr="00AA3A0A">
        <w:rPr>
          <w:rFonts w:cs="Times New Roman"/>
          <w:color w:val="auto"/>
          <w:lang w:val="en-GB"/>
        </w:rPr>
        <w:t xml:space="preserve">in participants aged &lt;60 years and 1.6% </w:t>
      </w:r>
      <w:r w:rsidR="00917BBE" w:rsidRPr="00AA3A0A">
        <w:rPr>
          <w:rFonts w:cs="Times New Roman"/>
          <w:color w:val="auto"/>
          <w:lang w:val="en-GB"/>
        </w:rPr>
        <w:t xml:space="preserve">(249/15,372) </w:t>
      </w:r>
      <w:r w:rsidRPr="00AA3A0A">
        <w:rPr>
          <w:rFonts w:cs="Times New Roman"/>
          <w:color w:val="auto"/>
          <w:lang w:val="en-GB"/>
        </w:rPr>
        <w:t>in those aged ≥60 years. High VAT/SAT ratio was not significantly associated with MACE in either age group (&lt;60 years: aHR: 1.5</w:t>
      </w:r>
      <w:r w:rsidR="00C37459" w:rsidRPr="00AA3A0A">
        <w:rPr>
          <w:rFonts w:cs="Times New Roman"/>
          <w:color w:val="auto"/>
          <w:lang w:val="en-GB"/>
        </w:rPr>
        <w:t>7</w:t>
      </w:r>
      <w:r w:rsidRPr="00AA3A0A">
        <w:rPr>
          <w:rFonts w:cs="Times New Roman"/>
          <w:color w:val="auto"/>
          <w:lang w:val="en-GB"/>
        </w:rPr>
        <w:t>, 95% CI: 0.8</w:t>
      </w:r>
      <w:r w:rsidR="00C37459" w:rsidRPr="00AA3A0A">
        <w:rPr>
          <w:rFonts w:cs="Times New Roman"/>
          <w:color w:val="auto"/>
          <w:lang w:val="en-GB"/>
        </w:rPr>
        <w:t>5</w:t>
      </w:r>
      <w:r w:rsidRPr="00AA3A0A">
        <w:rPr>
          <w:rFonts w:cs="Times New Roman"/>
          <w:color w:val="auto"/>
          <w:lang w:val="en-GB"/>
        </w:rPr>
        <w:t>–2.8</w:t>
      </w:r>
      <w:r w:rsidR="00C37459" w:rsidRPr="00AA3A0A">
        <w:rPr>
          <w:rFonts w:cs="Times New Roman"/>
          <w:color w:val="auto"/>
          <w:lang w:val="en-GB"/>
        </w:rPr>
        <w:t>8</w:t>
      </w:r>
      <w:r w:rsidRPr="00AA3A0A">
        <w:rPr>
          <w:rFonts w:cs="Times New Roman"/>
          <w:color w:val="auto"/>
          <w:lang w:val="en-GB"/>
        </w:rPr>
        <w:t>, p=0.</w:t>
      </w:r>
      <w:r w:rsidR="00C37459" w:rsidRPr="00AA3A0A">
        <w:rPr>
          <w:rFonts w:cs="Times New Roman"/>
          <w:color w:val="auto"/>
          <w:lang w:val="en-GB"/>
        </w:rPr>
        <w:t>149</w:t>
      </w:r>
      <w:r w:rsidRPr="00AA3A0A">
        <w:rPr>
          <w:rFonts w:cs="Times New Roman"/>
          <w:color w:val="auto"/>
          <w:lang w:val="en-GB"/>
        </w:rPr>
        <w:t>; ≥60 years: aHR: 1.</w:t>
      </w:r>
      <w:r w:rsidR="00C37459" w:rsidRPr="00AA3A0A">
        <w:rPr>
          <w:rFonts w:cs="Times New Roman"/>
          <w:color w:val="auto"/>
          <w:lang w:val="en-GB"/>
        </w:rPr>
        <w:t>19</w:t>
      </w:r>
      <w:r w:rsidRPr="00AA3A0A">
        <w:rPr>
          <w:rFonts w:cs="Times New Roman"/>
          <w:color w:val="auto"/>
          <w:lang w:val="en-GB"/>
        </w:rPr>
        <w:t>, 95% CI: 0.9</w:t>
      </w:r>
      <w:r w:rsidR="00C37459" w:rsidRPr="00AA3A0A">
        <w:rPr>
          <w:rFonts w:cs="Times New Roman"/>
          <w:color w:val="auto"/>
          <w:lang w:val="en-GB"/>
        </w:rPr>
        <w:t>1</w:t>
      </w:r>
      <w:r w:rsidRPr="00AA3A0A">
        <w:rPr>
          <w:rFonts w:cs="Times New Roman"/>
          <w:color w:val="auto"/>
          <w:lang w:val="en-GB"/>
        </w:rPr>
        <w:t>–1.</w:t>
      </w:r>
      <w:r w:rsidR="00C37459" w:rsidRPr="00AA3A0A">
        <w:rPr>
          <w:rFonts w:cs="Times New Roman"/>
          <w:color w:val="auto"/>
          <w:lang w:val="en-GB"/>
        </w:rPr>
        <w:t>55</w:t>
      </w:r>
      <w:r w:rsidRPr="00AA3A0A">
        <w:rPr>
          <w:rFonts w:cs="Times New Roman"/>
          <w:color w:val="auto"/>
          <w:lang w:val="en-GB"/>
        </w:rPr>
        <w:t>, p=0.1</w:t>
      </w:r>
      <w:r w:rsidR="00C37459" w:rsidRPr="00AA3A0A">
        <w:rPr>
          <w:rFonts w:cs="Times New Roman"/>
          <w:color w:val="auto"/>
          <w:lang w:val="en-GB"/>
        </w:rPr>
        <w:t>98</w:t>
      </w:r>
      <w:r w:rsidRPr="00AA3A0A">
        <w:rPr>
          <w:rFonts w:cs="Times New Roman"/>
          <w:color w:val="auto"/>
          <w:lang w:val="en-GB"/>
        </w:rPr>
        <w:t>). No significant effect modification by age was detected (p=0.246).</w:t>
      </w:r>
    </w:p>
    <w:p w14:paraId="4C23DA51" w14:textId="77777777" w:rsidR="007B2D7F" w:rsidRPr="00AA3A0A" w:rsidRDefault="007B2D7F" w:rsidP="00AA3A0A">
      <w:pPr>
        <w:rPr>
          <w:rFonts w:cs="Times New Roman"/>
          <w:color w:val="auto"/>
          <w:lang w:val="en-GB"/>
        </w:rPr>
      </w:pPr>
    </w:p>
    <w:p w14:paraId="6056ADF6" w14:textId="22912528" w:rsidR="007B2D7F" w:rsidRPr="00AA3A0A" w:rsidRDefault="007B2D7F" w:rsidP="00AA3A0A">
      <w:pPr>
        <w:rPr>
          <w:rFonts w:cs="Times New Roman"/>
          <w:b/>
          <w:bCs/>
          <w:color w:val="auto"/>
          <w:lang w:val="en-GB"/>
        </w:rPr>
      </w:pPr>
      <w:r w:rsidRPr="00AA3A0A">
        <w:rPr>
          <w:rFonts w:cs="Times New Roman"/>
          <w:b/>
          <w:bCs/>
          <w:color w:val="auto"/>
          <w:lang w:val="en-GB"/>
        </w:rPr>
        <w:t>Diabetes:</w:t>
      </w:r>
      <w:r w:rsidRPr="00AA3A0A">
        <w:rPr>
          <w:rFonts w:cs="Times New Roman"/>
          <w:color w:val="auto"/>
          <w:lang w:val="en-GB"/>
        </w:rPr>
        <w:t xml:space="preserve"> Diabetes event rates were 0.7% </w:t>
      </w:r>
      <w:r w:rsidR="00917BBE" w:rsidRPr="00AA3A0A">
        <w:rPr>
          <w:rFonts w:cs="Times New Roman"/>
          <w:color w:val="auto"/>
          <w:lang w:val="en-GB"/>
        </w:rPr>
        <w:t xml:space="preserve">(44/6,668) </w:t>
      </w:r>
      <w:r w:rsidRPr="00AA3A0A">
        <w:rPr>
          <w:rFonts w:cs="Times New Roman"/>
          <w:color w:val="auto"/>
          <w:lang w:val="en-GB"/>
        </w:rPr>
        <w:t>in participants aged &lt;60 years and 1.3%</w:t>
      </w:r>
      <w:r w:rsidR="00917BBE" w:rsidRPr="00AA3A0A">
        <w:rPr>
          <w:rFonts w:cs="Times New Roman"/>
          <w:color w:val="auto"/>
          <w:lang w:val="en-GB"/>
        </w:rPr>
        <w:t xml:space="preserve"> (207/15,372)</w:t>
      </w:r>
      <w:r w:rsidRPr="00AA3A0A">
        <w:rPr>
          <w:rFonts w:cs="Times New Roman"/>
          <w:color w:val="auto"/>
          <w:lang w:val="en-GB"/>
        </w:rPr>
        <w:t xml:space="preserve"> in those aged ≥60 years. High VAT/SAT ratio was independently associated with incident diabetes in participants aged ≥60 years (aHR: 1.8</w:t>
      </w:r>
      <w:r w:rsidR="00C37459" w:rsidRPr="00AA3A0A">
        <w:rPr>
          <w:rFonts w:cs="Times New Roman"/>
          <w:color w:val="auto"/>
          <w:lang w:val="en-GB"/>
        </w:rPr>
        <w:t>2</w:t>
      </w:r>
      <w:r w:rsidRPr="00AA3A0A">
        <w:rPr>
          <w:rFonts w:cs="Times New Roman"/>
          <w:color w:val="auto"/>
          <w:lang w:val="en-GB"/>
        </w:rPr>
        <w:t>, 95% CI: 1.3</w:t>
      </w:r>
      <w:r w:rsidR="00C37459" w:rsidRPr="00AA3A0A">
        <w:rPr>
          <w:rFonts w:cs="Times New Roman"/>
          <w:color w:val="auto"/>
          <w:lang w:val="en-GB"/>
        </w:rPr>
        <w:t>3</w:t>
      </w:r>
      <w:r w:rsidRPr="00AA3A0A">
        <w:rPr>
          <w:rFonts w:cs="Times New Roman"/>
          <w:color w:val="auto"/>
          <w:lang w:val="en-GB"/>
        </w:rPr>
        <w:t>–2.</w:t>
      </w:r>
      <w:r w:rsidR="00C37459" w:rsidRPr="00AA3A0A">
        <w:rPr>
          <w:rFonts w:cs="Times New Roman"/>
          <w:color w:val="auto"/>
          <w:lang w:val="en-GB"/>
        </w:rPr>
        <w:t>48</w:t>
      </w:r>
      <w:r w:rsidRPr="00AA3A0A">
        <w:rPr>
          <w:rFonts w:cs="Times New Roman"/>
          <w:color w:val="auto"/>
          <w:lang w:val="en-GB"/>
        </w:rPr>
        <w:t>, p&lt;0.001), while no significant association was observed in those aged &lt;60 years (aHR: 1.4</w:t>
      </w:r>
      <w:r w:rsidR="00C37459" w:rsidRPr="00AA3A0A">
        <w:rPr>
          <w:rFonts w:cs="Times New Roman"/>
          <w:color w:val="auto"/>
          <w:lang w:val="en-GB"/>
        </w:rPr>
        <w:t>7</w:t>
      </w:r>
      <w:r w:rsidRPr="00AA3A0A">
        <w:rPr>
          <w:rFonts w:cs="Times New Roman"/>
          <w:color w:val="auto"/>
          <w:lang w:val="en-GB"/>
        </w:rPr>
        <w:t>, 95% CI: 0.7</w:t>
      </w:r>
      <w:r w:rsidR="00C37459" w:rsidRPr="00AA3A0A">
        <w:rPr>
          <w:rFonts w:cs="Times New Roman"/>
          <w:color w:val="auto"/>
          <w:lang w:val="en-GB"/>
        </w:rPr>
        <w:t>8</w:t>
      </w:r>
      <w:r w:rsidRPr="00AA3A0A">
        <w:rPr>
          <w:rFonts w:cs="Times New Roman"/>
          <w:color w:val="auto"/>
          <w:lang w:val="en-GB"/>
        </w:rPr>
        <w:t>–2.7</w:t>
      </w:r>
      <w:r w:rsidR="00C37459" w:rsidRPr="00AA3A0A">
        <w:rPr>
          <w:rFonts w:cs="Times New Roman"/>
          <w:color w:val="auto"/>
          <w:lang w:val="en-GB"/>
        </w:rPr>
        <w:t>8</w:t>
      </w:r>
      <w:r w:rsidRPr="00AA3A0A">
        <w:rPr>
          <w:rFonts w:cs="Times New Roman"/>
          <w:color w:val="auto"/>
          <w:lang w:val="en-GB"/>
        </w:rPr>
        <w:t>, p=0.2</w:t>
      </w:r>
      <w:r w:rsidR="00C37459" w:rsidRPr="00AA3A0A">
        <w:rPr>
          <w:rFonts w:cs="Times New Roman"/>
          <w:color w:val="auto"/>
          <w:lang w:val="en-GB"/>
        </w:rPr>
        <w:t>30</w:t>
      </w:r>
      <w:r w:rsidRPr="00AA3A0A">
        <w:rPr>
          <w:rFonts w:cs="Times New Roman"/>
          <w:color w:val="auto"/>
          <w:lang w:val="en-GB"/>
        </w:rPr>
        <w:t>). No significant effect modification by age was detected (p=0.537).</w:t>
      </w:r>
      <w:r w:rsidR="00DF2AAE" w:rsidRPr="00AA3A0A">
        <w:rPr>
          <w:rFonts w:cs="Times New Roman"/>
          <w:color w:val="auto"/>
          <w:lang w:val="en-GB"/>
        </w:rPr>
        <w:t xml:space="preserve"> Results are presented in </w:t>
      </w:r>
      <w:r w:rsidR="00DF2AAE" w:rsidRPr="00AA3A0A">
        <w:rPr>
          <w:rFonts w:cs="Times New Roman"/>
          <w:b/>
          <w:bCs/>
          <w:color w:val="auto"/>
          <w:lang w:val="en-GB"/>
        </w:rPr>
        <w:t>Supplemental Figure 4</w:t>
      </w:r>
      <w:r w:rsidR="00DF2AAE" w:rsidRPr="00AA3A0A">
        <w:rPr>
          <w:rFonts w:cs="Times New Roman"/>
          <w:color w:val="auto"/>
          <w:lang w:val="en-GB"/>
        </w:rPr>
        <w:t>.</w:t>
      </w:r>
      <w:r w:rsidRPr="00AA3A0A">
        <w:rPr>
          <w:rFonts w:cs="Times New Roman"/>
          <w:color w:val="auto"/>
          <w:lang w:val="en-GB"/>
        </w:rPr>
        <w:br/>
      </w:r>
      <w:r w:rsidRPr="00AA3A0A">
        <w:rPr>
          <w:rFonts w:cs="Times New Roman"/>
          <w:color w:val="auto"/>
          <w:lang w:val="en-GB"/>
        </w:rPr>
        <w:br/>
      </w:r>
      <w:r w:rsidRPr="00AA3A0A">
        <w:rPr>
          <w:b/>
          <w:bCs/>
          <w:color w:val="auto"/>
        </w:rPr>
        <w:t>Adjustment for race</w:t>
      </w:r>
    </w:p>
    <w:p w14:paraId="184925E5" w14:textId="77777777" w:rsidR="007B2D7F" w:rsidRPr="00AA3A0A" w:rsidRDefault="007B2D7F" w:rsidP="00AA3A0A">
      <w:pPr>
        <w:rPr>
          <w:rFonts w:cs="Times New Roman"/>
          <w:color w:val="auto"/>
          <w:lang w:val="en-GB"/>
        </w:rPr>
      </w:pPr>
    </w:p>
    <w:p w14:paraId="1D97B3D7" w14:textId="00B09494" w:rsidR="007B2D7F" w:rsidRPr="00AA3A0A" w:rsidRDefault="007B2D7F" w:rsidP="00AA3A0A">
      <w:pPr>
        <w:rPr>
          <w:rStyle w:val="Heading3Char"/>
          <w:color w:val="auto"/>
        </w:rPr>
      </w:pPr>
      <w:r w:rsidRPr="00AA3A0A">
        <w:rPr>
          <w:rFonts w:cs="Times New Roman"/>
          <w:color w:val="auto"/>
          <w:lang w:val="en-GB"/>
        </w:rPr>
        <w:t>Self-reported race was available for 21,980 of 22,040 participants (99.7%). After additional adjustment for race, high VAT/SAT ratio remained independently associated with both MACE (aHR: 1.30, 95% CI: 1.01–1.66, p=0.038) and incident diabetes (aHR: 1.80, 95% CI: 1.37–2.38, p&lt;0.001).</w:t>
      </w:r>
      <w:r w:rsidR="00DF2AAE" w:rsidRPr="00AA3A0A">
        <w:rPr>
          <w:rFonts w:cs="Times New Roman"/>
          <w:color w:val="auto"/>
          <w:lang w:val="en-GB"/>
        </w:rPr>
        <w:t xml:space="preserve"> Results are presented in </w:t>
      </w:r>
      <w:r w:rsidR="00DF2AAE" w:rsidRPr="00AA3A0A">
        <w:rPr>
          <w:rFonts w:cs="Times New Roman"/>
          <w:b/>
          <w:bCs/>
          <w:color w:val="auto"/>
          <w:lang w:val="en-GB"/>
        </w:rPr>
        <w:t>Supplemental Table 9</w:t>
      </w:r>
      <w:r w:rsidR="00DF2AAE" w:rsidRPr="00AA3A0A">
        <w:rPr>
          <w:rFonts w:cs="Times New Roman"/>
          <w:color w:val="auto"/>
          <w:lang w:val="en-GB"/>
        </w:rPr>
        <w:t>.</w:t>
      </w:r>
      <w:r w:rsidRPr="00AA3A0A">
        <w:rPr>
          <w:rFonts w:cs="Times New Roman"/>
          <w:color w:val="auto"/>
          <w:lang w:val="en-GB"/>
        </w:rPr>
        <w:br/>
      </w:r>
      <w:r w:rsidRPr="00AA3A0A">
        <w:rPr>
          <w:rFonts w:cs="Times New Roman"/>
          <w:color w:val="auto"/>
          <w:lang w:val="en-GB"/>
        </w:rPr>
        <w:br/>
      </w:r>
      <w:bookmarkStart w:id="16" w:name="_Hlk231987620"/>
      <w:r w:rsidRPr="00AA3A0A">
        <w:rPr>
          <w:b/>
          <w:bCs/>
          <w:color w:val="auto"/>
        </w:rPr>
        <w:t>Assessment of multicollinearity</w:t>
      </w:r>
    </w:p>
    <w:p w14:paraId="7E3082E4" w14:textId="77777777" w:rsidR="007B2D7F" w:rsidRPr="00AA3A0A" w:rsidRDefault="007B2D7F" w:rsidP="00AA3A0A">
      <w:pPr>
        <w:rPr>
          <w:rFonts w:cs="Times New Roman"/>
          <w:color w:val="auto"/>
          <w:lang w:val="en-GB"/>
        </w:rPr>
      </w:pPr>
    </w:p>
    <w:p w14:paraId="5552566D" w14:textId="7AF2BBCE" w:rsidR="00891ED9" w:rsidRPr="00AA3A0A" w:rsidRDefault="007B2D7F" w:rsidP="00AA3A0A">
      <w:pPr>
        <w:rPr>
          <w:rFonts w:cs="Times New Roman"/>
          <w:color w:val="auto"/>
          <w:lang w:val="en-GB"/>
        </w:rPr>
      </w:pPr>
      <w:r w:rsidRPr="00AA3A0A">
        <w:rPr>
          <w:rFonts w:cs="Times New Roman"/>
          <w:color w:val="auto"/>
          <w:lang w:val="en-GB"/>
        </w:rPr>
        <w:t xml:space="preserve">VIF values were below the threshold of </w:t>
      </w:r>
      <w:r w:rsidR="00F60C58" w:rsidRPr="00AA3A0A">
        <w:rPr>
          <w:rFonts w:cs="Times New Roman"/>
          <w:color w:val="auto"/>
          <w:lang w:val="en-GB"/>
        </w:rPr>
        <w:t>5</w:t>
      </w:r>
      <w:r w:rsidRPr="00AA3A0A">
        <w:rPr>
          <w:rFonts w:cs="Times New Roman"/>
          <w:color w:val="auto"/>
          <w:lang w:val="en-GB"/>
        </w:rPr>
        <w:t xml:space="preserve"> for all predictors in both the MACE and diabetes models, indicating no problematic multicollinearity. The highest VIF was observed for </w:t>
      </w:r>
      <w:r w:rsidR="00F60C58" w:rsidRPr="00AA3A0A">
        <w:rPr>
          <w:rFonts w:cs="Times New Roman"/>
          <w:color w:val="auto"/>
          <w:lang w:val="en-GB"/>
        </w:rPr>
        <w:t>WC</w:t>
      </w:r>
      <w:r w:rsidRPr="00AA3A0A">
        <w:rPr>
          <w:rFonts w:cs="Times New Roman"/>
          <w:color w:val="auto"/>
          <w:lang w:val="en-GB"/>
        </w:rPr>
        <w:t xml:space="preserve"> (MACE: 3.14; diabetes: 2.79), followed by BMI (MACE: 2.16; diabetes: 1.98), reflecting</w:t>
      </w:r>
      <w:r w:rsidR="00917BBE" w:rsidRPr="00AA3A0A">
        <w:rPr>
          <w:rFonts w:cs="Times New Roman"/>
          <w:color w:val="auto"/>
          <w:lang w:val="en-GB"/>
        </w:rPr>
        <w:t xml:space="preserve"> </w:t>
      </w:r>
      <w:r w:rsidRPr="00AA3A0A">
        <w:rPr>
          <w:rFonts w:cs="Times New Roman"/>
          <w:color w:val="auto"/>
          <w:lang w:val="en-GB"/>
        </w:rPr>
        <w:t>moderate correlation between these anthropometric measures. VIF values for VAT/SAT ratio were 1.19 and 1.13 for MACE and diabetes, respectively.</w:t>
      </w:r>
      <w:bookmarkEnd w:id="16"/>
      <w:r w:rsidRPr="00AA3A0A">
        <w:rPr>
          <w:rFonts w:cs="Times New Roman"/>
          <w:color w:val="auto"/>
          <w:lang w:val="en-GB"/>
        </w:rPr>
        <w:br/>
      </w:r>
    </w:p>
    <w:p w14:paraId="7E9C14F9" w14:textId="3E07F2BF" w:rsidR="009A466C" w:rsidRPr="00AA3A0A" w:rsidRDefault="007E04A7" w:rsidP="00AA3A0A">
      <w:pPr>
        <w:pStyle w:val="Heading2"/>
        <w:rPr>
          <w:rFonts w:cs="Times New Roman"/>
          <w:color w:val="auto"/>
          <w:szCs w:val="20"/>
          <w:lang w:val="en-GB"/>
        </w:rPr>
      </w:pPr>
      <w:bookmarkStart w:id="17" w:name="_Toc231931592"/>
      <w:r w:rsidRPr="00AA3A0A">
        <w:rPr>
          <w:rFonts w:cs="Times New Roman"/>
          <w:color w:val="auto"/>
          <w:szCs w:val="20"/>
          <w:lang w:val="en-GB"/>
        </w:rPr>
        <w:t>III</w:t>
      </w:r>
      <w:r w:rsidRPr="00AA3A0A">
        <w:rPr>
          <w:rFonts w:cs="Times New Roman"/>
          <w:color w:val="auto"/>
          <w:szCs w:val="20"/>
          <w:lang w:val="en-GB"/>
        </w:rPr>
        <w:tab/>
      </w:r>
      <w:r w:rsidR="009A466C" w:rsidRPr="00AA3A0A">
        <w:rPr>
          <w:rFonts w:cs="Times New Roman"/>
          <w:color w:val="auto"/>
          <w:szCs w:val="20"/>
          <w:lang w:val="en-GB"/>
        </w:rPr>
        <w:t>SUPPLEMENTAL TABLES</w:t>
      </w:r>
      <w:bookmarkEnd w:id="17"/>
    </w:p>
    <w:p w14:paraId="0275ABC5" w14:textId="77777777" w:rsidR="00432713" w:rsidRPr="00AA3A0A" w:rsidRDefault="00432713" w:rsidP="00AA3A0A">
      <w:pPr>
        <w:tabs>
          <w:tab w:val="left" w:pos="1505"/>
        </w:tabs>
        <w:rPr>
          <w:rFonts w:cs="Times New Roman"/>
          <w:color w:val="auto"/>
          <w:szCs w:val="20"/>
          <w:lang w:val="en-GB"/>
        </w:rPr>
      </w:pPr>
    </w:p>
    <w:p w14:paraId="315ED48C" w14:textId="09E4ED49" w:rsidR="00432713" w:rsidRPr="00AA3A0A" w:rsidRDefault="00432713" w:rsidP="00AA3A0A">
      <w:pPr>
        <w:rPr>
          <w:bCs/>
          <w:color w:val="auto"/>
        </w:rPr>
      </w:pPr>
      <w:r w:rsidRPr="00AA3A0A">
        <w:rPr>
          <w:b/>
          <w:bCs/>
          <w:color w:val="auto"/>
        </w:rPr>
        <w:t xml:space="preserve">Supplemental Table 1: Baseline characteristics stratified by VAT/SAT ratio in the NAKO </w:t>
      </w:r>
    </w:p>
    <w:tbl>
      <w:tblPr>
        <w:tblStyle w:val="TableGrid"/>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2473"/>
        <w:gridCol w:w="2473"/>
        <w:gridCol w:w="2473"/>
      </w:tblGrid>
      <w:tr w:rsidR="00AA3A0A" w:rsidRPr="00AA3A0A" w14:paraId="3995E9B2" w14:textId="77777777" w:rsidTr="00C522EA">
        <w:trPr>
          <w:trHeight w:val="567"/>
        </w:trPr>
        <w:tc>
          <w:tcPr>
            <w:tcW w:w="1647" w:type="dxa"/>
            <w:tcBorders>
              <w:top w:val="single" w:sz="4" w:space="0" w:color="auto"/>
              <w:bottom w:val="single" w:sz="4" w:space="0" w:color="auto"/>
            </w:tcBorders>
            <w:vAlign w:val="center"/>
          </w:tcPr>
          <w:p w14:paraId="1E0CBCD4" w14:textId="77777777" w:rsidR="00432713" w:rsidRPr="00AA3A0A" w:rsidRDefault="00432713" w:rsidP="00AA3A0A">
            <w:pPr>
              <w:rPr>
                <w:rFonts w:cs="Times New Roman"/>
                <w:color w:val="auto"/>
                <w:szCs w:val="20"/>
              </w:rPr>
            </w:pPr>
          </w:p>
        </w:tc>
        <w:tc>
          <w:tcPr>
            <w:tcW w:w="2473" w:type="dxa"/>
            <w:tcBorders>
              <w:top w:val="single" w:sz="4" w:space="0" w:color="auto"/>
              <w:bottom w:val="single" w:sz="4" w:space="0" w:color="auto"/>
            </w:tcBorders>
            <w:vAlign w:val="center"/>
          </w:tcPr>
          <w:p w14:paraId="4AF8689A" w14:textId="0382A2D9" w:rsidR="007C5F88" w:rsidRPr="00AA3A0A" w:rsidRDefault="00432713" w:rsidP="00AA3A0A">
            <w:pPr>
              <w:rPr>
                <w:rFonts w:cs="Times New Roman"/>
                <w:color w:val="auto"/>
                <w:szCs w:val="20"/>
              </w:rPr>
            </w:pPr>
            <w:r w:rsidRPr="00AA3A0A">
              <w:rPr>
                <w:rFonts w:cs="Times New Roman"/>
                <w:color w:val="auto"/>
                <w:szCs w:val="20"/>
              </w:rPr>
              <w:t>Overall</w:t>
            </w:r>
            <w:r w:rsidR="007C5F88" w:rsidRPr="00AA3A0A">
              <w:rPr>
                <w:rFonts w:cs="Times New Roman"/>
                <w:color w:val="auto"/>
                <w:szCs w:val="20"/>
              </w:rPr>
              <w:t xml:space="preserve"> </w:t>
            </w:r>
          </w:p>
          <w:p w14:paraId="5821F917" w14:textId="77777777" w:rsidR="00432713" w:rsidRPr="00AA3A0A" w:rsidRDefault="00432713" w:rsidP="00AA3A0A">
            <w:pPr>
              <w:rPr>
                <w:rFonts w:cs="Times New Roman"/>
                <w:color w:val="auto"/>
                <w:szCs w:val="20"/>
              </w:rPr>
            </w:pPr>
            <w:r w:rsidRPr="00AA3A0A">
              <w:rPr>
                <w:rFonts w:cs="Times New Roman"/>
                <w:color w:val="auto"/>
                <w:szCs w:val="20"/>
              </w:rPr>
              <w:t>(N=23,664)</w:t>
            </w:r>
          </w:p>
        </w:tc>
        <w:tc>
          <w:tcPr>
            <w:tcW w:w="2473" w:type="dxa"/>
            <w:tcBorders>
              <w:top w:val="single" w:sz="4" w:space="0" w:color="auto"/>
              <w:bottom w:val="single" w:sz="4" w:space="0" w:color="auto"/>
            </w:tcBorders>
            <w:vAlign w:val="center"/>
          </w:tcPr>
          <w:p w14:paraId="4D0533E8" w14:textId="77777777" w:rsidR="007C5F88" w:rsidRPr="00AA3A0A" w:rsidRDefault="007C5F88" w:rsidP="00AA3A0A">
            <w:pPr>
              <w:rPr>
                <w:rFonts w:cs="Times New Roman"/>
                <w:color w:val="auto"/>
                <w:szCs w:val="20"/>
              </w:rPr>
            </w:pPr>
            <w:r w:rsidRPr="00AA3A0A">
              <w:rPr>
                <w:rFonts w:cs="Times New Roman"/>
                <w:color w:val="auto"/>
                <w:szCs w:val="20"/>
              </w:rPr>
              <w:t xml:space="preserve">Low VAT/SAT </w:t>
            </w:r>
          </w:p>
          <w:p w14:paraId="6A284891" w14:textId="74B2916B" w:rsidR="00432713" w:rsidRPr="00AA3A0A" w:rsidRDefault="007C5F88" w:rsidP="00AA3A0A">
            <w:pPr>
              <w:rPr>
                <w:rFonts w:cs="Times New Roman"/>
                <w:color w:val="auto"/>
                <w:szCs w:val="20"/>
              </w:rPr>
            </w:pPr>
            <w:r w:rsidRPr="00AA3A0A">
              <w:rPr>
                <w:rFonts w:cs="Times New Roman"/>
                <w:color w:val="auto"/>
                <w:szCs w:val="20"/>
              </w:rPr>
              <w:t>(N=14,876)</w:t>
            </w:r>
          </w:p>
        </w:tc>
        <w:tc>
          <w:tcPr>
            <w:tcW w:w="2473" w:type="dxa"/>
            <w:tcBorders>
              <w:top w:val="single" w:sz="4" w:space="0" w:color="auto"/>
              <w:bottom w:val="single" w:sz="4" w:space="0" w:color="auto"/>
            </w:tcBorders>
            <w:vAlign w:val="center"/>
          </w:tcPr>
          <w:p w14:paraId="7AA339E7" w14:textId="77777777" w:rsidR="007C5F88" w:rsidRPr="00AA3A0A" w:rsidRDefault="007C5F88" w:rsidP="00AA3A0A">
            <w:pPr>
              <w:rPr>
                <w:rFonts w:cs="Times New Roman"/>
                <w:color w:val="auto"/>
                <w:szCs w:val="20"/>
              </w:rPr>
            </w:pPr>
            <w:r w:rsidRPr="00AA3A0A">
              <w:rPr>
                <w:rFonts w:cs="Times New Roman"/>
                <w:color w:val="auto"/>
                <w:szCs w:val="20"/>
              </w:rPr>
              <w:t>High VAT/SAT</w:t>
            </w:r>
          </w:p>
          <w:p w14:paraId="69FD6844" w14:textId="59D21B25" w:rsidR="00432713" w:rsidRPr="00AA3A0A" w:rsidRDefault="007C5F88" w:rsidP="00AA3A0A">
            <w:pPr>
              <w:rPr>
                <w:rFonts w:cs="Times New Roman"/>
                <w:color w:val="auto"/>
                <w:szCs w:val="20"/>
              </w:rPr>
            </w:pPr>
            <w:r w:rsidRPr="00AA3A0A">
              <w:rPr>
                <w:rFonts w:cs="Times New Roman"/>
                <w:color w:val="auto"/>
                <w:szCs w:val="20"/>
              </w:rPr>
              <w:t>(N=8,788)</w:t>
            </w:r>
          </w:p>
        </w:tc>
      </w:tr>
      <w:tr w:rsidR="00AA3A0A" w:rsidRPr="00AA3A0A" w14:paraId="7C96B5C6" w14:textId="77777777" w:rsidTr="00C522EA">
        <w:trPr>
          <w:trHeight w:val="567"/>
        </w:trPr>
        <w:tc>
          <w:tcPr>
            <w:tcW w:w="1647" w:type="dxa"/>
            <w:tcBorders>
              <w:top w:val="single" w:sz="4" w:space="0" w:color="auto"/>
            </w:tcBorders>
            <w:vAlign w:val="center"/>
          </w:tcPr>
          <w:p w14:paraId="47332835" w14:textId="77777777" w:rsidR="00432713" w:rsidRPr="00AA3A0A" w:rsidRDefault="00432713" w:rsidP="00AA3A0A">
            <w:pPr>
              <w:rPr>
                <w:rFonts w:cs="Times New Roman"/>
                <w:color w:val="auto"/>
                <w:szCs w:val="20"/>
              </w:rPr>
            </w:pPr>
            <w:r w:rsidRPr="00AA3A0A">
              <w:rPr>
                <w:rFonts w:cs="Times New Roman"/>
                <w:color w:val="auto"/>
                <w:szCs w:val="20"/>
              </w:rPr>
              <w:t>Age (Years)</w:t>
            </w:r>
          </w:p>
        </w:tc>
        <w:tc>
          <w:tcPr>
            <w:tcW w:w="2473" w:type="dxa"/>
            <w:tcBorders>
              <w:top w:val="single" w:sz="4" w:space="0" w:color="auto"/>
            </w:tcBorders>
            <w:vAlign w:val="center"/>
          </w:tcPr>
          <w:p w14:paraId="109A4B3B" w14:textId="77777777" w:rsidR="00432713" w:rsidRPr="00AA3A0A" w:rsidRDefault="00432713" w:rsidP="00AA3A0A">
            <w:pPr>
              <w:rPr>
                <w:rFonts w:cs="Times New Roman"/>
                <w:color w:val="auto"/>
                <w:szCs w:val="20"/>
              </w:rPr>
            </w:pPr>
            <w:r w:rsidRPr="00AA3A0A">
              <w:rPr>
                <w:rFonts w:cs="Times New Roman"/>
                <w:color w:val="auto"/>
                <w:szCs w:val="20"/>
              </w:rPr>
              <w:t xml:space="preserve">53.9 </w:t>
            </w:r>
            <w:r w:rsidRPr="00AA3A0A">
              <w:rPr>
                <w:rFonts w:cs="Times New Roman"/>
                <w:color w:val="auto"/>
                <w:szCs w:val="20"/>
              </w:rPr>
              <w:sym w:font="Symbol" w:char="F0B1"/>
            </w:r>
            <w:r w:rsidRPr="00AA3A0A">
              <w:rPr>
                <w:rFonts w:cs="Times New Roman"/>
                <w:color w:val="auto"/>
                <w:szCs w:val="20"/>
              </w:rPr>
              <w:t xml:space="preserve"> 8.2</w:t>
            </w:r>
          </w:p>
        </w:tc>
        <w:tc>
          <w:tcPr>
            <w:tcW w:w="2473" w:type="dxa"/>
            <w:tcBorders>
              <w:top w:val="single" w:sz="4" w:space="0" w:color="auto"/>
            </w:tcBorders>
            <w:vAlign w:val="center"/>
          </w:tcPr>
          <w:p w14:paraId="0A44BEF9" w14:textId="51CA8AC7" w:rsidR="00432713" w:rsidRPr="00AA3A0A" w:rsidRDefault="007C5F88" w:rsidP="00AA3A0A">
            <w:pPr>
              <w:rPr>
                <w:rFonts w:cs="Times New Roman"/>
                <w:color w:val="auto"/>
                <w:szCs w:val="20"/>
              </w:rPr>
            </w:pPr>
            <w:r w:rsidRPr="00AA3A0A">
              <w:rPr>
                <w:rFonts w:cs="Times New Roman"/>
                <w:color w:val="auto"/>
                <w:szCs w:val="20"/>
              </w:rPr>
              <w:t>52.0 ± 7.7</w:t>
            </w:r>
          </w:p>
        </w:tc>
        <w:tc>
          <w:tcPr>
            <w:tcW w:w="2473" w:type="dxa"/>
            <w:tcBorders>
              <w:top w:val="single" w:sz="4" w:space="0" w:color="auto"/>
            </w:tcBorders>
            <w:vAlign w:val="center"/>
          </w:tcPr>
          <w:p w14:paraId="0A5F1434" w14:textId="77777777" w:rsidR="00432713" w:rsidRPr="00AA3A0A" w:rsidRDefault="00432713" w:rsidP="00AA3A0A">
            <w:pPr>
              <w:rPr>
                <w:rFonts w:cs="Times New Roman"/>
                <w:color w:val="auto"/>
                <w:szCs w:val="20"/>
              </w:rPr>
            </w:pPr>
            <w:r w:rsidRPr="00AA3A0A">
              <w:rPr>
                <w:rFonts w:cs="Times New Roman"/>
                <w:color w:val="auto"/>
                <w:szCs w:val="20"/>
              </w:rPr>
              <w:t xml:space="preserve">53.8 </w:t>
            </w:r>
            <w:r w:rsidRPr="00AA3A0A">
              <w:rPr>
                <w:rFonts w:cs="Times New Roman"/>
                <w:color w:val="auto"/>
                <w:szCs w:val="20"/>
              </w:rPr>
              <w:sym w:font="Symbol" w:char="F0B1"/>
            </w:r>
            <w:r w:rsidRPr="00AA3A0A">
              <w:rPr>
                <w:rFonts w:cs="Times New Roman"/>
                <w:color w:val="auto"/>
                <w:szCs w:val="20"/>
              </w:rPr>
              <w:t xml:space="preserve"> 8.3</w:t>
            </w:r>
          </w:p>
        </w:tc>
      </w:tr>
      <w:tr w:rsidR="00AA3A0A" w:rsidRPr="00AA3A0A" w14:paraId="4A46F708" w14:textId="77777777" w:rsidTr="00C522EA">
        <w:trPr>
          <w:trHeight w:val="567"/>
        </w:trPr>
        <w:tc>
          <w:tcPr>
            <w:tcW w:w="1647" w:type="dxa"/>
            <w:vAlign w:val="center"/>
          </w:tcPr>
          <w:p w14:paraId="6A1785F8" w14:textId="0A6DF63C" w:rsidR="007C5F88" w:rsidRPr="00AA3A0A" w:rsidRDefault="007C5F88" w:rsidP="00AA3A0A">
            <w:pPr>
              <w:rPr>
                <w:rFonts w:cs="Times New Roman"/>
                <w:color w:val="auto"/>
                <w:szCs w:val="20"/>
              </w:rPr>
            </w:pPr>
            <w:r w:rsidRPr="00AA3A0A">
              <w:rPr>
                <w:rFonts w:cs="Times New Roman"/>
                <w:color w:val="auto"/>
                <w:szCs w:val="20"/>
              </w:rPr>
              <w:t>Female sex</w:t>
            </w:r>
          </w:p>
        </w:tc>
        <w:tc>
          <w:tcPr>
            <w:tcW w:w="2473" w:type="dxa"/>
            <w:vAlign w:val="center"/>
          </w:tcPr>
          <w:p w14:paraId="237B5ED3" w14:textId="5A52E6E0" w:rsidR="007C5F88" w:rsidRPr="00AA3A0A" w:rsidRDefault="007C5F88" w:rsidP="00AA3A0A">
            <w:pPr>
              <w:rPr>
                <w:rFonts w:cs="Times New Roman"/>
                <w:color w:val="auto"/>
                <w:szCs w:val="20"/>
              </w:rPr>
            </w:pPr>
            <w:r w:rsidRPr="00AA3A0A">
              <w:rPr>
                <w:rFonts w:cs="Times New Roman"/>
                <w:color w:val="auto"/>
                <w:szCs w:val="20"/>
              </w:rPr>
              <w:t>10626 (44.9%)</w:t>
            </w:r>
          </w:p>
        </w:tc>
        <w:tc>
          <w:tcPr>
            <w:tcW w:w="2473" w:type="dxa"/>
            <w:vAlign w:val="center"/>
          </w:tcPr>
          <w:p w14:paraId="4EF1956D" w14:textId="34A2F75F" w:rsidR="007C5F88" w:rsidRPr="00AA3A0A" w:rsidRDefault="007C5F88" w:rsidP="00AA3A0A">
            <w:pPr>
              <w:rPr>
                <w:rFonts w:cs="Times New Roman"/>
                <w:color w:val="auto"/>
                <w:szCs w:val="20"/>
              </w:rPr>
            </w:pPr>
            <w:r w:rsidRPr="00AA3A0A">
              <w:rPr>
                <w:rFonts w:cs="Times New Roman"/>
                <w:color w:val="auto"/>
                <w:szCs w:val="20"/>
              </w:rPr>
              <w:t>7616 (51.2%)</w:t>
            </w:r>
          </w:p>
        </w:tc>
        <w:tc>
          <w:tcPr>
            <w:tcW w:w="2473" w:type="dxa"/>
            <w:vAlign w:val="center"/>
          </w:tcPr>
          <w:p w14:paraId="24FE4918" w14:textId="2BAAD4E2" w:rsidR="007C5F88" w:rsidRPr="00AA3A0A" w:rsidRDefault="007C5F88" w:rsidP="00AA3A0A">
            <w:pPr>
              <w:rPr>
                <w:rFonts w:cs="Times New Roman"/>
                <w:color w:val="auto"/>
                <w:szCs w:val="20"/>
              </w:rPr>
            </w:pPr>
            <w:r w:rsidRPr="00AA3A0A">
              <w:rPr>
                <w:rFonts w:cs="Times New Roman"/>
                <w:color w:val="auto"/>
                <w:szCs w:val="20"/>
              </w:rPr>
              <w:t>3010 (34.3%)</w:t>
            </w:r>
          </w:p>
        </w:tc>
      </w:tr>
      <w:tr w:rsidR="00AA3A0A" w:rsidRPr="00AA3A0A" w14:paraId="691165F7" w14:textId="77777777" w:rsidTr="00C522EA">
        <w:trPr>
          <w:trHeight w:val="567"/>
        </w:trPr>
        <w:tc>
          <w:tcPr>
            <w:tcW w:w="1647" w:type="dxa"/>
            <w:vAlign w:val="center"/>
          </w:tcPr>
          <w:p w14:paraId="3CC8778C" w14:textId="77777777" w:rsidR="00432713" w:rsidRPr="00AA3A0A" w:rsidRDefault="00432713" w:rsidP="00AA3A0A">
            <w:pPr>
              <w:rPr>
                <w:rFonts w:cs="Times New Roman"/>
                <w:color w:val="auto"/>
                <w:szCs w:val="20"/>
              </w:rPr>
            </w:pPr>
            <w:r w:rsidRPr="00AA3A0A">
              <w:rPr>
                <w:rFonts w:cs="Times New Roman"/>
                <w:color w:val="auto"/>
                <w:szCs w:val="20"/>
              </w:rPr>
              <w:t>BMI (kg/m</w:t>
            </w:r>
            <w:r w:rsidRPr="00AA3A0A">
              <w:rPr>
                <w:rFonts w:cs="Times New Roman"/>
                <w:color w:val="auto"/>
                <w:szCs w:val="20"/>
                <w:vertAlign w:val="superscript"/>
              </w:rPr>
              <w:t>2</w:t>
            </w:r>
            <w:r w:rsidRPr="00AA3A0A">
              <w:rPr>
                <w:rFonts w:cs="Times New Roman"/>
                <w:color w:val="auto"/>
                <w:szCs w:val="20"/>
              </w:rPr>
              <w:t>)</w:t>
            </w:r>
          </w:p>
        </w:tc>
        <w:tc>
          <w:tcPr>
            <w:tcW w:w="2473" w:type="dxa"/>
            <w:vAlign w:val="center"/>
          </w:tcPr>
          <w:p w14:paraId="719F1132" w14:textId="77777777" w:rsidR="00432713" w:rsidRPr="00AA3A0A" w:rsidRDefault="00432713" w:rsidP="00AA3A0A">
            <w:pPr>
              <w:rPr>
                <w:rFonts w:cs="Times New Roman"/>
                <w:color w:val="auto"/>
                <w:szCs w:val="20"/>
              </w:rPr>
            </w:pPr>
            <w:r w:rsidRPr="00AA3A0A">
              <w:rPr>
                <w:rFonts w:cs="Times New Roman"/>
                <w:color w:val="auto"/>
                <w:szCs w:val="20"/>
              </w:rPr>
              <w:t xml:space="preserve">27.0 </w:t>
            </w:r>
            <w:r w:rsidRPr="00AA3A0A">
              <w:rPr>
                <w:rFonts w:cs="Times New Roman"/>
                <w:color w:val="auto"/>
                <w:szCs w:val="20"/>
              </w:rPr>
              <w:sym w:font="Symbol" w:char="F0B1"/>
            </w:r>
            <w:r w:rsidRPr="00AA3A0A">
              <w:rPr>
                <w:rFonts w:cs="Times New Roman"/>
                <w:color w:val="auto"/>
                <w:szCs w:val="20"/>
              </w:rPr>
              <w:t xml:space="preserve"> 4.7 </w:t>
            </w:r>
          </w:p>
        </w:tc>
        <w:tc>
          <w:tcPr>
            <w:tcW w:w="2473" w:type="dxa"/>
            <w:vAlign w:val="center"/>
          </w:tcPr>
          <w:p w14:paraId="7E63951C" w14:textId="2BE932BC" w:rsidR="00432713" w:rsidRPr="00AA3A0A" w:rsidRDefault="007C5F88" w:rsidP="00AA3A0A">
            <w:pPr>
              <w:rPr>
                <w:rFonts w:cs="Times New Roman"/>
                <w:color w:val="auto"/>
                <w:szCs w:val="20"/>
              </w:rPr>
            </w:pPr>
            <w:r w:rsidRPr="00AA3A0A">
              <w:rPr>
                <w:rFonts w:cs="Times New Roman"/>
                <w:color w:val="auto"/>
                <w:szCs w:val="20"/>
              </w:rPr>
              <w:t>26.3 ± 4.9</w:t>
            </w:r>
          </w:p>
        </w:tc>
        <w:tc>
          <w:tcPr>
            <w:tcW w:w="2473" w:type="dxa"/>
            <w:vAlign w:val="center"/>
          </w:tcPr>
          <w:p w14:paraId="4D5C4D61" w14:textId="47CE0213" w:rsidR="00432713" w:rsidRPr="00AA3A0A" w:rsidRDefault="007C5F88" w:rsidP="00AA3A0A">
            <w:pPr>
              <w:rPr>
                <w:rFonts w:cs="Times New Roman"/>
                <w:color w:val="auto"/>
                <w:szCs w:val="20"/>
              </w:rPr>
            </w:pPr>
            <w:r w:rsidRPr="00AA3A0A">
              <w:rPr>
                <w:rFonts w:cs="Times New Roman"/>
                <w:color w:val="auto"/>
                <w:szCs w:val="20"/>
              </w:rPr>
              <w:t>28.1 ± 4.1</w:t>
            </w:r>
          </w:p>
        </w:tc>
      </w:tr>
      <w:tr w:rsidR="00AA3A0A" w:rsidRPr="00AA3A0A" w14:paraId="5F890B1B" w14:textId="77777777" w:rsidTr="0047267B">
        <w:trPr>
          <w:trHeight w:val="567"/>
        </w:trPr>
        <w:tc>
          <w:tcPr>
            <w:tcW w:w="1647" w:type="dxa"/>
            <w:vAlign w:val="center"/>
          </w:tcPr>
          <w:p w14:paraId="4A0BA2A9" w14:textId="34B57A30" w:rsidR="007C5F88" w:rsidRPr="00AA3A0A" w:rsidRDefault="007C5F88" w:rsidP="00AA3A0A">
            <w:pPr>
              <w:rPr>
                <w:rFonts w:cs="Times New Roman"/>
                <w:color w:val="auto"/>
                <w:szCs w:val="20"/>
              </w:rPr>
            </w:pPr>
            <w:r w:rsidRPr="00AA3A0A">
              <w:rPr>
                <w:rFonts w:cs="Times New Roman"/>
                <w:color w:val="auto"/>
                <w:szCs w:val="20"/>
              </w:rPr>
              <w:t>WC (cm)</w:t>
            </w:r>
          </w:p>
        </w:tc>
        <w:tc>
          <w:tcPr>
            <w:tcW w:w="2473" w:type="dxa"/>
            <w:vAlign w:val="center"/>
          </w:tcPr>
          <w:p w14:paraId="3B6C0583" w14:textId="57E272BB" w:rsidR="007C5F88" w:rsidRPr="00AA3A0A" w:rsidRDefault="007C5F88" w:rsidP="00AA3A0A">
            <w:pPr>
              <w:rPr>
                <w:rFonts w:cs="Times New Roman"/>
                <w:color w:val="auto"/>
                <w:szCs w:val="20"/>
              </w:rPr>
            </w:pPr>
            <w:r w:rsidRPr="00AA3A0A">
              <w:rPr>
                <w:rFonts w:cs="Times New Roman"/>
                <w:color w:val="auto"/>
                <w:szCs w:val="20"/>
              </w:rPr>
              <w:t>92.7 ± 13.5</w:t>
            </w:r>
          </w:p>
        </w:tc>
        <w:tc>
          <w:tcPr>
            <w:tcW w:w="2473" w:type="dxa"/>
            <w:vAlign w:val="center"/>
          </w:tcPr>
          <w:p w14:paraId="3A1C3D72" w14:textId="156F811F" w:rsidR="007C5F88" w:rsidRPr="00AA3A0A" w:rsidRDefault="007C5F88" w:rsidP="00AA3A0A">
            <w:pPr>
              <w:rPr>
                <w:rFonts w:cs="Times New Roman"/>
                <w:color w:val="auto"/>
                <w:szCs w:val="20"/>
              </w:rPr>
            </w:pPr>
            <w:r w:rsidRPr="00AA3A0A">
              <w:rPr>
                <w:rFonts w:cs="Times New Roman"/>
                <w:color w:val="auto"/>
                <w:szCs w:val="20"/>
              </w:rPr>
              <w:t>89.5 ± 13.7</w:t>
            </w:r>
          </w:p>
        </w:tc>
        <w:tc>
          <w:tcPr>
            <w:tcW w:w="2473" w:type="dxa"/>
            <w:vAlign w:val="center"/>
          </w:tcPr>
          <w:p w14:paraId="686E037F" w14:textId="43743CC2" w:rsidR="007C5F88" w:rsidRPr="00AA3A0A" w:rsidRDefault="007C5F88" w:rsidP="00AA3A0A">
            <w:pPr>
              <w:rPr>
                <w:rFonts w:cs="Times New Roman"/>
                <w:color w:val="auto"/>
                <w:szCs w:val="20"/>
              </w:rPr>
            </w:pPr>
            <w:r w:rsidRPr="00AA3A0A">
              <w:rPr>
                <w:rFonts w:cs="Times New Roman"/>
                <w:color w:val="auto"/>
                <w:szCs w:val="20"/>
              </w:rPr>
              <w:t>98.2 ± 11.1</w:t>
            </w:r>
          </w:p>
        </w:tc>
      </w:tr>
      <w:tr w:rsidR="00AA3A0A" w:rsidRPr="00AA3A0A" w14:paraId="4C4807C5" w14:textId="77777777" w:rsidTr="0047267B">
        <w:trPr>
          <w:trHeight w:val="567"/>
        </w:trPr>
        <w:tc>
          <w:tcPr>
            <w:tcW w:w="1647" w:type="dxa"/>
            <w:vAlign w:val="center"/>
          </w:tcPr>
          <w:p w14:paraId="4266317B" w14:textId="1EBBA686" w:rsidR="007C5F88" w:rsidRPr="00AA3A0A" w:rsidRDefault="007C5F88" w:rsidP="00AA3A0A">
            <w:pPr>
              <w:rPr>
                <w:rFonts w:cs="Times New Roman"/>
                <w:color w:val="auto"/>
                <w:szCs w:val="20"/>
              </w:rPr>
            </w:pPr>
            <w:r w:rsidRPr="00AA3A0A">
              <w:rPr>
                <w:rFonts w:cs="Times New Roman"/>
                <w:color w:val="auto"/>
                <w:szCs w:val="20"/>
              </w:rPr>
              <w:t>Current/former smoker</w:t>
            </w:r>
          </w:p>
        </w:tc>
        <w:tc>
          <w:tcPr>
            <w:tcW w:w="2473" w:type="dxa"/>
            <w:vAlign w:val="center"/>
          </w:tcPr>
          <w:p w14:paraId="658503FD" w14:textId="6DD72B7A" w:rsidR="007C5F88" w:rsidRPr="00AA3A0A" w:rsidRDefault="007C5F88" w:rsidP="00AA3A0A">
            <w:pPr>
              <w:rPr>
                <w:rFonts w:cs="Times New Roman"/>
                <w:color w:val="auto"/>
                <w:szCs w:val="20"/>
              </w:rPr>
            </w:pPr>
            <w:r w:rsidRPr="00AA3A0A">
              <w:rPr>
                <w:rFonts w:cs="Times New Roman"/>
                <w:color w:val="auto"/>
                <w:szCs w:val="20"/>
              </w:rPr>
              <w:t>11995 (50.7%)</w:t>
            </w:r>
          </w:p>
        </w:tc>
        <w:tc>
          <w:tcPr>
            <w:tcW w:w="2473" w:type="dxa"/>
            <w:vAlign w:val="center"/>
          </w:tcPr>
          <w:p w14:paraId="3AF6E59D" w14:textId="67695EE9" w:rsidR="007C5F88" w:rsidRPr="00AA3A0A" w:rsidRDefault="007C5F88" w:rsidP="00AA3A0A">
            <w:pPr>
              <w:rPr>
                <w:rFonts w:cs="Times New Roman"/>
                <w:color w:val="auto"/>
                <w:szCs w:val="20"/>
              </w:rPr>
            </w:pPr>
            <w:r w:rsidRPr="00AA3A0A">
              <w:rPr>
                <w:rFonts w:cs="Times New Roman"/>
                <w:color w:val="auto"/>
                <w:szCs w:val="20"/>
              </w:rPr>
              <w:t>7241 (48.7%)</w:t>
            </w:r>
          </w:p>
        </w:tc>
        <w:tc>
          <w:tcPr>
            <w:tcW w:w="2473" w:type="dxa"/>
            <w:vAlign w:val="center"/>
          </w:tcPr>
          <w:p w14:paraId="2CD396AC" w14:textId="3D582DC5" w:rsidR="007C5F88" w:rsidRPr="00AA3A0A" w:rsidRDefault="007C5F88" w:rsidP="00AA3A0A">
            <w:pPr>
              <w:rPr>
                <w:rFonts w:cs="Times New Roman"/>
                <w:color w:val="auto"/>
                <w:szCs w:val="20"/>
              </w:rPr>
            </w:pPr>
            <w:r w:rsidRPr="00AA3A0A">
              <w:rPr>
                <w:rFonts w:cs="Times New Roman"/>
                <w:color w:val="auto"/>
                <w:szCs w:val="20"/>
              </w:rPr>
              <w:t>4754 (54.1%)</w:t>
            </w:r>
          </w:p>
        </w:tc>
      </w:tr>
      <w:tr w:rsidR="00AA3A0A" w:rsidRPr="00AA3A0A" w14:paraId="605F633E" w14:textId="77777777" w:rsidTr="0047267B">
        <w:trPr>
          <w:trHeight w:val="567"/>
        </w:trPr>
        <w:tc>
          <w:tcPr>
            <w:tcW w:w="1647" w:type="dxa"/>
            <w:vAlign w:val="center"/>
          </w:tcPr>
          <w:p w14:paraId="5B81ABDD" w14:textId="77777777" w:rsidR="00432713" w:rsidRPr="00AA3A0A" w:rsidRDefault="00432713" w:rsidP="00AA3A0A">
            <w:pPr>
              <w:rPr>
                <w:rFonts w:cs="Times New Roman"/>
                <w:color w:val="auto"/>
                <w:szCs w:val="20"/>
              </w:rPr>
            </w:pPr>
            <w:r w:rsidRPr="00AA3A0A">
              <w:rPr>
                <w:rFonts w:cs="Times New Roman"/>
                <w:color w:val="auto"/>
                <w:szCs w:val="20"/>
              </w:rPr>
              <w:lastRenderedPageBreak/>
              <w:t>SAT (dm</w:t>
            </w:r>
            <w:r w:rsidRPr="00AA3A0A">
              <w:rPr>
                <w:rFonts w:cs="Times New Roman"/>
                <w:color w:val="auto"/>
                <w:szCs w:val="20"/>
                <w:vertAlign w:val="superscript"/>
              </w:rPr>
              <w:t>3</w:t>
            </w:r>
            <w:r w:rsidRPr="00AA3A0A">
              <w:rPr>
                <w:rFonts w:cs="Times New Roman"/>
                <w:color w:val="auto"/>
                <w:szCs w:val="20"/>
              </w:rPr>
              <w:t>)</w:t>
            </w:r>
          </w:p>
        </w:tc>
        <w:tc>
          <w:tcPr>
            <w:tcW w:w="2473" w:type="dxa"/>
            <w:vAlign w:val="center"/>
          </w:tcPr>
          <w:p w14:paraId="18AB3626" w14:textId="77777777" w:rsidR="00432713" w:rsidRPr="00AA3A0A" w:rsidRDefault="00432713" w:rsidP="00AA3A0A">
            <w:pPr>
              <w:rPr>
                <w:rFonts w:cs="Times New Roman"/>
                <w:color w:val="auto"/>
                <w:szCs w:val="20"/>
              </w:rPr>
            </w:pPr>
            <w:r w:rsidRPr="00AA3A0A">
              <w:rPr>
                <w:rFonts w:cs="Times New Roman"/>
                <w:color w:val="auto"/>
                <w:szCs w:val="20"/>
                <w:shd w:val="clear" w:color="auto" w:fill="FFFFFF"/>
              </w:rPr>
              <w:t>14.41 (IQR 10.95-19.09)</w:t>
            </w:r>
          </w:p>
        </w:tc>
        <w:tc>
          <w:tcPr>
            <w:tcW w:w="2473" w:type="dxa"/>
            <w:vAlign w:val="center"/>
          </w:tcPr>
          <w:p w14:paraId="7B4902C1" w14:textId="4532615A" w:rsidR="00432713" w:rsidRPr="00AA3A0A" w:rsidRDefault="007C5F88" w:rsidP="00AA3A0A">
            <w:pPr>
              <w:rPr>
                <w:rFonts w:cs="Times New Roman"/>
                <w:color w:val="auto"/>
                <w:szCs w:val="20"/>
              </w:rPr>
            </w:pPr>
            <w:r w:rsidRPr="00AA3A0A">
              <w:rPr>
                <w:rFonts w:cs="Times New Roman"/>
                <w:color w:val="auto"/>
                <w:szCs w:val="20"/>
                <w:shd w:val="clear" w:color="auto" w:fill="FFFFFF"/>
              </w:rPr>
              <w:t>14.24 (IQR 10.57-19.12)</w:t>
            </w:r>
          </w:p>
        </w:tc>
        <w:tc>
          <w:tcPr>
            <w:tcW w:w="2473" w:type="dxa"/>
            <w:vAlign w:val="center"/>
          </w:tcPr>
          <w:p w14:paraId="3AFB93BC" w14:textId="38CD9A5B" w:rsidR="00432713" w:rsidRPr="00AA3A0A" w:rsidRDefault="007C5F88" w:rsidP="00AA3A0A">
            <w:pPr>
              <w:rPr>
                <w:rFonts w:cs="Times New Roman"/>
                <w:color w:val="auto"/>
                <w:szCs w:val="20"/>
              </w:rPr>
            </w:pPr>
            <w:r w:rsidRPr="00AA3A0A">
              <w:rPr>
                <w:rFonts w:cs="Times New Roman"/>
                <w:color w:val="auto"/>
                <w:szCs w:val="20"/>
                <w:shd w:val="clear" w:color="auto" w:fill="FFFFFF"/>
              </w:rPr>
              <w:t>14.68 (IQR 11.55-19.03)</w:t>
            </w:r>
          </w:p>
        </w:tc>
      </w:tr>
      <w:tr w:rsidR="00AA3A0A" w:rsidRPr="00AA3A0A" w14:paraId="65E932C1" w14:textId="77777777" w:rsidTr="0047267B">
        <w:trPr>
          <w:trHeight w:val="567"/>
        </w:trPr>
        <w:tc>
          <w:tcPr>
            <w:tcW w:w="1647" w:type="dxa"/>
            <w:vAlign w:val="center"/>
          </w:tcPr>
          <w:p w14:paraId="466F3A75" w14:textId="77777777" w:rsidR="00432713" w:rsidRPr="00AA3A0A" w:rsidRDefault="00432713" w:rsidP="00AA3A0A">
            <w:pPr>
              <w:rPr>
                <w:rFonts w:cs="Times New Roman"/>
                <w:color w:val="auto"/>
                <w:szCs w:val="20"/>
              </w:rPr>
            </w:pPr>
            <w:r w:rsidRPr="00AA3A0A">
              <w:rPr>
                <w:rFonts w:cs="Times New Roman"/>
                <w:color w:val="auto"/>
                <w:szCs w:val="20"/>
              </w:rPr>
              <w:t>VAT (dm</w:t>
            </w:r>
            <w:r w:rsidRPr="00AA3A0A">
              <w:rPr>
                <w:rFonts w:cs="Times New Roman"/>
                <w:color w:val="auto"/>
                <w:szCs w:val="20"/>
                <w:vertAlign w:val="superscript"/>
              </w:rPr>
              <w:t>3</w:t>
            </w:r>
            <w:r w:rsidRPr="00AA3A0A">
              <w:rPr>
                <w:rFonts w:cs="Times New Roman"/>
                <w:color w:val="auto"/>
                <w:szCs w:val="20"/>
              </w:rPr>
              <w:t>)</w:t>
            </w:r>
          </w:p>
        </w:tc>
        <w:tc>
          <w:tcPr>
            <w:tcW w:w="2473" w:type="dxa"/>
            <w:vAlign w:val="center"/>
          </w:tcPr>
          <w:p w14:paraId="34227ACA" w14:textId="77777777" w:rsidR="00432713" w:rsidRPr="00AA3A0A" w:rsidRDefault="00432713" w:rsidP="00AA3A0A">
            <w:pPr>
              <w:rPr>
                <w:rFonts w:cs="Times New Roman"/>
                <w:color w:val="auto"/>
                <w:szCs w:val="20"/>
              </w:rPr>
            </w:pPr>
            <w:r w:rsidRPr="00AA3A0A">
              <w:rPr>
                <w:rFonts w:cs="Times New Roman"/>
                <w:color w:val="auto"/>
                <w:szCs w:val="20"/>
                <w:shd w:val="clear" w:color="auto" w:fill="FFFFFF"/>
              </w:rPr>
              <w:t>3.35 (IQR 1.82-5.15)</w:t>
            </w:r>
          </w:p>
        </w:tc>
        <w:tc>
          <w:tcPr>
            <w:tcW w:w="2473" w:type="dxa"/>
            <w:vAlign w:val="center"/>
          </w:tcPr>
          <w:p w14:paraId="29CD5A85" w14:textId="42A754AC" w:rsidR="00432713" w:rsidRPr="00AA3A0A" w:rsidRDefault="007C5F88" w:rsidP="00AA3A0A">
            <w:pPr>
              <w:rPr>
                <w:rFonts w:cs="Times New Roman"/>
                <w:color w:val="auto"/>
                <w:szCs w:val="20"/>
              </w:rPr>
            </w:pPr>
            <w:r w:rsidRPr="00AA3A0A">
              <w:rPr>
                <w:rFonts w:cs="Times New Roman"/>
                <w:color w:val="auto"/>
                <w:szCs w:val="20"/>
                <w:shd w:val="clear" w:color="auto" w:fill="FFFFFF"/>
              </w:rPr>
              <w:t>2.27 (IQR 1.30-3.71)</w:t>
            </w:r>
          </w:p>
        </w:tc>
        <w:tc>
          <w:tcPr>
            <w:tcW w:w="2473" w:type="dxa"/>
            <w:vAlign w:val="center"/>
          </w:tcPr>
          <w:p w14:paraId="46167091" w14:textId="3F7FA7BA" w:rsidR="00432713" w:rsidRPr="00AA3A0A" w:rsidRDefault="007C5F88" w:rsidP="00AA3A0A">
            <w:pPr>
              <w:rPr>
                <w:rFonts w:cs="Times New Roman"/>
                <w:color w:val="auto"/>
                <w:szCs w:val="20"/>
              </w:rPr>
            </w:pPr>
            <w:r w:rsidRPr="00AA3A0A">
              <w:rPr>
                <w:rFonts w:cs="Times New Roman"/>
                <w:color w:val="auto"/>
                <w:szCs w:val="20"/>
                <w:shd w:val="clear" w:color="auto" w:fill="FFFFFF"/>
              </w:rPr>
              <w:t>5.08 (IQR 3.84-6.53)</w:t>
            </w:r>
          </w:p>
        </w:tc>
      </w:tr>
      <w:tr w:rsidR="00AA3A0A" w:rsidRPr="00AA3A0A" w14:paraId="13AD6262" w14:textId="77777777" w:rsidTr="0047267B">
        <w:trPr>
          <w:trHeight w:val="567"/>
        </w:trPr>
        <w:tc>
          <w:tcPr>
            <w:tcW w:w="1647" w:type="dxa"/>
            <w:vAlign w:val="center"/>
          </w:tcPr>
          <w:p w14:paraId="3E4D0C47" w14:textId="77777777" w:rsidR="00432713" w:rsidRPr="00AA3A0A" w:rsidRDefault="00432713" w:rsidP="00AA3A0A">
            <w:pPr>
              <w:rPr>
                <w:rFonts w:cs="Times New Roman"/>
                <w:color w:val="auto"/>
                <w:szCs w:val="20"/>
              </w:rPr>
            </w:pPr>
            <w:r w:rsidRPr="00AA3A0A">
              <w:rPr>
                <w:rFonts w:cs="Times New Roman"/>
                <w:color w:val="auto"/>
                <w:szCs w:val="20"/>
              </w:rPr>
              <w:t>VAT/SAT ratio</w:t>
            </w:r>
          </w:p>
        </w:tc>
        <w:tc>
          <w:tcPr>
            <w:tcW w:w="2473" w:type="dxa"/>
            <w:vAlign w:val="center"/>
          </w:tcPr>
          <w:p w14:paraId="2CDCC46E" w14:textId="77777777" w:rsidR="00432713" w:rsidRPr="00AA3A0A" w:rsidRDefault="00432713" w:rsidP="00AA3A0A">
            <w:pPr>
              <w:rPr>
                <w:rFonts w:cs="Times New Roman"/>
                <w:color w:val="auto"/>
                <w:szCs w:val="20"/>
              </w:rPr>
            </w:pPr>
            <w:r w:rsidRPr="00AA3A0A">
              <w:rPr>
                <w:rFonts w:cs="Times New Roman"/>
                <w:color w:val="auto"/>
                <w:szCs w:val="20"/>
                <w:shd w:val="clear" w:color="auto" w:fill="FFFFFF"/>
              </w:rPr>
              <w:t>0.223 (IQR 0.122-0.347)</w:t>
            </w:r>
          </w:p>
        </w:tc>
        <w:tc>
          <w:tcPr>
            <w:tcW w:w="2473" w:type="dxa"/>
            <w:vAlign w:val="center"/>
          </w:tcPr>
          <w:p w14:paraId="2C687220" w14:textId="1F526F20" w:rsidR="00432713" w:rsidRPr="00AA3A0A" w:rsidRDefault="007C5F88" w:rsidP="00AA3A0A">
            <w:pPr>
              <w:rPr>
                <w:rFonts w:cs="Times New Roman"/>
                <w:color w:val="auto"/>
                <w:szCs w:val="20"/>
              </w:rPr>
            </w:pPr>
            <w:r w:rsidRPr="00AA3A0A">
              <w:rPr>
                <w:rFonts w:cs="Times New Roman"/>
                <w:color w:val="auto"/>
                <w:szCs w:val="20"/>
                <w:shd w:val="clear" w:color="auto" w:fill="FFFFFF"/>
              </w:rPr>
              <w:t>0.143 (IQR 0.095-0.269)</w:t>
            </w:r>
          </w:p>
        </w:tc>
        <w:tc>
          <w:tcPr>
            <w:tcW w:w="2473" w:type="dxa"/>
            <w:vAlign w:val="center"/>
          </w:tcPr>
          <w:p w14:paraId="3DEEF803" w14:textId="387DEF53" w:rsidR="00432713" w:rsidRPr="00AA3A0A" w:rsidRDefault="007C5F88" w:rsidP="00AA3A0A">
            <w:pPr>
              <w:rPr>
                <w:rFonts w:cs="Times New Roman"/>
                <w:color w:val="auto"/>
                <w:szCs w:val="20"/>
              </w:rPr>
            </w:pPr>
            <w:r w:rsidRPr="00AA3A0A">
              <w:rPr>
                <w:rFonts w:cs="Times New Roman"/>
                <w:color w:val="auto"/>
                <w:szCs w:val="20"/>
                <w:shd w:val="clear" w:color="auto" w:fill="FFFFFF"/>
              </w:rPr>
              <w:t>0.383 (IQR 0.210-0.454)</w:t>
            </w:r>
          </w:p>
        </w:tc>
      </w:tr>
      <w:tr w:rsidR="00AA3A0A" w:rsidRPr="00AA3A0A" w14:paraId="4376B46A" w14:textId="77777777" w:rsidTr="00C522EA">
        <w:trPr>
          <w:trHeight w:val="567"/>
        </w:trPr>
        <w:tc>
          <w:tcPr>
            <w:tcW w:w="1647" w:type="dxa"/>
            <w:vAlign w:val="center"/>
          </w:tcPr>
          <w:p w14:paraId="7DA41487" w14:textId="77777777" w:rsidR="00432713" w:rsidRPr="00AA3A0A" w:rsidRDefault="00432713" w:rsidP="00AA3A0A">
            <w:pPr>
              <w:rPr>
                <w:rFonts w:cs="Times New Roman"/>
                <w:color w:val="auto"/>
                <w:szCs w:val="20"/>
              </w:rPr>
            </w:pPr>
            <w:r w:rsidRPr="00AA3A0A">
              <w:rPr>
                <w:rFonts w:cs="Times New Roman"/>
                <w:color w:val="auto"/>
                <w:szCs w:val="20"/>
              </w:rPr>
              <w:t>Diabetes rate</w:t>
            </w:r>
          </w:p>
        </w:tc>
        <w:tc>
          <w:tcPr>
            <w:tcW w:w="2473" w:type="dxa"/>
            <w:vAlign w:val="center"/>
          </w:tcPr>
          <w:p w14:paraId="1AB47176" w14:textId="77777777" w:rsidR="00432713" w:rsidRPr="00AA3A0A" w:rsidRDefault="00432713" w:rsidP="00AA3A0A">
            <w:pPr>
              <w:rPr>
                <w:rFonts w:cs="Times New Roman"/>
                <w:color w:val="auto"/>
                <w:szCs w:val="20"/>
              </w:rPr>
            </w:pPr>
            <w:r w:rsidRPr="00AA3A0A">
              <w:rPr>
                <w:rFonts w:cs="Times New Roman"/>
                <w:color w:val="auto"/>
                <w:szCs w:val="20"/>
              </w:rPr>
              <w:t>6.1%</w:t>
            </w:r>
          </w:p>
        </w:tc>
        <w:tc>
          <w:tcPr>
            <w:tcW w:w="2473" w:type="dxa"/>
            <w:vAlign w:val="center"/>
          </w:tcPr>
          <w:p w14:paraId="17717D6F" w14:textId="52530EAE" w:rsidR="00432713" w:rsidRPr="00AA3A0A" w:rsidRDefault="007C5F88" w:rsidP="00AA3A0A">
            <w:pPr>
              <w:rPr>
                <w:rFonts w:cs="Times New Roman"/>
                <w:color w:val="auto"/>
                <w:szCs w:val="20"/>
              </w:rPr>
            </w:pPr>
            <w:r w:rsidRPr="00AA3A0A">
              <w:rPr>
                <w:rFonts w:cs="Times New Roman"/>
                <w:color w:val="auto"/>
                <w:szCs w:val="20"/>
                <w:shd w:val="clear" w:color="auto" w:fill="FFFFFF"/>
              </w:rPr>
              <w:t>3.6%</w:t>
            </w:r>
          </w:p>
        </w:tc>
        <w:tc>
          <w:tcPr>
            <w:tcW w:w="2473" w:type="dxa"/>
            <w:vAlign w:val="center"/>
          </w:tcPr>
          <w:p w14:paraId="77E5BC53" w14:textId="576706A5" w:rsidR="00432713" w:rsidRPr="00AA3A0A" w:rsidRDefault="007C5F88" w:rsidP="00AA3A0A">
            <w:pPr>
              <w:rPr>
                <w:rFonts w:cs="Times New Roman"/>
                <w:color w:val="auto"/>
                <w:szCs w:val="20"/>
              </w:rPr>
            </w:pPr>
            <w:r w:rsidRPr="00AA3A0A">
              <w:rPr>
                <w:rFonts w:cs="Times New Roman"/>
                <w:color w:val="auto"/>
                <w:szCs w:val="20"/>
                <w:shd w:val="clear" w:color="auto" w:fill="FFFFFF"/>
              </w:rPr>
              <w:t>10.3%</w:t>
            </w:r>
          </w:p>
        </w:tc>
      </w:tr>
      <w:tr w:rsidR="00AA3A0A" w:rsidRPr="00AA3A0A" w14:paraId="31BE4CB0" w14:textId="77777777" w:rsidTr="00C522EA">
        <w:trPr>
          <w:trHeight w:val="567"/>
        </w:trPr>
        <w:tc>
          <w:tcPr>
            <w:tcW w:w="1647" w:type="dxa"/>
            <w:tcBorders>
              <w:bottom w:val="single" w:sz="4" w:space="0" w:color="auto"/>
            </w:tcBorders>
            <w:vAlign w:val="center"/>
          </w:tcPr>
          <w:p w14:paraId="3BF40E84" w14:textId="77777777" w:rsidR="00432713" w:rsidRPr="00AA3A0A" w:rsidRDefault="00432713" w:rsidP="00AA3A0A">
            <w:pPr>
              <w:rPr>
                <w:rFonts w:cs="Times New Roman"/>
                <w:color w:val="auto"/>
                <w:szCs w:val="20"/>
              </w:rPr>
            </w:pPr>
            <w:r w:rsidRPr="00AA3A0A">
              <w:rPr>
                <w:rFonts w:cs="Times New Roman"/>
                <w:color w:val="auto"/>
                <w:szCs w:val="20"/>
              </w:rPr>
              <w:t>MACE rate</w:t>
            </w:r>
          </w:p>
        </w:tc>
        <w:tc>
          <w:tcPr>
            <w:tcW w:w="2473" w:type="dxa"/>
            <w:tcBorders>
              <w:bottom w:val="single" w:sz="4" w:space="0" w:color="auto"/>
            </w:tcBorders>
            <w:vAlign w:val="center"/>
          </w:tcPr>
          <w:p w14:paraId="1CDDA6C9" w14:textId="77777777" w:rsidR="00432713" w:rsidRPr="00AA3A0A" w:rsidRDefault="00432713" w:rsidP="00AA3A0A">
            <w:pPr>
              <w:rPr>
                <w:rFonts w:cs="Times New Roman"/>
                <w:color w:val="auto"/>
                <w:szCs w:val="20"/>
              </w:rPr>
            </w:pPr>
            <w:r w:rsidRPr="00AA3A0A">
              <w:rPr>
                <w:rFonts w:cs="Times New Roman"/>
                <w:color w:val="auto"/>
                <w:szCs w:val="20"/>
                <w:shd w:val="clear" w:color="auto" w:fill="FFFFFF"/>
              </w:rPr>
              <w:t>0.6%</w:t>
            </w:r>
          </w:p>
        </w:tc>
        <w:tc>
          <w:tcPr>
            <w:tcW w:w="2473" w:type="dxa"/>
            <w:tcBorders>
              <w:bottom w:val="single" w:sz="4" w:space="0" w:color="auto"/>
            </w:tcBorders>
            <w:vAlign w:val="center"/>
          </w:tcPr>
          <w:p w14:paraId="7E5435C5" w14:textId="2676D530" w:rsidR="00432713" w:rsidRPr="00AA3A0A" w:rsidRDefault="007C5F88" w:rsidP="00AA3A0A">
            <w:pPr>
              <w:rPr>
                <w:rFonts w:cs="Times New Roman"/>
                <w:color w:val="auto"/>
                <w:szCs w:val="20"/>
              </w:rPr>
            </w:pPr>
            <w:r w:rsidRPr="00AA3A0A">
              <w:rPr>
                <w:rFonts w:cs="Times New Roman"/>
                <w:color w:val="auto"/>
                <w:szCs w:val="20"/>
                <w:shd w:val="clear" w:color="auto" w:fill="FFFFFF"/>
              </w:rPr>
              <w:t>0.4%</w:t>
            </w:r>
          </w:p>
        </w:tc>
        <w:tc>
          <w:tcPr>
            <w:tcW w:w="2473" w:type="dxa"/>
            <w:tcBorders>
              <w:bottom w:val="single" w:sz="4" w:space="0" w:color="auto"/>
            </w:tcBorders>
            <w:vAlign w:val="center"/>
          </w:tcPr>
          <w:p w14:paraId="7F9FD514" w14:textId="37DD65D5" w:rsidR="00432713" w:rsidRPr="00AA3A0A" w:rsidRDefault="007C5F88" w:rsidP="00AA3A0A">
            <w:pPr>
              <w:rPr>
                <w:rFonts w:cs="Times New Roman"/>
                <w:color w:val="auto"/>
                <w:szCs w:val="20"/>
              </w:rPr>
            </w:pPr>
            <w:r w:rsidRPr="00AA3A0A">
              <w:rPr>
                <w:rFonts w:cs="Times New Roman"/>
                <w:color w:val="auto"/>
                <w:szCs w:val="20"/>
                <w:shd w:val="clear" w:color="auto" w:fill="FFFFFF"/>
              </w:rPr>
              <w:t>0.9%</w:t>
            </w:r>
          </w:p>
        </w:tc>
      </w:tr>
    </w:tbl>
    <w:p w14:paraId="6C90CF7B" w14:textId="77777777" w:rsidR="00432713" w:rsidRPr="00AA3A0A" w:rsidRDefault="00432713" w:rsidP="00AA3A0A">
      <w:pPr>
        <w:rPr>
          <w:rFonts w:cs="Times New Roman"/>
          <w:color w:val="auto"/>
          <w:szCs w:val="20"/>
        </w:rPr>
      </w:pPr>
      <w:r w:rsidRPr="00AA3A0A">
        <w:rPr>
          <w:rFonts w:cs="Times New Roman"/>
          <w:color w:val="auto"/>
          <w:szCs w:val="20"/>
        </w:rPr>
        <w:t>Values are presented as mean ± SD for normally distributed continuous variables, median (IQR) for skewed continuous variables, and n (%) for categorical variables. BMI, body mass index; IQR, interquartile range; MACE, major adverse cardiovascular events; SAT, subcutaneous adipose tissue; SD, standard deviation; VAT, visceral adipose tissue; VAT/SAT ratio, visceral-to-subcutaneous adipose tissue ratio; WC, waist circumference.</w:t>
      </w:r>
    </w:p>
    <w:p w14:paraId="456D1C38" w14:textId="77777777" w:rsidR="007C5F88" w:rsidRPr="00AA3A0A" w:rsidRDefault="007C5F88" w:rsidP="00AA3A0A">
      <w:pPr>
        <w:rPr>
          <w:rFonts w:cs="Times New Roman"/>
          <w:color w:val="auto"/>
          <w:szCs w:val="20"/>
        </w:rPr>
      </w:pPr>
    </w:p>
    <w:p w14:paraId="62E06C45" w14:textId="78BD4DAB" w:rsidR="007C5F88" w:rsidRPr="00AA3A0A" w:rsidRDefault="007C5F88" w:rsidP="00AA3A0A">
      <w:pPr>
        <w:rPr>
          <w:bCs/>
          <w:color w:val="auto"/>
        </w:rPr>
      </w:pPr>
      <w:bookmarkStart w:id="18" w:name="_Hlk231974776"/>
      <w:r w:rsidRPr="00AA3A0A">
        <w:rPr>
          <w:b/>
          <w:bCs/>
          <w:color w:val="auto"/>
        </w:rPr>
        <w:t xml:space="preserve">Supplemental Table 2: </w:t>
      </w:r>
      <w:r w:rsidR="0016189C" w:rsidRPr="00AA3A0A">
        <w:rPr>
          <w:b/>
          <w:bCs/>
          <w:color w:val="auto"/>
        </w:rPr>
        <w:t>Comparison of baseline characteristics between the NAKO and UK Biobank cohorts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A3A0A" w:rsidRPr="00AA3A0A" w14:paraId="6336C320" w14:textId="77777777" w:rsidTr="00C522EA">
        <w:trPr>
          <w:trHeight w:val="567"/>
        </w:trPr>
        <w:tc>
          <w:tcPr>
            <w:tcW w:w="3116" w:type="dxa"/>
            <w:tcBorders>
              <w:top w:val="single" w:sz="4" w:space="0" w:color="auto"/>
              <w:bottom w:val="single" w:sz="4" w:space="0" w:color="auto"/>
            </w:tcBorders>
          </w:tcPr>
          <w:p w14:paraId="578918D1" w14:textId="77777777" w:rsidR="003F4B4F" w:rsidRPr="00AA3A0A" w:rsidRDefault="003F4B4F" w:rsidP="00AA3A0A">
            <w:pPr>
              <w:rPr>
                <w:rFonts w:cs="Times New Roman"/>
                <w:color w:val="auto"/>
                <w:szCs w:val="20"/>
              </w:rPr>
            </w:pPr>
          </w:p>
        </w:tc>
        <w:tc>
          <w:tcPr>
            <w:tcW w:w="3117" w:type="dxa"/>
            <w:tcBorders>
              <w:top w:val="single" w:sz="4" w:space="0" w:color="auto"/>
              <w:bottom w:val="single" w:sz="4" w:space="0" w:color="auto"/>
            </w:tcBorders>
            <w:vAlign w:val="center"/>
          </w:tcPr>
          <w:p w14:paraId="4189E9AF" w14:textId="733C1D68" w:rsidR="003F4B4F" w:rsidRPr="00AA3A0A" w:rsidRDefault="003F4B4F" w:rsidP="00AA3A0A">
            <w:pPr>
              <w:rPr>
                <w:rFonts w:cs="Times New Roman"/>
                <w:color w:val="auto"/>
                <w:szCs w:val="20"/>
              </w:rPr>
            </w:pPr>
            <w:r w:rsidRPr="00AA3A0A">
              <w:rPr>
                <w:rFonts w:cs="Times New Roman"/>
                <w:color w:val="auto"/>
                <w:szCs w:val="20"/>
              </w:rPr>
              <w:t>NAKO (N=23,664)</w:t>
            </w:r>
          </w:p>
        </w:tc>
        <w:tc>
          <w:tcPr>
            <w:tcW w:w="3117" w:type="dxa"/>
            <w:tcBorders>
              <w:top w:val="single" w:sz="4" w:space="0" w:color="auto"/>
              <w:bottom w:val="single" w:sz="4" w:space="0" w:color="auto"/>
            </w:tcBorders>
            <w:vAlign w:val="center"/>
          </w:tcPr>
          <w:p w14:paraId="62D6BDA8" w14:textId="4FF65D5A" w:rsidR="003F4B4F" w:rsidRPr="00AA3A0A" w:rsidRDefault="003F4B4F" w:rsidP="00AA3A0A">
            <w:pPr>
              <w:rPr>
                <w:rFonts w:cs="Times New Roman"/>
                <w:color w:val="auto"/>
                <w:szCs w:val="20"/>
              </w:rPr>
            </w:pPr>
            <w:r w:rsidRPr="00AA3A0A">
              <w:rPr>
                <w:rFonts w:cs="Times New Roman"/>
                <w:color w:val="auto"/>
                <w:szCs w:val="20"/>
              </w:rPr>
              <w:t>UKB (N=22,040)</w:t>
            </w:r>
          </w:p>
        </w:tc>
      </w:tr>
      <w:tr w:rsidR="00AA3A0A" w:rsidRPr="00AA3A0A" w14:paraId="1B94D297" w14:textId="77777777" w:rsidTr="00C522EA">
        <w:trPr>
          <w:trHeight w:val="567"/>
        </w:trPr>
        <w:tc>
          <w:tcPr>
            <w:tcW w:w="3116" w:type="dxa"/>
            <w:tcBorders>
              <w:top w:val="single" w:sz="4" w:space="0" w:color="auto"/>
            </w:tcBorders>
            <w:vAlign w:val="center"/>
          </w:tcPr>
          <w:p w14:paraId="46E88E72" w14:textId="38F220CC" w:rsidR="003F4B4F" w:rsidRPr="00AA3A0A" w:rsidRDefault="003F4B4F" w:rsidP="00AA3A0A">
            <w:pPr>
              <w:rPr>
                <w:rFonts w:cs="Times New Roman"/>
                <w:color w:val="auto"/>
                <w:szCs w:val="20"/>
              </w:rPr>
            </w:pPr>
            <w:r w:rsidRPr="00AA3A0A">
              <w:rPr>
                <w:rFonts w:cs="Times New Roman"/>
                <w:color w:val="auto"/>
                <w:szCs w:val="20"/>
              </w:rPr>
              <w:t>Age (Years)</w:t>
            </w:r>
          </w:p>
        </w:tc>
        <w:tc>
          <w:tcPr>
            <w:tcW w:w="3117" w:type="dxa"/>
            <w:tcBorders>
              <w:top w:val="single" w:sz="4" w:space="0" w:color="auto"/>
            </w:tcBorders>
            <w:vAlign w:val="center"/>
          </w:tcPr>
          <w:p w14:paraId="62AD93DD" w14:textId="60002353" w:rsidR="003F4B4F" w:rsidRPr="00AA3A0A" w:rsidRDefault="003F4B4F" w:rsidP="00AA3A0A">
            <w:pPr>
              <w:rPr>
                <w:rFonts w:cs="Times New Roman"/>
                <w:color w:val="auto"/>
                <w:szCs w:val="20"/>
              </w:rPr>
            </w:pPr>
            <w:r w:rsidRPr="00AA3A0A">
              <w:rPr>
                <w:rFonts w:cs="Times New Roman"/>
                <w:color w:val="auto"/>
                <w:szCs w:val="20"/>
              </w:rPr>
              <w:t xml:space="preserve">53.9 </w:t>
            </w:r>
            <w:r w:rsidRPr="00AA3A0A">
              <w:rPr>
                <w:rFonts w:cs="Times New Roman"/>
                <w:color w:val="auto"/>
                <w:szCs w:val="20"/>
              </w:rPr>
              <w:sym w:font="Symbol" w:char="F0B1"/>
            </w:r>
            <w:r w:rsidRPr="00AA3A0A">
              <w:rPr>
                <w:rFonts w:cs="Times New Roman"/>
                <w:color w:val="auto"/>
                <w:szCs w:val="20"/>
              </w:rPr>
              <w:t xml:space="preserve"> 8.2</w:t>
            </w:r>
          </w:p>
        </w:tc>
        <w:tc>
          <w:tcPr>
            <w:tcW w:w="3117" w:type="dxa"/>
            <w:tcBorders>
              <w:top w:val="single" w:sz="4" w:space="0" w:color="auto"/>
            </w:tcBorders>
            <w:vAlign w:val="center"/>
          </w:tcPr>
          <w:p w14:paraId="380E6711" w14:textId="02961598" w:rsidR="003F4B4F" w:rsidRPr="00AA3A0A" w:rsidRDefault="003F4B4F" w:rsidP="00AA3A0A">
            <w:pPr>
              <w:rPr>
                <w:rFonts w:cs="Times New Roman"/>
                <w:color w:val="auto"/>
                <w:szCs w:val="20"/>
              </w:rPr>
            </w:pPr>
            <w:r w:rsidRPr="00AA3A0A">
              <w:rPr>
                <w:rFonts w:cs="Times New Roman"/>
                <w:color w:val="auto"/>
                <w:szCs w:val="20"/>
              </w:rPr>
              <w:t xml:space="preserve">64.6 </w:t>
            </w:r>
            <w:r w:rsidRPr="00AA3A0A">
              <w:rPr>
                <w:rFonts w:cs="Times New Roman"/>
                <w:color w:val="auto"/>
                <w:szCs w:val="20"/>
              </w:rPr>
              <w:sym w:font="Symbol" w:char="F0B1"/>
            </w:r>
            <w:r w:rsidRPr="00AA3A0A">
              <w:rPr>
                <w:rFonts w:cs="Times New Roman"/>
                <w:color w:val="auto"/>
                <w:szCs w:val="20"/>
              </w:rPr>
              <w:t xml:space="preserve"> 7.8</w:t>
            </w:r>
          </w:p>
        </w:tc>
      </w:tr>
      <w:tr w:rsidR="00AA3A0A" w:rsidRPr="00AA3A0A" w14:paraId="129D39CA" w14:textId="77777777" w:rsidTr="00C522EA">
        <w:trPr>
          <w:trHeight w:val="567"/>
        </w:trPr>
        <w:tc>
          <w:tcPr>
            <w:tcW w:w="3116" w:type="dxa"/>
            <w:vAlign w:val="center"/>
          </w:tcPr>
          <w:p w14:paraId="375FB569" w14:textId="44B0B975" w:rsidR="003F4B4F" w:rsidRPr="00AA3A0A" w:rsidRDefault="003F4B4F" w:rsidP="00AA3A0A">
            <w:pPr>
              <w:rPr>
                <w:rFonts w:cs="Times New Roman"/>
                <w:color w:val="auto"/>
                <w:szCs w:val="20"/>
              </w:rPr>
            </w:pPr>
            <w:r w:rsidRPr="00AA3A0A">
              <w:rPr>
                <w:rFonts w:cs="Times New Roman"/>
                <w:color w:val="auto"/>
                <w:szCs w:val="20"/>
              </w:rPr>
              <w:t>Female sex</w:t>
            </w:r>
          </w:p>
        </w:tc>
        <w:tc>
          <w:tcPr>
            <w:tcW w:w="3117" w:type="dxa"/>
            <w:vAlign w:val="center"/>
          </w:tcPr>
          <w:p w14:paraId="6DBF4CB7" w14:textId="3FBEAA42" w:rsidR="003F4B4F" w:rsidRPr="00AA3A0A" w:rsidRDefault="003F4B4F" w:rsidP="00AA3A0A">
            <w:pPr>
              <w:rPr>
                <w:rFonts w:cs="Times New Roman"/>
                <w:color w:val="auto"/>
                <w:szCs w:val="20"/>
              </w:rPr>
            </w:pPr>
            <w:r w:rsidRPr="00AA3A0A">
              <w:rPr>
                <w:rFonts w:cs="Times New Roman"/>
                <w:color w:val="auto"/>
                <w:szCs w:val="20"/>
              </w:rPr>
              <w:t>10626 (44.9%)</w:t>
            </w:r>
          </w:p>
        </w:tc>
        <w:tc>
          <w:tcPr>
            <w:tcW w:w="3117" w:type="dxa"/>
            <w:vAlign w:val="center"/>
          </w:tcPr>
          <w:p w14:paraId="5EEF04EF" w14:textId="313B0BA1" w:rsidR="003F4B4F" w:rsidRPr="00AA3A0A" w:rsidRDefault="003F4B4F" w:rsidP="00AA3A0A">
            <w:pPr>
              <w:rPr>
                <w:rFonts w:cs="Times New Roman"/>
                <w:color w:val="auto"/>
                <w:szCs w:val="20"/>
              </w:rPr>
            </w:pPr>
            <w:r w:rsidRPr="00AA3A0A">
              <w:rPr>
                <w:rFonts w:cs="Times New Roman"/>
                <w:color w:val="auto"/>
                <w:szCs w:val="20"/>
              </w:rPr>
              <w:t>11749 (53.3%)</w:t>
            </w:r>
          </w:p>
        </w:tc>
      </w:tr>
      <w:tr w:rsidR="00AA3A0A" w:rsidRPr="00AA3A0A" w14:paraId="03A14911" w14:textId="77777777" w:rsidTr="00C522EA">
        <w:trPr>
          <w:trHeight w:val="567"/>
        </w:trPr>
        <w:tc>
          <w:tcPr>
            <w:tcW w:w="3116" w:type="dxa"/>
            <w:vAlign w:val="center"/>
          </w:tcPr>
          <w:p w14:paraId="34BEC29D" w14:textId="5F852ABF" w:rsidR="003F4B4F" w:rsidRPr="00AA3A0A" w:rsidRDefault="003F4B4F" w:rsidP="00AA3A0A">
            <w:pPr>
              <w:rPr>
                <w:rFonts w:cs="Times New Roman"/>
                <w:color w:val="auto"/>
                <w:szCs w:val="20"/>
              </w:rPr>
            </w:pPr>
            <w:r w:rsidRPr="00AA3A0A">
              <w:rPr>
                <w:rFonts w:cs="Times New Roman"/>
                <w:color w:val="auto"/>
                <w:szCs w:val="20"/>
              </w:rPr>
              <w:t>BMI (kg/m</w:t>
            </w:r>
            <w:r w:rsidRPr="00AA3A0A">
              <w:rPr>
                <w:rFonts w:cs="Times New Roman"/>
                <w:color w:val="auto"/>
                <w:szCs w:val="20"/>
                <w:vertAlign w:val="superscript"/>
              </w:rPr>
              <w:t>2</w:t>
            </w:r>
            <w:r w:rsidRPr="00AA3A0A">
              <w:rPr>
                <w:rFonts w:cs="Times New Roman"/>
                <w:color w:val="auto"/>
                <w:szCs w:val="20"/>
              </w:rPr>
              <w:t>)</w:t>
            </w:r>
          </w:p>
        </w:tc>
        <w:tc>
          <w:tcPr>
            <w:tcW w:w="3117" w:type="dxa"/>
            <w:vAlign w:val="center"/>
          </w:tcPr>
          <w:p w14:paraId="153CDEC6" w14:textId="3965CABD" w:rsidR="003F4B4F" w:rsidRPr="00AA3A0A" w:rsidRDefault="003F4B4F" w:rsidP="00AA3A0A">
            <w:pPr>
              <w:rPr>
                <w:rFonts w:cs="Times New Roman"/>
                <w:color w:val="auto"/>
                <w:szCs w:val="20"/>
              </w:rPr>
            </w:pPr>
            <w:r w:rsidRPr="00AA3A0A">
              <w:rPr>
                <w:rFonts w:cs="Times New Roman"/>
                <w:color w:val="auto"/>
                <w:szCs w:val="20"/>
              </w:rPr>
              <w:t xml:space="preserve">27.0 </w:t>
            </w:r>
            <w:r w:rsidRPr="00AA3A0A">
              <w:rPr>
                <w:rFonts w:cs="Times New Roman"/>
                <w:color w:val="auto"/>
                <w:szCs w:val="20"/>
              </w:rPr>
              <w:sym w:font="Symbol" w:char="F0B1"/>
            </w:r>
            <w:r w:rsidRPr="00AA3A0A">
              <w:rPr>
                <w:rFonts w:cs="Times New Roman"/>
                <w:color w:val="auto"/>
                <w:szCs w:val="20"/>
              </w:rPr>
              <w:t xml:space="preserve"> 4.7</w:t>
            </w:r>
          </w:p>
        </w:tc>
        <w:tc>
          <w:tcPr>
            <w:tcW w:w="3117" w:type="dxa"/>
            <w:vAlign w:val="center"/>
          </w:tcPr>
          <w:p w14:paraId="5B3B0E52" w14:textId="65C147AA" w:rsidR="003F4B4F" w:rsidRPr="00AA3A0A" w:rsidRDefault="003F4B4F" w:rsidP="00AA3A0A">
            <w:pPr>
              <w:rPr>
                <w:rFonts w:cs="Times New Roman"/>
                <w:color w:val="auto"/>
                <w:szCs w:val="20"/>
              </w:rPr>
            </w:pPr>
            <w:r w:rsidRPr="00AA3A0A">
              <w:rPr>
                <w:rFonts w:cs="Times New Roman"/>
                <w:color w:val="auto"/>
                <w:szCs w:val="20"/>
              </w:rPr>
              <w:t xml:space="preserve">24.4 </w:t>
            </w:r>
            <w:r w:rsidRPr="00AA3A0A">
              <w:rPr>
                <w:rFonts w:cs="Times New Roman"/>
                <w:color w:val="auto"/>
                <w:szCs w:val="20"/>
              </w:rPr>
              <w:sym w:font="Symbol" w:char="F0B1"/>
            </w:r>
            <w:r w:rsidRPr="00AA3A0A">
              <w:rPr>
                <w:rFonts w:cs="Times New Roman"/>
                <w:color w:val="auto"/>
                <w:szCs w:val="20"/>
              </w:rPr>
              <w:t xml:space="preserve"> 2.8</w:t>
            </w:r>
          </w:p>
        </w:tc>
      </w:tr>
      <w:tr w:rsidR="00AA3A0A" w:rsidRPr="00AA3A0A" w14:paraId="67317026" w14:textId="77777777" w:rsidTr="00C522EA">
        <w:trPr>
          <w:trHeight w:val="567"/>
        </w:trPr>
        <w:tc>
          <w:tcPr>
            <w:tcW w:w="3116" w:type="dxa"/>
            <w:vAlign w:val="center"/>
          </w:tcPr>
          <w:p w14:paraId="5D7CCC84" w14:textId="23603F53" w:rsidR="003F4B4F" w:rsidRPr="00AA3A0A" w:rsidRDefault="003F4B4F" w:rsidP="00AA3A0A">
            <w:pPr>
              <w:rPr>
                <w:rFonts w:cs="Times New Roman"/>
                <w:color w:val="auto"/>
                <w:szCs w:val="20"/>
              </w:rPr>
            </w:pPr>
            <w:r w:rsidRPr="00AA3A0A">
              <w:rPr>
                <w:rFonts w:cs="Times New Roman"/>
                <w:color w:val="auto"/>
                <w:szCs w:val="20"/>
              </w:rPr>
              <w:t>WC (cm)</w:t>
            </w:r>
          </w:p>
        </w:tc>
        <w:tc>
          <w:tcPr>
            <w:tcW w:w="3117" w:type="dxa"/>
            <w:vAlign w:val="center"/>
          </w:tcPr>
          <w:p w14:paraId="17BEDEC3" w14:textId="2277630F" w:rsidR="003F4B4F" w:rsidRPr="00AA3A0A" w:rsidRDefault="003F4B4F" w:rsidP="00AA3A0A">
            <w:pPr>
              <w:rPr>
                <w:rFonts w:cs="Times New Roman"/>
                <w:color w:val="auto"/>
                <w:szCs w:val="20"/>
              </w:rPr>
            </w:pPr>
            <w:r w:rsidRPr="00AA3A0A">
              <w:rPr>
                <w:rFonts w:cs="Times New Roman"/>
                <w:color w:val="auto"/>
                <w:szCs w:val="20"/>
              </w:rPr>
              <w:t>92.7 ± 13.5</w:t>
            </w:r>
          </w:p>
        </w:tc>
        <w:tc>
          <w:tcPr>
            <w:tcW w:w="3117" w:type="dxa"/>
            <w:vAlign w:val="center"/>
          </w:tcPr>
          <w:p w14:paraId="1074AD85" w14:textId="0101E791" w:rsidR="003F4B4F" w:rsidRPr="00AA3A0A" w:rsidRDefault="003F4B4F" w:rsidP="00AA3A0A">
            <w:pPr>
              <w:rPr>
                <w:rFonts w:cs="Times New Roman"/>
                <w:color w:val="auto"/>
                <w:szCs w:val="20"/>
              </w:rPr>
            </w:pPr>
            <w:r w:rsidRPr="00AA3A0A">
              <w:rPr>
                <w:rFonts w:cs="Times New Roman"/>
                <w:color w:val="auto"/>
                <w:szCs w:val="20"/>
              </w:rPr>
              <w:t xml:space="preserve">84.9 </w:t>
            </w:r>
            <w:r w:rsidRPr="00AA3A0A">
              <w:rPr>
                <w:rFonts w:cs="Times New Roman"/>
                <w:color w:val="auto"/>
                <w:szCs w:val="20"/>
              </w:rPr>
              <w:sym w:font="Symbol" w:char="F0B1"/>
            </w:r>
            <w:r w:rsidRPr="00AA3A0A">
              <w:rPr>
                <w:rFonts w:cs="Times New Roman"/>
                <w:color w:val="auto"/>
                <w:szCs w:val="20"/>
              </w:rPr>
              <w:t xml:space="preserve"> 10.4</w:t>
            </w:r>
          </w:p>
        </w:tc>
      </w:tr>
      <w:tr w:rsidR="00AA3A0A" w:rsidRPr="00AA3A0A" w14:paraId="61CCA4E6" w14:textId="77777777" w:rsidTr="00C522EA">
        <w:trPr>
          <w:trHeight w:val="567"/>
        </w:trPr>
        <w:tc>
          <w:tcPr>
            <w:tcW w:w="3116" w:type="dxa"/>
            <w:vAlign w:val="center"/>
          </w:tcPr>
          <w:p w14:paraId="6EA861C8" w14:textId="32141196" w:rsidR="003F4B4F" w:rsidRPr="00AA3A0A" w:rsidRDefault="003F4B4F" w:rsidP="00AA3A0A">
            <w:pPr>
              <w:rPr>
                <w:rFonts w:cs="Times New Roman"/>
                <w:color w:val="auto"/>
                <w:szCs w:val="20"/>
              </w:rPr>
            </w:pPr>
            <w:r w:rsidRPr="00AA3A0A">
              <w:rPr>
                <w:rFonts w:cs="Times New Roman"/>
                <w:color w:val="auto"/>
                <w:szCs w:val="20"/>
              </w:rPr>
              <w:t>Current/former smoker</w:t>
            </w:r>
          </w:p>
        </w:tc>
        <w:tc>
          <w:tcPr>
            <w:tcW w:w="3117" w:type="dxa"/>
            <w:vAlign w:val="center"/>
          </w:tcPr>
          <w:p w14:paraId="4CBC18C9" w14:textId="0A5C9F22" w:rsidR="003F4B4F" w:rsidRPr="00AA3A0A" w:rsidRDefault="003F4B4F" w:rsidP="00AA3A0A">
            <w:pPr>
              <w:rPr>
                <w:rFonts w:cs="Times New Roman"/>
                <w:color w:val="auto"/>
                <w:szCs w:val="20"/>
              </w:rPr>
            </w:pPr>
            <w:r w:rsidRPr="00AA3A0A">
              <w:rPr>
                <w:rFonts w:cs="Times New Roman"/>
                <w:color w:val="auto"/>
                <w:szCs w:val="20"/>
              </w:rPr>
              <w:t>11995 (50.7%)</w:t>
            </w:r>
          </w:p>
        </w:tc>
        <w:tc>
          <w:tcPr>
            <w:tcW w:w="3117" w:type="dxa"/>
            <w:vAlign w:val="center"/>
          </w:tcPr>
          <w:p w14:paraId="670FBCD8" w14:textId="1C981BE6" w:rsidR="003F4B4F" w:rsidRPr="00AA3A0A" w:rsidRDefault="003F4B4F" w:rsidP="00AA3A0A">
            <w:pPr>
              <w:rPr>
                <w:rFonts w:cs="Times New Roman"/>
                <w:color w:val="auto"/>
                <w:szCs w:val="20"/>
              </w:rPr>
            </w:pPr>
            <w:r w:rsidRPr="00AA3A0A">
              <w:rPr>
                <w:rFonts w:cs="Times New Roman"/>
                <w:color w:val="auto"/>
                <w:szCs w:val="20"/>
              </w:rPr>
              <w:t>8559 (38.8%)</w:t>
            </w:r>
          </w:p>
        </w:tc>
      </w:tr>
      <w:tr w:rsidR="00AA3A0A" w:rsidRPr="00AA3A0A" w14:paraId="1E3628B6" w14:textId="77777777" w:rsidTr="00C522EA">
        <w:trPr>
          <w:trHeight w:val="567"/>
        </w:trPr>
        <w:tc>
          <w:tcPr>
            <w:tcW w:w="3116" w:type="dxa"/>
            <w:vAlign w:val="center"/>
          </w:tcPr>
          <w:p w14:paraId="02DF041E" w14:textId="37F6F6D5" w:rsidR="003F4B4F" w:rsidRPr="00AA3A0A" w:rsidRDefault="003F4B4F" w:rsidP="00AA3A0A">
            <w:pPr>
              <w:rPr>
                <w:rFonts w:cs="Times New Roman"/>
                <w:color w:val="auto"/>
                <w:szCs w:val="20"/>
              </w:rPr>
            </w:pPr>
            <w:r w:rsidRPr="00AA3A0A">
              <w:rPr>
                <w:rFonts w:cs="Times New Roman"/>
                <w:color w:val="auto"/>
                <w:szCs w:val="20"/>
              </w:rPr>
              <w:t>SAT (dm</w:t>
            </w:r>
            <w:r w:rsidRPr="00AA3A0A">
              <w:rPr>
                <w:rFonts w:cs="Times New Roman"/>
                <w:color w:val="auto"/>
                <w:szCs w:val="20"/>
                <w:vertAlign w:val="superscript"/>
              </w:rPr>
              <w:t>3</w:t>
            </w:r>
            <w:r w:rsidRPr="00AA3A0A">
              <w:rPr>
                <w:rFonts w:cs="Times New Roman"/>
                <w:color w:val="auto"/>
                <w:szCs w:val="20"/>
              </w:rPr>
              <w:t>)</w:t>
            </w:r>
          </w:p>
        </w:tc>
        <w:tc>
          <w:tcPr>
            <w:tcW w:w="3117" w:type="dxa"/>
            <w:vAlign w:val="center"/>
          </w:tcPr>
          <w:p w14:paraId="40ADB057" w14:textId="1AD95EBE" w:rsidR="003F4B4F" w:rsidRPr="00AA3A0A" w:rsidRDefault="003F4B4F" w:rsidP="00AA3A0A">
            <w:pPr>
              <w:rPr>
                <w:rFonts w:cs="Times New Roman"/>
                <w:color w:val="auto"/>
                <w:szCs w:val="20"/>
              </w:rPr>
            </w:pPr>
            <w:r w:rsidRPr="00AA3A0A">
              <w:rPr>
                <w:rFonts w:cs="Times New Roman"/>
                <w:color w:val="auto"/>
                <w:szCs w:val="20"/>
                <w:shd w:val="clear" w:color="auto" w:fill="FFFFFF"/>
              </w:rPr>
              <w:t>14.41 (IQR 10.95-19.09)</w:t>
            </w:r>
          </w:p>
        </w:tc>
        <w:tc>
          <w:tcPr>
            <w:tcW w:w="3117" w:type="dxa"/>
            <w:vAlign w:val="center"/>
          </w:tcPr>
          <w:p w14:paraId="6252D159" w14:textId="311B4453" w:rsidR="003F4B4F" w:rsidRPr="00AA3A0A" w:rsidRDefault="003F4B4F" w:rsidP="00AA3A0A">
            <w:pPr>
              <w:rPr>
                <w:rFonts w:cs="Times New Roman"/>
                <w:color w:val="auto"/>
                <w:szCs w:val="20"/>
              </w:rPr>
            </w:pPr>
            <w:r w:rsidRPr="00AA3A0A">
              <w:rPr>
                <w:rFonts w:cs="Times New Roman"/>
                <w:color w:val="auto"/>
                <w:szCs w:val="20"/>
              </w:rPr>
              <w:t>13.85 (IQR 11.01-17.16)</w:t>
            </w:r>
          </w:p>
        </w:tc>
      </w:tr>
      <w:tr w:rsidR="00AA3A0A" w:rsidRPr="00AA3A0A" w14:paraId="68806298" w14:textId="77777777" w:rsidTr="00C522EA">
        <w:trPr>
          <w:trHeight w:val="567"/>
        </w:trPr>
        <w:tc>
          <w:tcPr>
            <w:tcW w:w="3116" w:type="dxa"/>
            <w:vAlign w:val="center"/>
          </w:tcPr>
          <w:p w14:paraId="1EC49EBE" w14:textId="7226B3F4" w:rsidR="003F4B4F" w:rsidRPr="00AA3A0A" w:rsidRDefault="003F4B4F" w:rsidP="00AA3A0A">
            <w:pPr>
              <w:rPr>
                <w:rFonts w:cs="Times New Roman"/>
                <w:color w:val="auto"/>
                <w:szCs w:val="20"/>
              </w:rPr>
            </w:pPr>
            <w:r w:rsidRPr="00AA3A0A">
              <w:rPr>
                <w:rFonts w:cs="Times New Roman"/>
                <w:color w:val="auto"/>
                <w:szCs w:val="20"/>
              </w:rPr>
              <w:t>VAT (dm</w:t>
            </w:r>
            <w:r w:rsidRPr="00AA3A0A">
              <w:rPr>
                <w:rFonts w:cs="Times New Roman"/>
                <w:color w:val="auto"/>
                <w:szCs w:val="20"/>
                <w:vertAlign w:val="superscript"/>
              </w:rPr>
              <w:t>3</w:t>
            </w:r>
            <w:r w:rsidRPr="00AA3A0A">
              <w:rPr>
                <w:rFonts w:cs="Times New Roman"/>
                <w:color w:val="auto"/>
                <w:szCs w:val="20"/>
              </w:rPr>
              <w:t>)</w:t>
            </w:r>
          </w:p>
        </w:tc>
        <w:tc>
          <w:tcPr>
            <w:tcW w:w="3117" w:type="dxa"/>
            <w:vAlign w:val="center"/>
          </w:tcPr>
          <w:p w14:paraId="780AA394" w14:textId="1C6AADB7" w:rsidR="003F4B4F" w:rsidRPr="00AA3A0A" w:rsidRDefault="003F4B4F" w:rsidP="00AA3A0A">
            <w:pPr>
              <w:rPr>
                <w:rFonts w:cs="Times New Roman"/>
                <w:color w:val="auto"/>
                <w:szCs w:val="20"/>
              </w:rPr>
            </w:pPr>
            <w:r w:rsidRPr="00AA3A0A">
              <w:rPr>
                <w:rFonts w:cs="Times New Roman"/>
                <w:color w:val="auto"/>
                <w:szCs w:val="20"/>
                <w:shd w:val="clear" w:color="auto" w:fill="FFFFFF"/>
              </w:rPr>
              <w:t>3.35 (IQR 1.82-5.15)</w:t>
            </w:r>
          </w:p>
        </w:tc>
        <w:tc>
          <w:tcPr>
            <w:tcW w:w="3117" w:type="dxa"/>
            <w:vAlign w:val="center"/>
          </w:tcPr>
          <w:p w14:paraId="4B326CAF" w14:textId="5ADFD59A" w:rsidR="003F4B4F" w:rsidRPr="00AA3A0A" w:rsidRDefault="003F4B4F" w:rsidP="00AA3A0A">
            <w:pPr>
              <w:rPr>
                <w:rFonts w:cs="Times New Roman"/>
                <w:color w:val="auto"/>
                <w:szCs w:val="20"/>
              </w:rPr>
            </w:pPr>
            <w:r w:rsidRPr="00AA3A0A">
              <w:rPr>
                <w:rFonts w:cs="Times New Roman"/>
                <w:color w:val="auto"/>
                <w:szCs w:val="20"/>
              </w:rPr>
              <w:t>2.93 (IQR 1.71-4.55)</w:t>
            </w:r>
          </w:p>
        </w:tc>
      </w:tr>
      <w:tr w:rsidR="00AA3A0A" w:rsidRPr="00AA3A0A" w14:paraId="7C0E56AC" w14:textId="77777777" w:rsidTr="00C522EA">
        <w:trPr>
          <w:trHeight w:val="567"/>
        </w:trPr>
        <w:tc>
          <w:tcPr>
            <w:tcW w:w="3116" w:type="dxa"/>
            <w:tcBorders>
              <w:bottom w:val="single" w:sz="4" w:space="0" w:color="auto"/>
            </w:tcBorders>
            <w:vAlign w:val="center"/>
          </w:tcPr>
          <w:p w14:paraId="1E2A89BD" w14:textId="35E8E05A" w:rsidR="003F4B4F" w:rsidRPr="00AA3A0A" w:rsidRDefault="003F4B4F" w:rsidP="00AA3A0A">
            <w:pPr>
              <w:rPr>
                <w:rFonts w:cs="Times New Roman"/>
                <w:color w:val="auto"/>
                <w:szCs w:val="20"/>
              </w:rPr>
            </w:pPr>
            <w:r w:rsidRPr="00AA3A0A">
              <w:rPr>
                <w:rFonts w:cs="Times New Roman"/>
                <w:color w:val="auto"/>
                <w:szCs w:val="20"/>
              </w:rPr>
              <w:t>VAT/SAT ratio</w:t>
            </w:r>
          </w:p>
        </w:tc>
        <w:tc>
          <w:tcPr>
            <w:tcW w:w="3117" w:type="dxa"/>
            <w:tcBorders>
              <w:bottom w:val="single" w:sz="4" w:space="0" w:color="auto"/>
            </w:tcBorders>
            <w:vAlign w:val="center"/>
          </w:tcPr>
          <w:p w14:paraId="60F2D89F" w14:textId="6D283333" w:rsidR="003F4B4F" w:rsidRPr="00AA3A0A" w:rsidRDefault="003F4B4F" w:rsidP="00AA3A0A">
            <w:pPr>
              <w:rPr>
                <w:rFonts w:cs="Times New Roman"/>
                <w:color w:val="auto"/>
                <w:szCs w:val="20"/>
              </w:rPr>
            </w:pPr>
            <w:r w:rsidRPr="00AA3A0A">
              <w:rPr>
                <w:rFonts w:cs="Times New Roman"/>
                <w:color w:val="auto"/>
                <w:szCs w:val="20"/>
                <w:shd w:val="clear" w:color="auto" w:fill="FFFFFF"/>
              </w:rPr>
              <w:t>0.223 (IQR 0.122-0.347)</w:t>
            </w:r>
          </w:p>
        </w:tc>
        <w:tc>
          <w:tcPr>
            <w:tcW w:w="3117" w:type="dxa"/>
            <w:tcBorders>
              <w:bottom w:val="single" w:sz="4" w:space="0" w:color="auto"/>
            </w:tcBorders>
            <w:vAlign w:val="center"/>
          </w:tcPr>
          <w:p w14:paraId="5F6D381B" w14:textId="77B745C9" w:rsidR="003F4B4F" w:rsidRPr="00AA3A0A" w:rsidRDefault="003F4B4F" w:rsidP="00AA3A0A">
            <w:pPr>
              <w:rPr>
                <w:rFonts w:cs="Times New Roman"/>
                <w:color w:val="auto"/>
                <w:szCs w:val="20"/>
              </w:rPr>
            </w:pPr>
            <w:r w:rsidRPr="00AA3A0A">
              <w:rPr>
                <w:rFonts w:cs="Times New Roman"/>
                <w:color w:val="auto"/>
                <w:szCs w:val="20"/>
              </w:rPr>
              <w:t>0.20 (IQR 0.12-0.34)</w:t>
            </w:r>
          </w:p>
        </w:tc>
      </w:tr>
    </w:tbl>
    <w:p w14:paraId="6E4F5AE0" w14:textId="1A51095F" w:rsidR="007C5F88" w:rsidRPr="00AA3A0A" w:rsidRDefault="007C5F88" w:rsidP="00AA3A0A">
      <w:pPr>
        <w:rPr>
          <w:rFonts w:cs="Times New Roman"/>
          <w:color w:val="auto"/>
          <w:szCs w:val="20"/>
        </w:rPr>
      </w:pPr>
      <w:r w:rsidRPr="00AA3A0A">
        <w:rPr>
          <w:rFonts w:cs="Times New Roman"/>
          <w:color w:val="auto"/>
          <w:szCs w:val="20"/>
        </w:rPr>
        <w:t>Values are presented as mean ± SD for normally distributed continuous variables, median (IQR) for skewed continuous variables, and n (%) for categorical variables. BMI, body mass index; IQR, interquartile range; MACE, major adverse cardiovascular events; SAT, subcutaneous adipose tissue; SD, standard deviation; VAT, visceral adipose tissue; VAT/SAT ratio, visceral-to-subcutaneous adipose tissue ratio; WC, waist circumference.</w:t>
      </w:r>
    </w:p>
    <w:bookmarkEnd w:id="18"/>
    <w:p w14:paraId="352EF8B5" w14:textId="77777777" w:rsidR="008F3E17" w:rsidRPr="00AA3A0A" w:rsidRDefault="008F3E17" w:rsidP="00AA3A0A">
      <w:pPr>
        <w:rPr>
          <w:rFonts w:cs="Times New Roman"/>
          <w:color w:val="auto"/>
          <w:szCs w:val="20"/>
        </w:rPr>
      </w:pPr>
    </w:p>
    <w:p w14:paraId="070C0741" w14:textId="0456BDE6" w:rsidR="008F3E17" w:rsidRPr="00AA3A0A" w:rsidRDefault="003F73BC" w:rsidP="00AA3A0A">
      <w:pPr>
        <w:rPr>
          <w:b/>
          <w:bCs/>
          <w:color w:val="auto"/>
        </w:rPr>
      </w:pPr>
      <w:r w:rsidRPr="00AA3A0A">
        <w:rPr>
          <w:b/>
          <w:bCs/>
          <w:color w:val="auto"/>
        </w:rPr>
        <w:t xml:space="preserve">Supplemental Table </w:t>
      </w:r>
      <w:r w:rsidR="007C5F88" w:rsidRPr="00AA3A0A">
        <w:rPr>
          <w:b/>
          <w:bCs/>
          <w:color w:val="auto"/>
        </w:rPr>
        <w:t>3</w:t>
      </w:r>
      <w:r w:rsidRPr="00AA3A0A">
        <w:rPr>
          <w:b/>
          <w:bCs/>
          <w:color w:val="auto"/>
        </w:rPr>
        <w:t xml:space="preserve">: </w:t>
      </w:r>
      <w:r w:rsidR="00C75972" w:rsidRPr="00AA3A0A">
        <w:rPr>
          <w:b/>
          <w:bCs/>
          <w:color w:val="auto"/>
        </w:rPr>
        <w:t>M</w:t>
      </w:r>
      <w:r w:rsidR="00D369E0" w:rsidRPr="00AA3A0A">
        <w:rPr>
          <w:b/>
          <w:bCs/>
          <w:color w:val="auto"/>
        </w:rPr>
        <w:t>issing covariate</w:t>
      </w:r>
      <w:r w:rsidR="00C75972" w:rsidRPr="00AA3A0A">
        <w:rPr>
          <w:b/>
          <w:bCs/>
          <w:color w:val="auto"/>
        </w:rPr>
        <w:t xml:space="preserve"> imputation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A3A0A" w:rsidRPr="00AA3A0A" w14:paraId="4A13C350" w14:textId="77777777" w:rsidTr="00C522EA">
        <w:trPr>
          <w:trHeight w:val="567"/>
        </w:trPr>
        <w:tc>
          <w:tcPr>
            <w:tcW w:w="1870" w:type="dxa"/>
            <w:tcBorders>
              <w:top w:val="single" w:sz="4" w:space="0" w:color="auto"/>
              <w:bottom w:val="single" w:sz="4" w:space="0" w:color="auto"/>
            </w:tcBorders>
            <w:vAlign w:val="center"/>
          </w:tcPr>
          <w:p w14:paraId="4D475E41" w14:textId="47BDB9A3" w:rsidR="00C932D1" w:rsidRPr="00AA3A0A" w:rsidRDefault="00C932D1" w:rsidP="00AA3A0A">
            <w:pPr>
              <w:tabs>
                <w:tab w:val="left" w:pos="1505"/>
              </w:tabs>
              <w:rPr>
                <w:rFonts w:cs="Times New Roman"/>
                <w:color w:val="auto"/>
              </w:rPr>
            </w:pPr>
            <w:r w:rsidRPr="00AA3A0A">
              <w:rPr>
                <w:rFonts w:cs="Times New Roman"/>
                <w:color w:val="auto"/>
              </w:rPr>
              <w:t>Analysis</w:t>
            </w:r>
          </w:p>
        </w:tc>
        <w:tc>
          <w:tcPr>
            <w:tcW w:w="1870" w:type="dxa"/>
            <w:tcBorders>
              <w:top w:val="single" w:sz="4" w:space="0" w:color="auto"/>
              <w:bottom w:val="single" w:sz="4" w:space="0" w:color="auto"/>
            </w:tcBorders>
            <w:vAlign w:val="center"/>
          </w:tcPr>
          <w:p w14:paraId="45F7C65E" w14:textId="4EB29EFE" w:rsidR="00C932D1" w:rsidRPr="00AA3A0A" w:rsidRDefault="00C932D1" w:rsidP="00AA3A0A">
            <w:pPr>
              <w:tabs>
                <w:tab w:val="left" w:pos="1505"/>
              </w:tabs>
              <w:rPr>
                <w:rFonts w:cs="Times New Roman"/>
                <w:color w:val="auto"/>
              </w:rPr>
            </w:pPr>
            <w:r w:rsidRPr="00AA3A0A">
              <w:rPr>
                <w:rFonts w:cs="Times New Roman"/>
                <w:color w:val="auto"/>
              </w:rPr>
              <w:t>Events</w:t>
            </w:r>
          </w:p>
        </w:tc>
        <w:tc>
          <w:tcPr>
            <w:tcW w:w="1870" w:type="dxa"/>
            <w:tcBorders>
              <w:top w:val="single" w:sz="4" w:space="0" w:color="auto"/>
              <w:bottom w:val="single" w:sz="4" w:space="0" w:color="auto"/>
            </w:tcBorders>
            <w:vAlign w:val="center"/>
          </w:tcPr>
          <w:p w14:paraId="4D81ED6C" w14:textId="03BFD41D" w:rsidR="00C932D1" w:rsidRPr="00AA3A0A" w:rsidRDefault="00C932D1" w:rsidP="00AA3A0A">
            <w:pPr>
              <w:tabs>
                <w:tab w:val="left" w:pos="1505"/>
              </w:tabs>
              <w:rPr>
                <w:rFonts w:cs="Times New Roman"/>
                <w:color w:val="auto"/>
              </w:rPr>
            </w:pPr>
            <w:r w:rsidRPr="00AA3A0A">
              <w:rPr>
                <w:rFonts w:cs="Times New Roman"/>
                <w:color w:val="auto"/>
              </w:rPr>
              <w:t>HR (95% CI)</w:t>
            </w:r>
          </w:p>
        </w:tc>
        <w:tc>
          <w:tcPr>
            <w:tcW w:w="1870" w:type="dxa"/>
            <w:tcBorders>
              <w:top w:val="single" w:sz="4" w:space="0" w:color="auto"/>
              <w:bottom w:val="single" w:sz="4" w:space="0" w:color="auto"/>
            </w:tcBorders>
            <w:vAlign w:val="center"/>
          </w:tcPr>
          <w:p w14:paraId="0C7E29F2" w14:textId="7D1AD5DF" w:rsidR="00C932D1" w:rsidRPr="00AA3A0A" w:rsidRDefault="00C932D1" w:rsidP="00AA3A0A">
            <w:pPr>
              <w:tabs>
                <w:tab w:val="left" w:pos="1505"/>
              </w:tabs>
              <w:rPr>
                <w:rFonts w:cs="Times New Roman"/>
                <w:color w:val="auto"/>
              </w:rPr>
            </w:pPr>
            <w:r w:rsidRPr="00AA3A0A">
              <w:rPr>
                <w:rFonts w:cs="Times New Roman"/>
                <w:color w:val="auto"/>
              </w:rPr>
              <w:t>p-value</w:t>
            </w:r>
          </w:p>
        </w:tc>
        <w:tc>
          <w:tcPr>
            <w:tcW w:w="1870" w:type="dxa"/>
            <w:tcBorders>
              <w:top w:val="single" w:sz="4" w:space="0" w:color="auto"/>
              <w:bottom w:val="single" w:sz="4" w:space="0" w:color="auto"/>
            </w:tcBorders>
            <w:vAlign w:val="center"/>
          </w:tcPr>
          <w:p w14:paraId="5F1BD6FE" w14:textId="61E77DE9" w:rsidR="00C932D1" w:rsidRPr="00AA3A0A" w:rsidRDefault="00C932D1" w:rsidP="00AA3A0A">
            <w:pPr>
              <w:tabs>
                <w:tab w:val="left" w:pos="1505"/>
              </w:tabs>
              <w:rPr>
                <w:rFonts w:cs="Times New Roman"/>
                <w:color w:val="auto"/>
              </w:rPr>
            </w:pPr>
            <w:r w:rsidRPr="00AA3A0A">
              <w:rPr>
                <w:rFonts w:cs="Times New Roman"/>
                <w:color w:val="auto"/>
              </w:rPr>
              <w:t>C-index</w:t>
            </w:r>
          </w:p>
        </w:tc>
      </w:tr>
      <w:tr w:rsidR="00AA3A0A" w:rsidRPr="00AA3A0A" w14:paraId="59D37B25" w14:textId="77777777" w:rsidTr="00C522EA">
        <w:trPr>
          <w:trHeight w:val="567"/>
        </w:trPr>
        <w:tc>
          <w:tcPr>
            <w:tcW w:w="1870" w:type="dxa"/>
            <w:tcBorders>
              <w:top w:val="single" w:sz="4" w:space="0" w:color="auto"/>
              <w:bottom w:val="single" w:sz="4" w:space="0" w:color="auto"/>
            </w:tcBorders>
            <w:vAlign w:val="center"/>
          </w:tcPr>
          <w:p w14:paraId="7338A342" w14:textId="1E4D90B6" w:rsidR="00C932D1" w:rsidRPr="00AA3A0A" w:rsidRDefault="00C932D1" w:rsidP="00AA3A0A">
            <w:pPr>
              <w:tabs>
                <w:tab w:val="left" w:pos="1505"/>
              </w:tabs>
              <w:rPr>
                <w:rFonts w:cs="Times New Roman"/>
                <w:color w:val="auto"/>
              </w:rPr>
            </w:pPr>
            <w:r w:rsidRPr="00AA3A0A">
              <w:rPr>
                <w:rFonts w:cs="Times New Roman"/>
                <w:color w:val="auto"/>
              </w:rPr>
              <w:t>MACE</w:t>
            </w:r>
          </w:p>
        </w:tc>
        <w:tc>
          <w:tcPr>
            <w:tcW w:w="1870" w:type="dxa"/>
            <w:tcBorders>
              <w:top w:val="single" w:sz="4" w:space="0" w:color="auto"/>
              <w:bottom w:val="single" w:sz="4" w:space="0" w:color="auto"/>
            </w:tcBorders>
            <w:vAlign w:val="center"/>
          </w:tcPr>
          <w:p w14:paraId="5EDC1AF4" w14:textId="5BC0ABC7" w:rsidR="00C932D1" w:rsidRPr="00AA3A0A" w:rsidRDefault="00C932D1"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3D02E5C5" w14:textId="77777777" w:rsidR="00C932D1" w:rsidRPr="00AA3A0A" w:rsidRDefault="00C932D1"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33359C52" w14:textId="77777777" w:rsidR="00C932D1" w:rsidRPr="00AA3A0A" w:rsidRDefault="00C932D1"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2ABAC2E4" w14:textId="77777777" w:rsidR="00C932D1" w:rsidRPr="00AA3A0A" w:rsidRDefault="00C932D1" w:rsidP="00AA3A0A">
            <w:pPr>
              <w:tabs>
                <w:tab w:val="left" w:pos="1505"/>
              </w:tabs>
              <w:rPr>
                <w:rFonts w:cs="Times New Roman"/>
                <w:color w:val="auto"/>
              </w:rPr>
            </w:pPr>
          </w:p>
        </w:tc>
      </w:tr>
      <w:tr w:rsidR="00AA3A0A" w:rsidRPr="00AA3A0A" w14:paraId="426D0FAF" w14:textId="77777777" w:rsidTr="00C522EA">
        <w:trPr>
          <w:trHeight w:val="567"/>
        </w:trPr>
        <w:tc>
          <w:tcPr>
            <w:tcW w:w="1870" w:type="dxa"/>
            <w:tcBorders>
              <w:top w:val="single" w:sz="4" w:space="0" w:color="auto"/>
            </w:tcBorders>
            <w:vAlign w:val="center"/>
          </w:tcPr>
          <w:p w14:paraId="21281DE0" w14:textId="0C59200B" w:rsidR="00C932D1" w:rsidRPr="00AA3A0A" w:rsidRDefault="0016189C" w:rsidP="00AA3A0A">
            <w:pPr>
              <w:tabs>
                <w:tab w:val="left" w:pos="1505"/>
              </w:tabs>
              <w:rPr>
                <w:rFonts w:cs="Times New Roman"/>
                <w:color w:val="auto"/>
              </w:rPr>
            </w:pPr>
            <w:r w:rsidRPr="00AA3A0A">
              <w:rPr>
                <w:rFonts w:cs="Times New Roman"/>
                <w:color w:val="auto"/>
              </w:rPr>
              <w:t>Complete case</w:t>
            </w:r>
          </w:p>
        </w:tc>
        <w:tc>
          <w:tcPr>
            <w:tcW w:w="1870" w:type="dxa"/>
            <w:tcBorders>
              <w:top w:val="single" w:sz="4" w:space="0" w:color="auto"/>
            </w:tcBorders>
            <w:vAlign w:val="center"/>
          </w:tcPr>
          <w:p w14:paraId="1B0ECF47" w14:textId="6AD3DF43" w:rsidR="00C932D1" w:rsidRPr="00AA3A0A" w:rsidRDefault="00C932D1" w:rsidP="00AA3A0A">
            <w:pPr>
              <w:tabs>
                <w:tab w:val="left" w:pos="1505"/>
              </w:tabs>
              <w:rPr>
                <w:rFonts w:cs="Times New Roman"/>
                <w:color w:val="auto"/>
              </w:rPr>
            </w:pPr>
            <w:r w:rsidRPr="00AA3A0A">
              <w:rPr>
                <w:rFonts w:cs="Times New Roman"/>
                <w:color w:val="auto"/>
              </w:rPr>
              <w:t>297/22040 (</w:t>
            </w:r>
            <w:r w:rsidR="003F73BC" w:rsidRPr="00AA3A0A">
              <w:rPr>
                <w:rFonts w:cs="Times New Roman"/>
                <w:color w:val="auto"/>
              </w:rPr>
              <w:t>1.35</w:t>
            </w:r>
            <w:r w:rsidRPr="00AA3A0A">
              <w:rPr>
                <w:rFonts w:cs="Times New Roman"/>
                <w:color w:val="auto"/>
              </w:rPr>
              <w:t>%)</w:t>
            </w:r>
          </w:p>
        </w:tc>
        <w:tc>
          <w:tcPr>
            <w:tcW w:w="1870" w:type="dxa"/>
            <w:tcBorders>
              <w:top w:val="single" w:sz="4" w:space="0" w:color="auto"/>
            </w:tcBorders>
            <w:vAlign w:val="center"/>
          </w:tcPr>
          <w:p w14:paraId="22329369" w14:textId="019F2A1B" w:rsidR="00C932D1" w:rsidRPr="00AA3A0A" w:rsidRDefault="00C932D1" w:rsidP="00AA3A0A">
            <w:pPr>
              <w:tabs>
                <w:tab w:val="left" w:pos="1505"/>
              </w:tabs>
              <w:rPr>
                <w:rFonts w:cs="Times New Roman"/>
                <w:color w:val="auto"/>
              </w:rPr>
            </w:pPr>
            <w:r w:rsidRPr="00AA3A0A">
              <w:rPr>
                <w:rFonts w:cs="Times New Roman"/>
                <w:color w:val="auto"/>
              </w:rPr>
              <w:t>1.30 (1.02-1.66)</w:t>
            </w:r>
          </w:p>
        </w:tc>
        <w:tc>
          <w:tcPr>
            <w:tcW w:w="1870" w:type="dxa"/>
            <w:tcBorders>
              <w:top w:val="single" w:sz="4" w:space="0" w:color="auto"/>
            </w:tcBorders>
            <w:vAlign w:val="center"/>
          </w:tcPr>
          <w:p w14:paraId="094DFAF7" w14:textId="566DDE05" w:rsidR="00C932D1" w:rsidRPr="00AA3A0A" w:rsidRDefault="00C932D1" w:rsidP="00AA3A0A">
            <w:pPr>
              <w:tabs>
                <w:tab w:val="left" w:pos="1505"/>
              </w:tabs>
              <w:rPr>
                <w:rFonts w:cs="Times New Roman"/>
                <w:color w:val="auto"/>
              </w:rPr>
            </w:pPr>
            <w:r w:rsidRPr="00AA3A0A">
              <w:rPr>
                <w:rFonts w:cs="Times New Roman"/>
                <w:color w:val="auto"/>
              </w:rPr>
              <w:t>0.037</w:t>
            </w:r>
          </w:p>
        </w:tc>
        <w:tc>
          <w:tcPr>
            <w:tcW w:w="1870" w:type="dxa"/>
            <w:tcBorders>
              <w:top w:val="single" w:sz="4" w:space="0" w:color="auto"/>
            </w:tcBorders>
            <w:vAlign w:val="center"/>
          </w:tcPr>
          <w:p w14:paraId="0FA184B7" w14:textId="1C6B73B3" w:rsidR="00C932D1" w:rsidRPr="00AA3A0A" w:rsidRDefault="00C932D1" w:rsidP="00AA3A0A">
            <w:pPr>
              <w:tabs>
                <w:tab w:val="left" w:pos="1505"/>
              </w:tabs>
              <w:rPr>
                <w:rFonts w:cs="Times New Roman"/>
                <w:color w:val="auto"/>
              </w:rPr>
            </w:pPr>
            <w:r w:rsidRPr="00AA3A0A">
              <w:rPr>
                <w:rFonts w:cs="Times New Roman"/>
                <w:color w:val="auto"/>
              </w:rPr>
              <w:t>0.694</w:t>
            </w:r>
          </w:p>
        </w:tc>
      </w:tr>
      <w:tr w:rsidR="00AA3A0A" w:rsidRPr="00AA3A0A" w14:paraId="7B5B425D" w14:textId="77777777" w:rsidTr="00C522EA">
        <w:trPr>
          <w:trHeight w:val="567"/>
        </w:trPr>
        <w:tc>
          <w:tcPr>
            <w:tcW w:w="1870" w:type="dxa"/>
            <w:tcBorders>
              <w:bottom w:val="single" w:sz="4" w:space="0" w:color="auto"/>
            </w:tcBorders>
            <w:vAlign w:val="center"/>
          </w:tcPr>
          <w:p w14:paraId="6CFF970B" w14:textId="6852D225" w:rsidR="00C932D1" w:rsidRPr="00AA3A0A" w:rsidRDefault="0016189C" w:rsidP="00AA3A0A">
            <w:pPr>
              <w:tabs>
                <w:tab w:val="left" w:pos="1505"/>
              </w:tabs>
              <w:rPr>
                <w:rFonts w:cs="Times New Roman"/>
                <w:color w:val="auto"/>
              </w:rPr>
            </w:pPr>
            <w:r w:rsidRPr="00AA3A0A">
              <w:rPr>
                <w:rFonts w:cs="Times New Roman"/>
                <w:color w:val="auto"/>
              </w:rPr>
              <w:lastRenderedPageBreak/>
              <w:t>Imputation</w:t>
            </w:r>
          </w:p>
        </w:tc>
        <w:tc>
          <w:tcPr>
            <w:tcW w:w="1870" w:type="dxa"/>
            <w:tcBorders>
              <w:bottom w:val="single" w:sz="4" w:space="0" w:color="auto"/>
            </w:tcBorders>
            <w:vAlign w:val="center"/>
          </w:tcPr>
          <w:p w14:paraId="24528579" w14:textId="7B431459" w:rsidR="00C932D1" w:rsidRPr="00AA3A0A" w:rsidRDefault="003F73BC" w:rsidP="00AA3A0A">
            <w:pPr>
              <w:tabs>
                <w:tab w:val="left" w:pos="1505"/>
              </w:tabs>
              <w:rPr>
                <w:rFonts w:cs="Times New Roman"/>
                <w:color w:val="auto"/>
              </w:rPr>
            </w:pPr>
            <w:r w:rsidRPr="00AA3A0A">
              <w:rPr>
                <w:rFonts w:cs="Times New Roman"/>
                <w:color w:val="auto"/>
              </w:rPr>
              <w:t>3</w:t>
            </w:r>
            <w:r w:rsidR="00E15CA3" w:rsidRPr="00AA3A0A">
              <w:rPr>
                <w:rFonts w:cs="Times New Roman"/>
                <w:color w:val="auto"/>
              </w:rPr>
              <w:t>78</w:t>
            </w:r>
            <w:r w:rsidR="00C932D1" w:rsidRPr="00AA3A0A">
              <w:rPr>
                <w:rFonts w:cs="Times New Roman"/>
                <w:color w:val="auto"/>
              </w:rPr>
              <w:t>/2</w:t>
            </w:r>
            <w:r w:rsidRPr="00AA3A0A">
              <w:rPr>
                <w:rFonts w:cs="Times New Roman"/>
                <w:color w:val="auto"/>
              </w:rPr>
              <w:t>66</w:t>
            </w:r>
            <w:r w:rsidR="00E15CA3" w:rsidRPr="00AA3A0A">
              <w:rPr>
                <w:rFonts w:cs="Times New Roman"/>
                <w:color w:val="auto"/>
              </w:rPr>
              <w:t>68</w:t>
            </w:r>
            <w:r w:rsidR="00C932D1" w:rsidRPr="00AA3A0A">
              <w:rPr>
                <w:rFonts w:cs="Times New Roman"/>
                <w:color w:val="auto"/>
              </w:rPr>
              <w:t xml:space="preserve"> (</w:t>
            </w:r>
            <w:r w:rsidRPr="00AA3A0A">
              <w:rPr>
                <w:rFonts w:cs="Times New Roman"/>
                <w:color w:val="auto"/>
              </w:rPr>
              <w:t>1.</w:t>
            </w:r>
            <w:r w:rsidR="00E15CA3" w:rsidRPr="00AA3A0A">
              <w:rPr>
                <w:rFonts w:cs="Times New Roman"/>
                <w:color w:val="auto"/>
              </w:rPr>
              <w:t>42</w:t>
            </w:r>
            <w:r w:rsidRPr="00AA3A0A">
              <w:rPr>
                <w:rFonts w:cs="Times New Roman"/>
                <w:color w:val="auto"/>
              </w:rPr>
              <w:t>%</w:t>
            </w:r>
            <w:r w:rsidR="00C932D1" w:rsidRPr="00AA3A0A">
              <w:rPr>
                <w:rFonts w:cs="Times New Roman"/>
                <w:color w:val="auto"/>
              </w:rPr>
              <w:t>)</w:t>
            </w:r>
          </w:p>
        </w:tc>
        <w:tc>
          <w:tcPr>
            <w:tcW w:w="1870" w:type="dxa"/>
            <w:tcBorders>
              <w:bottom w:val="single" w:sz="4" w:space="0" w:color="auto"/>
            </w:tcBorders>
            <w:vAlign w:val="center"/>
          </w:tcPr>
          <w:p w14:paraId="0CD72BD5" w14:textId="125334A5" w:rsidR="00C932D1" w:rsidRPr="00AA3A0A" w:rsidRDefault="00C932D1" w:rsidP="00AA3A0A">
            <w:pPr>
              <w:tabs>
                <w:tab w:val="left" w:pos="1505"/>
              </w:tabs>
              <w:rPr>
                <w:rFonts w:cs="Times New Roman"/>
                <w:color w:val="auto"/>
              </w:rPr>
            </w:pPr>
            <w:r w:rsidRPr="00AA3A0A">
              <w:rPr>
                <w:rFonts w:cs="Times New Roman"/>
                <w:color w:val="auto"/>
              </w:rPr>
              <w:t>1.2</w:t>
            </w:r>
            <w:r w:rsidR="00E15CA3" w:rsidRPr="00AA3A0A">
              <w:rPr>
                <w:rFonts w:cs="Times New Roman"/>
                <w:color w:val="auto"/>
              </w:rPr>
              <w:t>7</w:t>
            </w:r>
            <w:r w:rsidRPr="00AA3A0A">
              <w:rPr>
                <w:rFonts w:cs="Times New Roman"/>
                <w:color w:val="auto"/>
              </w:rPr>
              <w:t xml:space="preserve"> (1.03-1.</w:t>
            </w:r>
            <w:r w:rsidR="00E15CA3" w:rsidRPr="00AA3A0A">
              <w:rPr>
                <w:rFonts w:cs="Times New Roman"/>
                <w:color w:val="auto"/>
              </w:rPr>
              <w:t>58</w:t>
            </w:r>
            <w:r w:rsidRPr="00AA3A0A">
              <w:rPr>
                <w:rFonts w:cs="Times New Roman"/>
                <w:color w:val="auto"/>
              </w:rPr>
              <w:t>)</w:t>
            </w:r>
          </w:p>
        </w:tc>
        <w:tc>
          <w:tcPr>
            <w:tcW w:w="1870" w:type="dxa"/>
            <w:tcBorders>
              <w:bottom w:val="single" w:sz="4" w:space="0" w:color="auto"/>
            </w:tcBorders>
            <w:vAlign w:val="center"/>
          </w:tcPr>
          <w:p w14:paraId="35B938B0" w14:textId="1D175E15" w:rsidR="00C932D1" w:rsidRPr="00AA3A0A" w:rsidRDefault="00C932D1" w:rsidP="00AA3A0A">
            <w:pPr>
              <w:tabs>
                <w:tab w:val="left" w:pos="1505"/>
              </w:tabs>
              <w:rPr>
                <w:rFonts w:cs="Times New Roman"/>
                <w:color w:val="auto"/>
              </w:rPr>
            </w:pPr>
            <w:r w:rsidRPr="00AA3A0A">
              <w:rPr>
                <w:rFonts w:cs="Times New Roman"/>
                <w:color w:val="auto"/>
              </w:rPr>
              <w:t>0.02</w:t>
            </w:r>
            <w:r w:rsidR="00E15CA3" w:rsidRPr="00AA3A0A">
              <w:rPr>
                <w:rFonts w:cs="Times New Roman"/>
                <w:color w:val="auto"/>
              </w:rPr>
              <w:t>9</w:t>
            </w:r>
          </w:p>
        </w:tc>
        <w:tc>
          <w:tcPr>
            <w:tcW w:w="1870" w:type="dxa"/>
            <w:tcBorders>
              <w:bottom w:val="single" w:sz="4" w:space="0" w:color="auto"/>
            </w:tcBorders>
            <w:vAlign w:val="center"/>
          </w:tcPr>
          <w:p w14:paraId="1DC07528" w14:textId="4A2A17F9" w:rsidR="00C932D1" w:rsidRPr="00AA3A0A" w:rsidRDefault="00C932D1" w:rsidP="00AA3A0A">
            <w:pPr>
              <w:tabs>
                <w:tab w:val="left" w:pos="1505"/>
              </w:tabs>
              <w:rPr>
                <w:rFonts w:cs="Times New Roman"/>
                <w:color w:val="auto"/>
              </w:rPr>
            </w:pPr>
            <w:r w:rsidRPr="00AA3A0A">
              <w:rPr>
                <w:rFonts w:cs="Times New Roman"/>
                <w:color w:val="auto"/>
              </w:rPr>
              <w:t>0.68</w:t>
            </w:r>
            <w:r w:rsidR="003F73BC" w:rsidRPr="00AA3A0A">
              <w:rPr>
                <w:rFonts w:cs="Times New Roman"/>
                <w:color w:val="auto"/>
              </w:rPr>
              <w:t>5</w:t>
            </w:r>
          </w:p>
        </w:tc>
      </w:tr>
      <w:tr w:rsidR="00AA3A0A" w:rsidRPr="00AA3A0A" w14:paraId="71081490" w14:textId="77777777" w:rsidTr="00C522EA">
        <w:trPr>
          <w:trHeight w:val="567"/>
        </w:trPr>
        <w:tc>
          <w:tcPr>
            <w:tcW w:w="1870" w:type="dxa"/>
            <w:tcBorders>
              <w:top w:val="single" w:sz="4" w:space="0" w:color="auto"/>
              <w:bottom w:val="single" w:sz="4" w:space="0" w:color="auto"/>
            </w:tcBorders>
            <w:vAlign w:val="center"/>
          </w:tcPr>
          <w:p w14:paraId="770DEAE2" w14:textId="7FA4F68C" w:rsidR="00C932D1" w:rsidRPr="00AA3A0A" w:rsidRDefault="00C932D1" w:rsidP="00AA3A0A">
            <w:pPr>
              <w:tabs>
                <w:tab w:val="left" w:pos="1505"/>
              </w:tabs>
              <w:rPr>
                <w:rFonts w:cs="Times New Roman"/>
                <w:color w:val="auto"/>
              </w:rPr>
            </w:pPr>
            <w:r w:rsidRPr="00AA3A0A">
              <w:rPr>
                <w:rFonts w:cs="Times New Roman"/>
                <w:color w:val="auto"/>
              </w:rPr>
              <w:t>Diabetes</w:t>
            </w:r>
          </w:p>
        </w:tc>
        <w:tc>
          <w:tcPr>
            <w:tcW w:w="1870" w:type="dxa"/>
            <w:tcBorders>
              <w:top w:val="single" w:sz="4" w:space="0" w:color="auto"/>
              <w:bottom w:val="single" w:sz="4" w:space="0" w:color="auto"/>
            </w:tcBorders>
            <w:vAlign w:val="center"/>
          </w:tcPr>
          <w:p w14:paraId="6BF8DF1A" w14:textId="77777777" w:rsidR="00C932D1" w:rsidRPr="00AA3A0A" w:rsidRDefault="00C932D1"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4593E427" w14:textId="77777777" w:rsidR="00C932D1" w:rsidRPr="00AA3A0A" w:rsidRDefault="00C932D1"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55A481CF" w14:textId="77777777" w:rsidR="00C932D1" w:rsidRPr="00AA3A0A" w:rsidRDefault="00C932D1"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2314D3A5" w14:textId="77777777" w:rsidR="00C932D1" w:rsidRPr="00AA3A0A" w:rsidRDefault="00C932D1" w:rsidP="00AA3A0A">
            <w:pPr>
              <w:tabs>
                <w:tab w:val="left" w:pos="1505"/>
              </w:tabs>
              <w:rPr>
                <w:rFonts w:cs="Times New Roman"/>
                <w:color w:val="auto"/>
              </w:rPr>
            </w:pPr>
          </w:p>
        </w:tc>
      </w:tr>
      <w:tr w:rsidR="00AA3A0A" w:rsidRPr="00AA3A0A" w14:paraId="1BF47702" w14:textId="77777777" w:rsidTr="00C522EA">
        <w:trPr>
          <w:trHeight w:val="567"/>
        </w:trPr>
        <w:tc>
          <w:tcPr>
            <w:tcW w:w="1870" w:type="dxa"/>
            <w:tcBorders>
              <w:top w:val="single" w:sz="4" w:space="0" w:color="auto"/>
            </w:tcBorders>
            <w:vAlign w:val="center"/>
          </w:tcPr>
          <w:p w14:paraId="5E09DE48" w14:textId="1DE53410" w:rsidR="00C932D1" w:rsidRPr="00AA3A0A" w:rsidRDefault="0016189C" w:rsidP="00AA3A0A">
            <w:pPr>
              <w:tabs>
                <w:tab w:val="left" w:pos="1505"/>
              </w:tabs>
              <w:rPr>
                <w:rFonts w:cs="Times New Roman"/>
                <w:color w:val="auto"/>
              </w:rPr>
            </w:pPr>
            <w:r w:rsidRPr="00AA3A0A">
              <w:rPr>
                <w:rFonts w:cs="Times New Roman"/>
                <w:color w:val="auto"/>
              </w:rPr>
              <w:t>Complete case</w:t>
            </w:r>
          </w:p>
        </w:tc>
        <w:tc>
          <w:tcPr>
            <w:tcW w:w="1870" w:type="dxa"/>
            <w:tcBorders>
              <w:top w:val="single" w:sz="4" w:space="0" w:color="auto"/>
            </w:tcBorders>
            <w:vAlign w:val="center"/>
          </w:tcPr>
          <w:p w14:paraId="3BA167AB" w14:textId="04199D84" w:rsidR="00C932D1" w:rsidRPr="00AA3A0A" w:rsidRDefault="00C932D1" w:rsidP="00AA3A0A">
            <w:pPr>
              <w:tabs>
                <w:tab w:val="left" w:pos="1505"/>
              </w:tabs>
              <w:rPr>
                <w:rFonts w:cs="Times New Roman"/>
                <w:color w:val="auto"/>
              </w:rPr>
            </w:pPr>
            <w:r w:rsidRPr="00AA3A0A">
              <w:rPr>
                <w:rFonts w:cs="Times New Roman"/>
                <w:color w:val="auto"/>
              </w:rPr>
              <w:t>251/22040 (</w:t>
            </w:r>
            <w:r w:rsidR="003F73BC" w:rsidRPr="00AA3A0A">
              <w:rPr>
                <w:rFonts w:cs="Times New Roman"/>
                <w:color w:val="auto"/>
              </w:rPr>
              <w:t>1.14</w:t>
            </w:r>
            <w:r w:rsidRPr="00AA3A0A">
              <w:rPr>
                <w:rFonts w:cs="Times New Roman"/>
                <w:color w:val="auto"/>
              </w:rPr>
              <w:t>%)</w:t>
            </w:r>
          </w:p>
        </w:tc>
        <w:tc>
          <w:tcPr>
            <w:tcW w:w="1870" w:type="dxa"/>
            <w:tcBorders>
              <w:top w:val="single" w:sz="4" w:space="0" w:color="auto"/>
            </w:tcBorders>
            <w:vAlign w:val="center"/>
          </w:tcPr>
          <w:p w14:paraId="3A12DA19" w14:textId="5D9142E1" w:rsidR="00C932D1" w:rsidRPr="00AA3A0A" w:rsidRDefault="00C932D1" w:rsidP="00AA3A0A">
            <w:pPr>
              <w:tabs>
                <w:tab w:val="left" w:pos="1505"/>
              </w:tabs>
              <w:rPr>
                <w:rFonts w:cs="Times New Roman"/>
                <w:color w:val="auto"/>
              </w:rPr>
            </w:pPr>
            <w:r w:rsidRPr="00AA3A0A">
              <w:rPr>
                <w:rFonts w:cs="Times New Roman"/>
                <w:color w:val="auto"/>
              </w:rPr>
              <w:t>1.77 (1.34-2.33)</w:t>
            </w:r>
          </w:p>
        </w:tc>
        <w:tc>
          <w:tcPr>
            <w:tcW w:w="1870" w:type="dxa"/>
            <w:tcBorders>
              <w:top w:val="single" w:sz="4" w:space="0" w:color="auto"/>
            </w:tcBorders>
            <w:vAlign w:val="center"/>
          </w:tcPr>
          <w:p w14:paraId="0045B5CC" w14:textId="3BE45B05" w:rsidR="00C932D1" w:rsidRPr="00AA3A0A" w:rsidRDefault="00C932D1" w:rsidP="00AA3A0A">
            <w:pPr>
              <w:tabs>
                <w:tab w:val="left" w:pos="1505"/>
              </w:tabs>
              <w:rPr>
                <w:rFonts w:cs="Times New Roman"/>
                <w:color w:val="auto"/>
              </w:rPr>
            </w:pPr>
            <w:r w:rsidRPr="00AA3A0A">
              <w:rPr>
                <w:rFonts w:cs="Times New Roman"/>
                <w:color w:val="auto"/>
              </w:rPr>
              <w:t>&lt;0.001</w:t>
            </w:r>
          </w:p>
        </w:tc>
        <w:tc>
          <w:tcPr>
            <w:tcW w:w="1870" w:type="dxa"/>
            <w:tcBorders>
              <w:top w:val="single" w:sz="4" w:space="0" w:color="auto"/>
            </w:tcBorders>
            <w:vAlign w:val="center"/>
          </w:tcPr>
          <w:p w14:paraId="0D5BF5E1" w14:textId="474E9766" w:rsidR="00C932D1" w:rsidRPr="00AA3A0A" w:rsidRDefault="00C932D1" w:rsidP="00AA3A0A">
            <w:pPr>
              <w:tabs>
                <w:tab w:val="left" w:pos="1505"/>
              </w:tabs>
              <w:rPr>
                <w:rFonts w:cs="Times New Roman"/>
                <w:color w:val="auto"/>
              </w:rPr>
            </w:pPr>
            <w:r w:rsidRPr="00AA3A0A">
              <w:rPr>
                <w:rFonts w:cs="Times New Roman"/>
                <w:color w:val="auto"/>
              </w:rPr>
              <w:t>0.723</w:t>
            </w:r>
          </w:p>
        </w:tc>
      </w:tr>
      <w:tr w:rsidR="00AA3A0A" w:rsidRPr="00AA3A0A" w14:paraId="031E3304" w14:textId="77777777" w:rsidTr="00C522EA">
        <w:trPr>
          <w:trHeight w:val="567"/>
        </w:trPr>
        <w:tc>
          <w:tcPr>
            <w:tcW w:w="1870" w:type="dxa"/>
            <w:tcBorders>
              <w:bottom w:val="single" w:sz="4" w:space="0" w:color="auto"/>
            </w:tcBorders>
            <w:vAlign w:val="center"/>
          </w:tcPr>
          <w:p w14:paraId="0C864766" w14:textId="4F95D4B4" w:rsidR="00C932D1" w:rsidRPr="00AA3A0A" w:rsidRDefault="0016189C" w:rsidP="00AA3A0A">
            <w:pPr>
              <w:tabs>
                <w:tab w:val="left" w:pos="1505"/>
              </w:tabs>
              <w:rPr>
                <w:rFonts w:cs="Times New Roman"/>
                <w:color w:val="auto"/>
              </w:rPr>
            </w:pPr>
            <w:r w:rsidRPr="00AA3A0A">
              <w:rPr>
                <w:rFonts w:cs="Times New Roman"/>
                <w:color w:val="auto"/>
              </w:rPr>
              <w:t>Imputation</w:t>
            </w:r>
          </w:p>
        </w:tc>
        <w:tc>
          <w:tcPr>
            <w:tcW w:w="1870" w:type="dxa"/>
            <w:tcBorders>
              <w:bottom w:val="single" w:sz="4" w:space="0" w:color="auto"/>
            </w:tcBorders>
            <w:vAlign w:val="center"/>
          </w:tcPr>
          <w:p w14:paraId="166DDE89" w14:textId="6BCF5CF5" w:rsidR="00C932D1" w:rsidRPr="00AA3A0A" w:rsidRDefault="003F73BC" w:rsidP="00AA3A0A">
            <w:pPr>
              <w:tabs>
                <w:tab w:val="left" w:pos="1505"/>
              </w:tabs>
              <w:rPr>
                <w:rFonts w:cs="Times New Roman"/>
                <w:color w:val="auto"/>
              </w:rPr>
            </w:pPr>
            <w:r w:rsidRPr="00AA3A0A">
              <w:rPr>
                <w:rFonts w:cs="Times New Roman"/>
                <w:color w:val="auto"/>
              </w:rPr>
              <w:t>3</w:t>
            </w:r>
            <w:r w:rsidR="00E15CA3" w:rsidRPr="00AA3A0A">
              <w:rPr>
                <w:rFonts w:cs="Times New Roman"/>
                <w:color w:val="auto"/>
              </w:rPr>
              <w:t>17</w:t>
            </w:r>
            <w:r w:rsidR="00C932D1" w:rsidRPr="00AA3A0A">
              <w:rPr>
                <w:rFonts w:cs="Times New Roman"/>
                <w:color w:val="auto"/>
              </w:rPr>
              <w:t>/2</w:t>
            </w:r>
            <w:r w:rsidRPr="00AA3A0A">
              <w:rPr>
                <w:rFonts w:cs="Times New Roman"/>
                <w:color w:val="auto"/>
              </w:rPr>
              <w:t>66</w:t>
            </w:r>
            <w:r w:rsidR="00E15CA3" w:rsidRPr="00AA3A0A">
              <w:rPr>
                <w:rFonts w:cs="Times New Roman"/>
                <w:color w:val="auto"/>
              </w:rPr>
              <w:t>68</w:t>
            </w:r>
            <w:r w:rsidR="00C932D1" w:rsidRPr="00AA3A0A">
              <w:rPr>
                <w:rFonts w:cs="Times New Roman"/>
                <w:color w:val="auto"/>
              </w:rPr>
              <w:t xml:space="preserve"> (</w:t>
            </w:r>
            <w:r w:rsidRPr="00AA3A0A">
              <w:rPr>
                <w:rFonts w:cs="Times New Roman"/>
                <w:color w:val="auto"/>
              </w:rPr>
              <w:t>1.</w:t>
            </w:r>
            <w:r w:rsidR="00E15CA3" w:rsidRPr="00AA3A0A">
              <w:rPr>
                <w:rFonts w:cs="Times New Roman"/>
                <w:color w:val="auto"/>
              </w:rPr>
              <w:t>19</w:t>
            </w:r>
            <w:r w:rsidR="00C932D1" w:rsidRPr="00AA3A0A">
              <w:rPr>
                <w:rFonts w:cs="Times New Roman"/>
                <w:color w:val="auto"/>
              </w:rPr>
              <w:t>%)</w:t>
            </w:r>
          </w:p>
        </w:tc>
        <w:tc>
          <w:tcPr>
            <w:tcW w:w="1870" w:type="dxa"/>
            <w:tcBorders>
              <w:bottom w:val="single" w:sz="4" w:space="0" w:color="auto"/>
            </w:tcBorders>
            <w:vAlign w:val="center"/>
          </w:tcPr>
          <w:p w14:paraId="0FFEF661" w14:textId="0D2E016B" w:rsidR="00C932D1" w:rsidRPr="00AA3A0A" w:rsidRDefault="00C932D1" w:rsidP="00AA3A0A">
            <w:pPr>
              <w:tabs>
                <w:tab w:val="left" w:pos="1505"/>
              </w:tabs>
              <w:rPr>
                <w:rFonts w:cs="Times New Roman"/>
                <w:color w:val="auto"/>
              </w:rPr>
            </w:pPr>
            <w:r w:rsidRPr="00AA3A0A">
              <w:rPr>
                <w:rFonts w:cs="Times New Roman"/>
                <w:color w:val="auto"/>
              </w:rPr>
              <w:t>1.7</w:t>
            </w:r>
            <w:r w:rsidR="00E15CA3" w:rsidRPr="00AA3A0A">
              <w:rPr>
                <w:rFonts w:cs="Times New Roman"/>
                <w:color w:val="auto"/>
              </w:rPr>
              <w:t>5</w:t>
            </w:r>
            <w:r w:rsidRPr="00AA3A0A">
              <w:rPr>
                <w:rFonts w:cs="Times New Roman"/>
                <w:color w:val="auto"/>
              </w:rPr>
              <w:t xml:space="preserve"> (1.36-2.23)</w:t>
            </w:r>
          </w:p>
        </w:tc>
        <w:tc>
          <w:tcPr>
            <w:tcW w:w="1870" w:type="dxa"/>
            <w:tcBorders>
              <w:bottom w:val="single" w:sz="4" w:space="0" w:color="auto"/>
            </w:tcBorders>
            <w:vAlign w:val="center"/>
          </w:tcPr>
          <w:p w14:paraId="433E9B17" w14:textId="73095302" w:rsidR="00C932D1" w:rsidRPr="00AA3A0A" w:rsidRDefault="00C932D1" w:rsidP="00AA3A0A">
            <w:pPr>
              <w:tabs>
                <w:tab w:val="left" w:pos="1505"/>
              </w:tabs>
              <w:rPr>
                <w:rFonts w:cs="Times New Roman"/>
                <w:color w:val="auto"/>
              </w:rPr>
            </w:pPr>
            <w:r w:rsidRPr="00AA3A0A">
              <w:rPr>
                <w:rFonts w:cs="Times New Roman"/>
                <w:color w:val="auto"/>
              </w:rPr>
              <w:t>&lt;0.001</w:t>
            </w:r>
          </w:p>
        </w:tc>
        <w:tc>
          <w:tcPr>
            <w:tcW w:w="1870" w:type="dxa"/>
            <w:tcBorders>
              <w:bottom w:val="single" w:sz="4" w:space="0" w:color="auto"/>
            </w:tcBorders>
            <w:vAlign w:val="center"/>
          </w:tcPr>
          <w:p w14:paraId="53D08F81" w14:textId="38F91441" w:rsidR="00C932D1" w:rsidRPr="00AA3A0A" w:rsidRDefault="00C932D1" w:rsidP="00AA3A0A">
            <w:pPr>
              <w:tabs>
                <w:tab w:val="left" w:pos="1505"/>
              </w:tabs>
              <w:rPr>
                <w:rFonts w:cs="Times New Roman"/>
                <w:color w:val="auto"/>
              </w:rPr>
            </w:pPr>
            <w:r w:rsidRPr="00AA3A0A">
              <w:rPr>
                <w:rFonts w:cs="Times New Roman"/>
                <w:color w:val="auto"/>
              </w:rPr>
              <w:t>0.72</w:t>
            </w:r>
            <w:r w:rsidR="00E15CA3" w:rsidRPr="00AA3A0A">
              <w:rPr>
                <w:rFonts w:cs="Times New Roman"/>
                <w:color w:val="auto"/>
              </w:rPr>
              <w:t>4</w:t>
            </w:r>
          </w:p>
        </w:tc>
      </w:tr>
    </w:tbl>
    <w:p w14:paraId="3D609887" w14:textId="468AC5CC" w:rsidR="003F73BC" w:rsidRPr="00AA3A0A" w:rsidRDefault="00EB2BBB" w:rsidP="00AA3A0A">
      <w:pPr>
        <w:tabs>
          <w:tab w:val="left" w:pos="1505"/>
        </w:tabs>
        <w:rPr>
          <w:rFonts w:cs="Times New Roman"/>
          <w:color w:val="auto"/>
          <w:szCs w:val="20"/>
        </w:rPr>
      </w:pPr>
      <w:r w:rsidRPr="00AA3A0A">
        <w:rPr>
          <w:rFonts w:cs="Times New Roman"/>
          <w:color w:val="auto"/>
          <w:szCs w:val="20"/>
        </w:rPr>
        <w:t>All models adjusted for age, sex, smoking status, waist circumference, and BMI (Model 5 in main manuscript). Primary analysis: complete case analysis (n=22,040). Imputed cohort: n=26,6</w:t>
      </w:r>
      <w:r w:rsidR="00E15CA3" w:rsidRPr="00AA3A0A">
        <w:rPr>
          <w:rFonts w:cs="Times New Roman"/>
          <w:color w:val="auto"/>
          <w:szCs w:val="20"/>
        </w:rPr>
        <w:t>68</w:t>
      </w:r>
      <w:r w:rsidRPr="00AA3A0A">
        <w:rPr>
          <w:rFonts w:cs="Times New Roman"/>
          <w:color w:val="auto"/>
          <w:szCs w:val="20"/>
        </w:rPr>
        <w:t xml:space="preserve"> using single random forest-based imputation (1,000 trees; missRanger v2.6.1, R). BMI, body mass index; CI, confidence interval; C-index, Harrell's concordance statistic, a measure of model discrimination (range 0.5–1.0); HR, hazard ratio; MACE, major adverse cardiovascular events; VAT/SAT ratio, visceral-to-subcutaneous adipose tissue ratio.</w:t>
      </w:r>
    </w:p>
    <w:p w14:paraId="323C0EB1" w14:textId="77777777" w:rsidR="007C5F88" w:rsidRPr="00AA3A0A" w:rsidRDefault="007C5F88" w:rsidP="00AA3A0A">
      <w:pPr>
        <w:tabs>
          <w:tab w:val="left" w:pos="1505"/>
        </w:tabs>
        <w:rPr>
          <w:rFonts w:cs="Times New Roman"/>
          <w:color w:val="auto"/>
          <w:szCs w:val="20"/>
        </w:rPr>
      </w:pPr>
    </w:p>
    <w:p w14:paraId="1D3A19BC" w14:textId="57BFE8A9" w:rsidR="007C5F88" w:rsidRPr="00AA3A0A" w:rsidRDefault="007C5F88" w:rsidP="00AA3A0A">
      <w:pPr>
        <w:tabs>
          <w:tab w:val="left" w:pos="1505"/>
        </w:tabs>
        <w:rPr>
          <w:rFonts w:cs="Times New Roman"/>
          <w:color w:val="auto"/>
          <w:szCs w:val="20"/>
        </w:rPr>
      </w:pPr>
    </w:p>
    <w:p w14:paraId="13C1128A" w14:textId="54D30830" w:rsidR="003F73BC" w:rsidRPr="00AA3A0A" w:rsidRDefault="003F73BC" w:rsidP="00AA3A0A">
      <w:pPr>
        <w:rPr>
          <w:bCs/>
          <w:color w:val="auto"/>
        </w:rPr>
      </w:pPr>
      <w:r w:rsidRPr="00AA3A0A">
        <w:rPr>
          <w:b/>
          <w:bCs/>
          <w:color w:val="auto"/>
        </w:rPr>
        <w:t xml:space="preserve">Supplemental Table </w:t>
      </w:r>
      <w:r w:rsidR="007C5F88" w:rsidRPr="00AA3A0A">
        <w:rPr>
          <w:b/>
          <w:bCs/>
          <w:color w:val="auto"/>
        </w:rPr>
        <w:t>4</w:t>
      </w:r>
      <w:r w:rsidRPr="00AA3A0A">
        <w:rPr>
          <w:b/>
          <w:bCs/>
          <w:color w:val="auto"/>
        </w:rPr>
        <w:t xml:space="preserve">: </w:t>
      </w:r>
      <w:r w:rsidR="003F5CF9" w:rsidRPr="00AA3A0A">
        <w:rPr>
          <w:b/>
          <w:bCs/>
          <w:color w:val="auto"/>
        </w:rPr>
        <w:t>Enhanced metabolic health definition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A3A0A" w:rsidRPr="00AA3A0A" w14:paraId="23292D31" w14:textId="77777777" w:rsidTr="00C522EA">
        <w:trPr>
          <w:trHeight w:val="567"/>
        </w:trPr>
        <w:tc>
          <w:tcPr>
            <w:tcW w:w="1870" w:type="dxa"/>
            <w:tcBorders>
              <w:top w:val="single" w:sz="4" w:space="0" w:color="auto"/>
              <w:bottom w:val="single" w:sz="4" w:space="0" w:color="auto"/>
            </w:tcBorders>
            <w:vAlign w:val="center"/>
          </w:tcPr>
          <w:p w14:paraId="70F0F832" w14:textId="77777777" w:rsidR="003F73BC" w:rsidRPr="00AA3A0A" w:rsidRDefault="003F73BC" w:rsidP="00AA3A0A">
            <w:pPr>
              <w:tabs>
                <w:tab w:val="left" w:pos="1505"/>
              </w:tabs>
              <w:rPr>
                <w:rFonts w:cs="Times New Roman"/>
                <w:color w:val="auto"/>
              </w:rPr>
            </w:pPr>
            <w:r w:rsidRPr="00AA3A0A">
              <w:rPr>
                <w:rFonts w:cs="Times New Roman"/>
                <w:color w:val="auto"/>
              </w:rPr>
              <w:t>Analysis</w:t>
            </w:r>
          </w:p>
        </w:tc>
        <w:tc>
          <w:tcPr>
            <w:tcW w:w="1870" w:type="dxa"/>
            <w:tcBorders>
              <w:top w:val="single" w:sz="4" w:space="0" w:color="auto"/>
              <w:bottom w:val="single" w:sz="4" w:space="0" w:color="auto"/>
            </w:tcBorders>
            <w:vAlign w:val="center"/>
          </w:tcPr>
          <w:p w14:paraId="676E7B9D" w14:textId="77777777" w:rsidR="003F73BC" w:rsidRPr="00AA3A0A" w:rsidRDefault="003F73BC" w:rsidP="00AA3A0A">
            <w:pPr>
              <w:tabs>
                <w:tab w:val="left" w:pos="1505"/>
              </w:tabs>
              <w:rPr>
                <w:rFonts w:cs="Times New Roman"/>
                <w:color w:val="auto"/>
              </w:rPr>
            </w:pPr>
            <w:r w:rsidRPr="00AA3A0A">
              <w:rPr>
                <w:rFonts w:cs="Times New Roman"/>
                <w:color w:val="auto"/>
              </w:rPr>
              <w:t>Events</w:t>
            </w:r>
          </w:p>
        </w:tc>
        <w:tc>
          <w:tcPr>
            <w:tcW w:w="1870" w:type="dxa"/>
            <w:tcBorders>
              <w:top w:val="single" w:sz="4" w:space="0" w:color="auto"/>
              <w:bottom w:val="single" w:sz="4" w:space="0" w:color="auto"/>
            </w:tcBorders>
            <w:vAlign w:val="center"/>
          </w:tcPr>
          <w:p w14:paraId="14893424" w14:textId="77777777" w:rsidR="003F73BC" w:rsidRPr="00AA3A0A" w:rsidRDefault="003F73BC" w:rsidP="00AA3A0A">
            <w:pPr>
              <w:tabs>
                <w:tab w:val="left" w:pos="1505"/>
              </w:tabs>
              <w:rPr>
                <w:rFonts w:cs="Times New Roman"/>
                <w:color w:val="auto"/>
              </w:rPr>
            </w:pPr>
            <w:r w:rsidRPr="00AA3A0A">
              <w:rPr>
                <w:rFonts w:cs="Times New Roman"/>
                <w:color w:val="auto"/>
              </w:rPr>
              <w:t>HR (95% CI)</w:t>
            </w:r>
          </w:p>
        </w:tc>
        <w:tc>
          <w:tcPr>
            <w:tcW w:w="1870" w:type="dxa"/>
            <w:tcBorders>
              <w:top w:val="single" w:sz="4" w:space="0" w:color="auto"/>
              <w:bottom w:val="single" w:sz="4" w:space="0" w:color="auto"/>
            </w:tcBorders>
            <w:vAlign w:val="center"/>
          </w:tcPr>
          <w:p w14:paraId="6EA21773" w14:textId="77777777" w:rsidR="003F73BC" w:rsidRPr="00AA3A0A" w:rsidRDefault="003F73BC" w:rsidP="00AA3A0A">
            <w:pPr>
              <w:tabs>
                <w:tab w:val="left" w:pos="1505"/>
              </w:tabs>
              <w:rPr>
                <w:rFonts w:cs="Times New Roman"/>
                <w:color w:val="auto"/>
              </w:rPr>
            </w:pPr>
            <w:r w:rsidRPr="00AA3A0A">
              <w:rPr>
                <w:rFonts w:cs="Times New Roman"/>
                <w:color w:val="auto"/>
              </w:rPr>
              <w:t>p-value</w:t>
            </w:r>
          </w:p>
        </w:tc>
        <w:tc>
          <w:tcPr>
            <w:tcW w:w="1870" w:type="dxa"/>
            <w:tcBorders>
              <w:top w:val="single" w:sz="4" w:space="0" w:color="auto"/>
              <w:bottom w:val="single" w:sz="4" w:space="0" w:color="auto"/>
            </w:tcBorders>
            <w:vAlign w:val="center"/>
          </w:tcPr>
          <w:p w14:paraId="5B6A96D4" w14:textId="77777777" w:rsidR="003F73BC" w:rsidRPr="00AA3A0A" w:rsidRDefault="003F73BC" w:rsidP="00AA3A0A">
            <w:pPr>
              <w:tabs>
                <w:tab w:val="left" w:pos="1505"/>
              </w:tabs>
              <w:rPr>
                <w:rFonts w:cs="Times New Roman"/>
                <w:color w:val="auto"/>
              </w:rPr>
            </w:pPr>
            <w:r w:rsidRPr="00AA3A0A">
              <w:rPr>
                <w:rFonts w:cs="Times New Roman"/>
                <w:color w:val="auto"/>
              </w:rPr>
              <w:t>C-index</w:t>
            </w:r>
          </w:p>
        </w:tc>
      </w:tr>
      <w:tr w:rsidR="00AA3A0A" w:rsidRPr="00AA3A0A" w14:paraId="5A79FCA8" w14:textId="77777777" w:rsidTr="00C522EA">
        <w:trPr>
          <w:trHeight w:val="567"/>
        </w:trPr>
        <w:tc>
          <w:tcPr>
            <w:tcW w:w="1870" w:type="dxa"/>
            <w:tcBorders>
              <w:top w:val="single" w:sz="4" w:space="0" w:color="auto"/>
              <w:bottom w:val="single" w:sz="4" w:space="0" w:color="auto"/>
            </w:tcBorders>
            <w:vAlign w:val="center"/>
          </w:tcPr>
          <w:p w14:paraId="7DB77309" w14:textId="77777777" w:rsidR="003F73BC" w:rsidRPr="00AA3A0A" w:rsidRDefault="003F73BC" w:rsidP="00AA3A0A">
            <w:pPr>
              <w:tabs>
                <w:tab w:val="left" w:pos="1505"/>
              </w:tabs>
              <w:rPr>
                <w:rFonts w:cs="Times New Roman"/>
                <w:color w:val="auto"/>
              </w:rPr>
            </w:pPr>
            <w:r w:rsidRPr="00AA3A0A">
              <w:rPr>
                <w:rFonts w:cs="Times New Roman"/>
                <w:color w:val="auto"/>
              </w:rPr>
              <w:t>MACE</w:t>
            </w:r>
          </w:p>
        </w:tc>
        <w:tc>
          <w:tcPr>
            <w:tcW w:w="1870" w:type="dxa"/>
            <w:tcBorders>
              <w:top w:val="single" w:sz="4" w:space="0" w:color="auto"/>
              <w:bottom w:val="single" w:sz="4" w:space="0" w:color="auto"/>
            </w:tcBorders>
            <w:vAlign w:val="center"/>
          </w:tcPr>
          <w:p w14:paraId="01C50FFE" w14:textId="77777777" w:rsidR="003F73BC" w:rsidRPr="00AA3A0A" w:rsidRDefault="003F73BC"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00033029" w14:textId="77777777" w:rsidR="003F73BC" w:rsidRPr="00AA3A0A" w:rsidRDefault="003F73BC"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155B40CF" w14:textId="77777777" w:rsidR="003F73BC" w:rsidRPr="00AA3A0A" w:rsidRDefault="003F73BC"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68D1FA3E" w14:textId="77777777" w:rsidR="003F73BC" w:rsidRPr="00AA3A0A" w:rsidRDefault="003F73BC" w:rsidP="00AA3A0A">
            <w:pPr>
              <w:tabs>
                <w:tab w:val="left" w:pos="1505"/>
              </w:tabs>
              <w:rPr>
                <w:rFonts w:cs="Times New Roman"/>
                <w:color w:val="auto"/>
              </w:rPr>
            </w:pPr>
          </w:p>
        </w:tc>
      </w:tr>
      <w:tr w:rsidR="00AA3A0A" w:rsidRPr="00AA3A0A" w14:paraId="1707B474" w14:textId="77777777" w:rsidTr="00C522EA">
        <w:trPr>
          <w:trHeight w:val="567"/>
        </w:trPr>
        <w:tc>
          <w:tcPr>
            <w:tcW w:w="1870" w:type="dxa"/>
            <w:tcBorders>
              <w:top w:val="single" w:sz="4" w:space="0" w:color="auto"/>
            </w:tcBorders>
            <w:vAlign w:val="center"/>
          </w:tcPr>
          <w:p w14:paraId="14DE9499" w14:textId="71080A4D" w:rsidR="003F73BC" w:rsidRPr="00AA3A0A" w:rsidRDefault="003F73BC" w:rsidP="00AA3A0A">
            <w:pPr>
              <w:tabs>
                <w:tab w:val="left" w:pos="1505"/>
              </w:tabs>
              <w:rPr>
                <w:rFonts w:cs="Times New Roman"/>
                <w:color w:val="auto"/>
              </w:rPr>
            </w:pPr>
            <w:r w:rsidRPr="00AA3A0A">
              <w:rPr>
                <w:rFonts w:cs="Times New Roman"/>
                <w:color w:val="auto"/>
              </w:rPr>
              <w:t>Primary analysis</w:t>
            </w:r>
          </w:p>
        </w:tc>
        <w:tc>
          <w:tcPr>
            <w:tcW w:w="1870" w:type="dxa"/>
            <w:tcBorders>
              <w:top w:val="single" w:sz="4" w:space="0" w:color="auto"/>
            </w:tcBorders>
            <w:vAlign w:val="center"/>
          </w:tcPr>
          <w:p w14:paraId="39F763B6" w14:textId="77777777" w:rsidR="003F73BC" w:rsidRPr="00AA3A0A" w:rsidRDefault="003F73BC" w:rsidP="00AA3A0A">
            <w:pPr>
              <w:tabs>
                <w:tab w:val="left" w:pos="1505"/>
              </w:tabs>
              <w:rPr>
                <w:rFonts w:cs="Times New Roman"/>
                <w:color w:val="auto"/>
              </w:rPr>
            </w:pPr>
            <w:r w:rsidRPr="00AA3A0A">
              <w:rPr>
                <w:rFonts w:cs="Times New Roman"/>
                <w:color w:val="auto"/>
              </w:rPr>
              <w:t>297/22040 (1.35%)</w:t>
            </w:r>
          </w:p>
        </w:tc>
        <w:tc>
          <w:tcPr>
            <w:tcW w:w="1870" w:type="dxa"/>
            <w:tcBorders>
              <w:top w:val="single" w:sz="4" w:space="0" w:color="auto"/>
            </w:tcBorders>
            <w:vAlign w:val="center"/>
          </w:tcPr>
          <w:p w14:paraId="62B90472" w14:textId="77777777" w:rsidR="003F73BC" w:rsidRPr="00AA3A0A" w:rsidRDefault="003F73BC" w:rsidP="00AA3A0A">
            <w:pPr>
              <w:tabs>
                <w:tab w:val="left" w:pos="1505"/>
              </w:tabs>
              <w:rPr>
                <w:rFonts w:cs="Times New Roman"/>
                <w:color w:val="auto"/>
              </w:rPr>
            </w:pPr>
            <w:r w:rsidRPr="00AA3A0A">
              <w:rPr>
                <w:rFonts w:cs="Times New Roman"/>
                <w:color w:val="auto"/>
              </w:rPr>
              <w:t>1.30 (1.02-1.66)</w:t>
            </w:r>
          </w:p>
        </w:tc>
        <w:tc>
          <w:tcPr>
            <w:tcW w:w="1870" w:type="dxa"/>
            <w:tcBorders>
              <w:top w:val="single" w:sz="4" w:space="0" w:color="auto"/>
            </w:tcBorders>
            <w:vAlign w:val="center"/>
          </w:tcPr>
          <w:p w14:paraId="6EEC869E" w14:textId="77777777" w:rsidR="003F73BC" w:rsidRPr="00AA3A0A" w:rsidRDefault="003F73BC" w:rsidP="00AA3A0A">
            <w:pPr>
              <w:tabs>
                <w:tab w:val="left" w:pos="1505"/>
              </w:tabs>
              <w:rPr>
                <w:rFonts w:cs="Times New Roman"/>
                <w:color w:val="auto"/>
              </w:rPr>
            </w:pPr>
            <w:r w:rsidRPr="00AA3A0A">
              <w:rPr>
                <w:rFonts w:cs="Times New Roman"/>
                <w:color w:val="auto"/>
              </w:rPr>
              <w:t>0.037</w:t>
            </w:r>
          </w:p>
        </w:tc>
        <w:tc>
          <w:tcPr>
            <w:tcW w:w="1870" w:type="dxa"/>
            <w:tcBorders>
              <w:top w:val="single" w:sz="4" w:space="0" w:color="auto"/>
            </w:tcBorders>
            <w:vAlign w:val="center"/>
          </w:tcPr>
          <w:p w14:paraId="02F5493F" w14:textId="77777777" w:rsidR="003F73BC" w:rsidRPr="00AA3A0A" w:rsidRDefault="003F73BC" w:rsidP="00AA3A0A">
            <w:pPr>
              <w:tabs>
                <w:tab w:val="left" w:pos="1505"/>
              </w:tabs>
              <w:rPr>
                <w:rFonts w:cs="Times New Roman"/>
                <w:color w:val="auto"/>
              </w:rPr>
            </w:pPr>
            <w:r w:rsidRPr="00AA3A0A">
              <w:rPr>
                <w:rFonts w:cs="Times New Roman"/>
                <w:color w:val="auto"/>
              </w:rPr>
              <w:t>0.694</w:t>
            </w:r>
          </w:p>
        </w:tc>
      </w:tr>
      <w:tr w:rsidR="00AA3A0A" w:rsidRPr="00AA3A0A" w14:paraId="5B19BB9E" w14:textId="77777777" w:rsidTr="00C522EA">
        <w:trPr>
          <w:trHeight w:val="567"/>
        </w:trPr>
        <w:tc>
          <w:tcPr>
            <w:tcW w:w="1870" w:type="dxa"/>
            <w:tcBorders>
              <w:bottom w:val="single" w:sz="4" w:space="0" w:color="auto"/>
            </w:tcBorders>
            <w:vAlign w:val="center"/>
          </w:tcPr>
          <w:p w14:paraId="1DA29352" w14:textId="30377767" w:rsidR="007F0F1C" w:rsidRPr="00AA3A0A" w:rsidRDefault="0016189C" w:rsidP="00AA3A0A">
            <w:pPr>
              <w:tabs>
                <w:tab w:val="left" w:pos="1505"/>
              </w:tabs>
              <w:rPr>
                <w:rFonts w:cs="Times New Roman"/>
                <w:color w:val="auto"/>
              </w:rPr>
            </w:pPr>
            <w:r w:rsidRPr="00AA3A0A">
              <w:rPr>
                <w:rFonts w:cs="Times New Roman"/>
                <w:color w:val="auto"/>
              </w:rPr>
              <w:t>Alternative MHN definition</w:t>
            </w:r>
          </w:p>
        </w:tc>
        <w:tc>
          <w:tcPr>
            <w:tcW w:w="1870" w:type="dxa"/>
            <w:tcBorders>
              <w:bottom w:val="single" w:sz="4" w:space="0" w:color="auto"/>
            </w:tcBorders>
            <w:vAlign w:val="center"/>
          </w:tcPr>
          <w:p w14:paraId="00FA7EB8" w14:textId="22EA02C3" w:rsidR="007F0F1C" w:rsidRPr="00AA3A0A" w:rsidRDefault="00E15CA3" w:rsidP="00AA3A0A">
            <w:pPr>
              <w:tabs>
                <w:tab w:val="left" w:pos="1505"/>
              </w:tabs>
              <w:rPr>
                <w:rFonts w:cs="Times New Roman"/>
                <w:color w:val="auto"/>
              </w:rPr>
            </w:pPr>
            <w:r w:rsidRPr="00AA3A0A">
              <w:rPr>
                <w:rFonts w:cs="Times New Roman"/>
                <w:color w:val="auto"/>
              </w:rPr>
              <w:t>154</w:t>
            </w:r>
            <w:r w:rsidR="007F0F1C" w:rsidRPr="00AA3A0A">
              <w:rPr>
                <w:rFonts w:cs="Times New Roman"/>
                <w:color w:val="auto"/>
              </w:rPr>
              <w:t>/16</w:t>
            </w:r>
            <w:r w:rsidRPr="00AA3A0A">
              <w:rPr>
                <w:rFonts w:cs="Times New Roman"/>
                <w:color w:val="auto"/>
              </w:rPr>
              <w:t>177</w:t>
            </w:r>
            <w:r w:rsidR="007F0F1C" w:rsidRPr="00AA3A0A">
              <w:rPr>
                <w:rFonts w:cs="Times New Roman"/>
                <w:color w:val="auto"/>
              </w:rPr>
              <w:t xml:space="preserve"> (</w:t>
            </w:r>
            <w:r w:rsidRPr="00AA3A0A">
              <w:rPr>
                <w:rFonts w:cs="Times New Roman"/>
                <w:color w:val="auto"/>
              </w:rPr>
              <w:t>0.95</w:t>
            </w:r>
            <w:r w:rsidR="007F0F1C" w:rsidRPr="00AA3A0A">
              <w:rPr>
                <w:rFonts w:cs="Times New Roman"/>
                <w:color w:val="auto"/>
              </w:rPr>
              <w:t>%)</w:t>
            </w:r>
          </w:p>
        </w:tc>
        <w:tc>
          <w:tcPr>
            <w:tcW w:w="1870" w:type="dxa"/>
            <w:tcBorders>
              <w:bottom w:val="single" w:sz="4" w:space="0" w:color="auto"/>
            </w:tcBorders>
            <w:vAlign w:val="center"/>
          </w:tcPr>
          <w:p w14:paraId="24DC08BA" w14:textId="0E5AC326" w:rsidR="007F0F1C" w:rsidRPr="00AA3A0A" w:rsidRDefault="007F0F1C" w:rsidP="00AA3A0A">
            <w:pPr>
              <w:tabs>
                <w:tab w:val="left" w:pos="1505"/>
              </w:tabs>
              <w:rPr>
                <w:rFonts w:cs="Times New Roman"/>
                <w:color w:val="auto"/>
              </w:rPr>
            </w:pPr>
            <w:r w:rsidRPr="00AA3A0A">
              <w:rPr>
                <w:rFonts w:cs="Times New Roman"/>
                <w:color w:val="auto"/>
              </w:rPr>
              <w:t>1.7</w:t>
            </w:r>
            <w:r w:rsidR="00E15CA3" w:rsidRPr="00AA3A0A">
              <w:rPr>
                <w:rFonts w:cs="Times New Roman"/>
                <w:color w:val="auto"/>
              </w:rPr>
              <w:t>3</w:t>
            </w:r>
            <w:r w:rsidRPr="00AA3A0A">
              <w:rPr>
                <w:rFonts w:cs="Times New Roman"/>
                <w:color w:val="auto"/>
              </w:rPr>
              <w:t xml:space="preserve"> (1.2</w:t>
            </w:r>
            <w:r w:rsidR="00E15CA3" w:rsidRPr="00AA3A0A">
              <w:rPr>
                <w:rFonts w:cs="Times New Roman"/>
                <w:color w:val="auto"/>
              </w:rPr>
              <w:t>3</w:t>
            </w:r>
            <w:r w:rsidRPr="00AA3A0A">
              <w:rPr>
                <w:rFonts w:cs="Times New Roman"/>
                <w:color w:val="auto"/>
              </w:rPr>
              <w:t>-2.4</w:t>
            </w:r>
            <w:r w:rsidR="00E15CA3" w:rsidRPr="00AA3A0A">
              <w:rPr>
                <w:rFonts w:cs="Times New Roman"/>
                <w:color w:val="auto"/>
              </w:rPr>
              <w:t>3</w:t>
            </w:r>
            <w:r w:rsidRPr="00AA3A0A">
              <w:rPr>
                <w:rFonts w:cs="Times New Roman"/>
                <w:color w:val="auto"/>
              </w:rPr>
              <w:t>)</w:t>
            </w:r>
          </w:p>
        </w:tc>
        <w:tc>
          <w:tcPr>
            <w:tcW w:w="1870" w:type="dxa"/>
            <w:tcBorders>
              <w:bottom w:val="single" w:sz="4" w:space="0" w:color="auto"/>
            </w:tcBorders>
            <w:vAlign w:val="center"/>
          </w:tcPr>
          <w:p w14:paraId="28477DAC" w14:textId="701286EC" w:rsidR="007F0F1C" w:rsidRPr="00AA3A0A" w:rsidRDefault="007F0F1C" w:rsidP="00AA3A0A">
            <w:pPr>
              <w:tabs>
                <w:tab w:val="left" w:pos="1505"/>
              </w:tabs>
              <w:rPr>
                <w:rFonts w:cs="Times New Roman"/>
                <w:color w:val="auto"/>
              </w:rPr>
            </w:pPr>
            <w:r w:rsidRPr="00AA3A0A">
              <w:rPr>
                <w:rFonts w:cs="Times New Roman"/>
                <w:color w:val="auto"/>
              </w:rPr>
              <w:t>0.00</w:t>
            </w:r>
            <w:r w:rsidR="00E15CA3" w:rsidRPr="00AA3A0A">
              <w:rPr>
                <w:rFonts w:cs="Times New Roman"/>
                <w:color w:val="auto"/>
              </w:rPr>
              <w:t>2</w:t>
            </w:r>
          </w:p>
        </w:tc>
        <w:tc>
          <w:tcPr>
            <w:tcW w:w="1870" w:type="dxa"/>
            <w:tcBorders>
              <w:bottom w:val="single" w:sz="4" w:space="0" w:color="auto"/>
            </w:tcBorders>
            <w:vAlign w:val="center"/>
          </w:tcPr>
          <w:p w14:paraId="59ACF401" w14:textId="11CEEEA5" w:rsidR="007F0F1C" w:rsidRPr="00AA3A0A" w:rsidRDefault="007F0F1C" w:rsidP="00AA3A0A">
            <w:pPr>
              <w:tabs>
                <w:tab w:val="left" w:pos="1505"/>
              </w:tabs>
              <w:rPr>
                <w:rFonts w:cs="Times New Roman"/>
                <w:color w:val="auto"/>
              </w:rPr>
            </w:pPr>
            <w:r w:rsidRPr="00AA3A0A">
              <w:rPr>
                <w:rFonts w:cs="Times New Roman"/>
                <w:color w:val="auto"/>
              </w:rPr>
              <w:t>0.7</w:t>
            </w:r>
            <w:r w:rsidR="00E15CA3" w:rsidRPr="00AA3A0A">
              <w:rPr>
                <w:rFonts w:cs="Times New Roman"/>
                <w:color w:val="auto"/>
              </w:rPr>
              <w:t>34</w:t>
            </w:r>
          </w:p>
        </w:tc>
      </w:tr>
      <w:tr w:rsidR="00AA3A0A" w:rsidRPr="00AA3A0A" w14:paraId="1CF373CB" w14:textId="77777777" w:rsidTr="00C522EA">
        <w:trPr>
          <w:trHeight w:val="567"/>
        </w:trPr>
        <w:tc>
          <w:tcPr>
            <w:tcW w:w="1870" w:type="dxa"/>
            <w:tcBorders>
              <w:top w:val="single" w:sz="4" w:space="0" w:color="auto"/>
              <w:bottom w:val="single" w:sz="4" w:space="0" w:color="auto"/>
            </w:tcBorders>
            <w:vAlign w:val="center"/>
          </w:tcPr>
          <w:p w14:paraId="053F781D" w14:textId="3C342BC8" w:rsidR="003F73BC" w:rsidRPr="00AA3A0A" w:rsidRDefault="003F73BC" w:rsidP="00AA3A0A">
            <w:pPr>
              <w:tabs>
                <w:tab w:val="left" w:pos="1505"/>
              </w:tabs>
              <w:rPr>
                <w:rFonts w:cs="Times New Roman"/>
                <w:color w:val="auto"/>
              </w:rPr>
            </w:pPr>
            <w:r w:rsidRPr="00AA3A0A">
              <w:rPr>
                <w:rFonts w:cs="Times New Roman"/>
                <w:color w:val="auto"/>
              </w:rPr>
              <w:t>Diabetes</w:t>
            </w:r>
          </w:p>
        </w:tc>
        <w:tc>
          <w:tcPr>
            <w:tcW w:w="1870" w:type="dxa"/>
            <w:tcBorders>
              <w:top w:val="single" w:sz="4" w:space="0" w:color="auto"/>
              <w:bottom w:val="single" w:sz="4" w:space="0" w:color="auto"/>
            </w:tcBorders>
            <w:vAlign w:val="center"/>
          </w:tcPr>
          <w:p w14:paraId="6EEFB099" w14:textId="77777777" w:rsidR="003F73BC" w:rsidRPr="00AA3A0A" w:rsidRDefault="003F73BC"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7C56C308" w14:textId="77777777" w:rsidR="003F73BC" w:rsidRPr="00AA3A0A" w:rsidRDefault="003F73BC"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27850803" w14:textId="77777777" w:rsidR="003F73BC" w:rsidRPr="00AA3A0A" w:rsidRDefault="003F73BC"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3591298A" w14:textId="77777777" w:rsidR="003F73BC" w:rsidRPr="00AA3A0A" w:rsidRDefault="003F73BC" w:rsidP="00AA3A0A">
            <w:pPr>
              <w:tabs>
                <w:tab w:val="left" w:pos="1505"/>
              </w:tabs>
              <w:rPr>
                <w:rFonts w:cs="Times New Roman"/>
                <w:color w:val="auto"/>
              </w:rPr>
            </w:pPr>
          </w:p>
        </w:tc>
      </w:tr>
      <w:tr w:rsidR="00AA3A0A" w:rsidRPr="00AA3A0A" w14:paraId="11E04AA0" w14:textId="77777777" w:rsidTr="00C522EA">
        <w:trPr>
          <w:trHeight w:val="567"/>
        </w:trPr>
        <w:tc>
          <w:tcPr>
            <w:tcW w:w="1870" w:type="dxa"/>
            <w:tcBorders>
              <w:top w:val="single" w:sz="4" w:space="0" w:color="auto"/>
            </w:tcBorders>
            <w:vAlign w:val="center"/>
          </w:tcPr>
          <w:p w14:paraId="42ADF25C" w14:textId="3880729F" w:rsidR="003F73BC" w:rsidRPr="00AA3A0A" w:rsidRDefault="003F73BC" w:rsidP="00AA3A0A">
            <w:pPr>
              <w:tabs>
                <w:tab w:val="left" w:pos="1505"/>
              </w:tabs>
              <w:rPr>
                <w:rFonts w:cs="Times New Roman"/>
                <w:color w:val="auto"/>
              </w:rPr>
            </w:pPr>
            <w:r w:rsidRPr="00AA3A0A">
              <w:rPr>
                <w:rFonts w:cs="Times New Roman"/>
                <w:color w:val="auto"/>
              </w:rPr>
              <w:t>Primary analysis</w:t>
            </w:r>
          </w:p>
        </w:tc>
        <w:tc>
          <w:tcPr>
            <w:tcW w:w="1870" w:type="dxa"/>
            <w:tcBorders>
              <w:top w:val="single" w:sz="4" w:space="0" w:color="auto"/>
            </w:tcBorders>
            <w:vAlign w:val="center"/>
          </w:tcPr>
          <w:p w14:paraId="2637956E" w14:textId="77777777" w:rsidR="003F73BC" w:rsidRPr="00AA3A0A" w:rsidRDefault="003F73BC" w:rsidP="00AA3A0A">
            <w:pPr>
              <w:tabs>
                <w:tab w:val="left" w:pos="1505"/>
              </w:tabs>
              <w:rPr>
                <w:rFonts w:cs="Times New Roman"/>
                <w:color w:val="auto"/>
              </w:rPr>
            </w:pPr>
            <w:r w:rsidRPr="00AA3A0A">
              <w:rPr>
                <w:rFonts w:cs="Times New Roman"/>
                <w:color w:val="auto"/>
              </w:rPr>
              <w:t>251/22040 (1.14%)</w:t>
            </w:r>
          </w:p>
        </w:tc>
        <w:tc>
          <w:tcPr>
            <w:tcW w:w="1870" w:type="dxa"/>
            <w:tcBorders>
              <w:top w:val="single" w:sz="4" w:space="0" w:color="auto"/>
            </w:tcBorders>
            <w:vAlign w:val="center"/>
          </w:tcPr>
          <w:p w14:paraId="3D6C66EA" w14:textId="77777777" w:rsidR="003F73BC" w:rsidRPr="00AA3A0A" w:rsidRDefault="003F73BC" w:rsidP="00AA3A0A">
            <w:pPr>
              <w:tabs>
                <w:tab w:val="left" w:pos="1505"/>
              </w:tabs>
              <w:rPr>
                <w:rFonts w:cs="Times New Roman"/>
                <w:color w:val="auto"/>
              </w:rPr>
            </w:pPr>
            <w:r w:rsidRPr="00AA3A0A">
              <w:rPr>
                <w:rFonts w:cs="Times New Roman"/>
                <w:color w:val="auto"/>
              </w:rPr>
              <w:t>1.77 (1.34-2.33)</w:t>
            </w:r>
          </w:p>
        </w:tc>
        <w:tc>
          <w:tcPr>
            <w:tcW w:w="1870" w:type="dxa"/>
            <w:tcBorders>
              <w:top w:val="single" w:sz="4" w:space="0" w:color="auto"/>
            </w:tcBorders>
            <w:vAlign w:val="center"/>
          </w:tcPr>
          <w:p w14:paraId="02B50391" w14:textId="77777777" w:rsidR="003F73BC" w:rsidRPr="00AA3A0A" w:rsidRDefault="003F73BC" w:rsidP="00AA3A0A">
            <w:pPr>
              <w:tabs>
                <w:tab w:val="left" w:pos="1505"/>
              </w:tabs>
              <w:rPr>
                <w:rFonts w:cs="Times New Roman"/>
                <w:color w:val="auto"/>
              </w:rPr>
            </w:pPr>
            <w:r w:rsidRPr="00AA3A0A">
              <w:rPr>
                <w:rFonts w:cs="Times New Roman"/>
                <w:color w:val="auto"/>
              </w:rPr>
              <w:t>&lt;0.001</w:t>
            </w:r>
          </w:p>
        </w:tc>
        <w:tc>
          <w:tcPr>
            <w:tcW w:w="1870" w:type="dxa"/>
            <w:tcBorders>
              <w:top w:val="single" w:sz="4" w:space="0" w:color="auto"/>
            </w:tcBorders>
            <w:vAlign w:val="center"/>
          </w:tcPr>
          <w:p w14:paraId="75567C02" w14:textId="77777777" w:rsidR="003F73BC" w:rsidRPr="00AA3A0A" w:rsidRDefault="003F73BC" w:rsidP="00AA3A0A">
            <w:pPr>
              <w:tabs>
                <w:tab w:val="left" w:pos="1505"/>
              </w:tabs>
              <w:rPr>
                <w:rFonts w:cs="Times New Roman"/>
                <w:color w:val="auto"/>
              </w:rPr>
            </w:pPr>
            <w:r w:rsidRPr="00AA3A0A">
              <w:rPr>
                <w:rFonts w:cs="Times New Roman"/>
                <w:color w:val="auto"/>
              </w:rPr>
              <w:t>0.723</w:t>
            </w:r>
          </w:p>
        </w:tc>
      </w:tr>
      <w:tr w:rsidR="00AA3A0A" w:rsidRPr="00AA3A0A" w14:paraId="5530392B" w14:textId="77777777" w:rsidTr="00C522EA">
        <w:trPr>
          <w:trHeight w:val="567"/>
        </w:trPr>
        <w:tc>
          <w:tcPr>
            <w:tcW w:w="1870" w:type="dxa"/>
            <w:tcBorders>
              <w:bottom w:val="single" w:sz="4" w:space="0" w:color="auto"/>
            </w:tcBorders>
            <w:vAlign w:val="center"/>
          </w:tcPr>
          <w:p w14:paraId="649B83E9" w14:textId="4010199A" w:rsidR="003F73BC" w:rsidRPr="00AA3A0A" w:rsidRDefault="0016189C" w:rsidP="00AA3A0A">
            <w:pPr>
              <w:tabs>
                <w:tab w:val="left" w:pos="1505"/>
              </w:tabs>
              <w:rPr>
                <w:rFonts w:cs="Times New Roman"/>
                <w:color w:val="auto"/>
              </w:rPr>
            </w:pPr>
            <w:r w:rsidRPr="00AA3A0A">
              <w:rPr>
                <w:rFonts w:cs="Times New Roman"/>
                <w:color w:val="auto"/>
              </w:rPr>
              <w:t>Alternative MHN definition</w:t>
            </w:r>
          </w:p>
        </w:tc>
        <w:tc>
          <w:tcPr>
            <w:tcW w:w="1870" w:type="dxa"/>
            <w:tcBorders>
              <w:bottom w:val="single" w:sz="4" w:space="0" w:color="auto"/>
            </w:tcBorders>
            <w:vAlign w:val="center"/>
          </w:tcPr>
          <w:p w14:paraId="3D206CCB" w14:textId="7DCD7801" w:rsidR="003F73BC" w:rsidRPr="00AA3A0A" w:rsidRDefault="007F0F1C" w:rsidP="00AA3A0A">
            <w:pPr>
              <w:tabs>
                <w:tab w:val="left" w:pos="1505"/>
              </w:tabs>
              <w:rPr>
                <w:rFonts w:cs="Times New Roman"/>
                <w:color w:val="auto"/>
              </w:rPr>
            </w:pPr>
            <w:r w:rsidRPr="00AA3A0A">
              <w:rPr>
                <w:rFonts w:cs="Times New Roman"/>
                <w:color w:val="auto"/>
              </w:rPr>
              <w:t>9</w:t>
            </w:r>
            <w:r w:rsidR="00E15CA3" w:rsidRPr="00AA3A0A">
              <w:rPr>
                <w:rFonts w:cs="Times New Roman"/>
                <w:color w:val="auto"/>
              </w:rPr>
              <w:t>6</w:t>
            </w:r>
            <w:r w:rsidR="003F73BC" w:rsidRPr="00AA3A0A">
              <w:rPr>
                <w:rFonts w:cs="Times New Roman"/>
                <w:color w:val="auto"/>
              </w:rPr>
              <w:t>/</w:t>
            </w:r>
            <w:r w:rsidRPr="00AA3A0A">
              <w:rPr>
                <w:rFonts w:cs="Times New Roman"/>
                <w:color w:val="auto"/>
              </w:rPr>
              <w:t>16</w:t>
            </w:r>
            <w:r w:rsidR="00E15CA3" w:rsidRPr="00AA3A0A">
              <w:rPr>
                <w:rFonts w:cs="Times New Roman"/>
                <w:color w:val="auto"/>
              </w:rPr>
              <w:t>177</w:t>
            </w:r>
            <w:r w:rsidR="003F73BC" w:rsidRPr="00AA3A0A">
              <w:rPr>
                <w:rFonts w:cs="Times New Roman"/>
                <w:color w:val="auto"/>
              </w:rPr>
              <w:t xml:space="preserve"> (</w:t>
            </w:r>
            <w:r w:rsidRPr="00AA3A0A">
              <w:rPr>
                <w:rFonts w:cs="Times New Roman"/>
                <w:color w:val="auto"/>
              </w:rPr>
              <w:t>0</w:t>
            </w:r>
            <w:r w:rsidR="003F73BC" w:rsidRPr="00AA3A0A">
              <w:rPr>
                <w:rFonts w:cs="Times New Roman"/>
                <w:color w:val="auto"/>
              </w:rPr>
              <w:t>.</w:t>
            </w:r>
            <w:r w:rsidR="00E15CA3" w:rsidRPr="00AA3A0A">
              <w:rPr>
                <w:rFonts w:cs="Times New Roman"/>
                <w:color w:val="auto"/>
              </w:rPr>
              <w:t>59</w:t>
            </w:r>
            <w:r w:rsidR="003F73BC" w:rsidRPr="00AA3A0A">
              <w:rPr>
                <w:rFonts w:cs="Times New Roman"/>
                <w:color w:val="auto"/>
              </w:rPr>
              <w:t>%)</w:t>
            </w:r>
          </w:p>
        </w:tc>
        <w:tc>
          <w:tcPr>
            <w:tcW w:w="1870" w:type="dxa"/>
            <w:tcBorders>
              <w:bottom w:val="single" w:sz="4" w:space="0" w:color="auto"/>
            </w:tcBorders>
            <w:vAlign w:val="center"/>
          </w:tcPr>
          <w:p w14:paraId="1FFA77D9" w14:textId="19BCB64B" w:rsidR="003F73BC" w:rsidRPr="00AA3A0A" w:rsidRDefault="003F73BC" w:rsidP="00AA3A0A">
            <w:pPr>
              <w:tabs>
                <w:tab w:val="left" w:pos="1505"/>
              </w:tabs>
              <w:rPr>
                <w:rFonts w:cs="Times New Roman"/>
                <w:color w:val="auto"/>
              </w:rPr>
            </w:pPr>
            <w:r w:rsidRPr="00AA3A0A">
              <w:rPr>
                <w:rFonts w:cs="Times New Roman"/>
                <w:color w:val="auto"/>
              </w:rPr>
              <w:t>1.</w:t>
            </w:r>
            <w:r w:rsidR="007F0F1C" w:rsidRPr="00AA3A0A">
              <w:rPr>
                <w:rFonts w:cs="Times New Roman"/>
                <w:color w:val="auto"/>
              </w:rPr>
              <w:t>8</w:t>
            </w:r>
            <w:r w:rsidR="00E15CA3" w:rsidRPr="00AA3A0A">
              <w:rPr>
                <w:rFonts w:cs="Times New Roman"/>
                <w:color w:val="auto"/>
              </w:rPr>
              <w:t>5</w:t>
            </w:r>
            <w:r w:rsidRPr="00AA3A0A">
              <w:rPr>
                <w:rFonts w:cs="Times New Roman"/>
                <w:color w:val="auto"/>
              </w:rPr>
              <w:t xml:space="preserve"> (1.</w:t>
            </w:r>
            <w:r w:rsidR="007F0F1C" w:rsidRPr="00AA3A0A">
              <w:rPr>
                <w:rFonts w:cs="Times New Roman"/>
                <w:color w:val="auto"/>
              </w:rPr>
              <w:t>2</w:t>
            </w:r>
            <w:r w:rsidR="00E15CA3" w:rsidRPr="00AA3A0A">
              <w:rPr>
                <w:rFonts w:cs="Times New Roman"/>
                <w:color w:val="auto"/>
              </w:rPr>
              <w:t>0</w:t>
            </w:r>
            <w:r w:rsidRPr="00AA3A0A">
              <w:rPr>
                <w:rFonts w:cs="Times New Roman"/>
                <w:color w:val="auto"/>
              </w:rPr>
              <w:t>-2.</w:t>
            </w:r>
            <w:r w:rsidR="007F0F1C" w:rsidRPr="00AA3A0A">
              <w:rPr>
                <w:rFonts w:cs="Times New Roman"/>
                <w:color w:val="auto"/>
              </w:rPr>
              <w:t>8</w:t>
            </w:r>
            <w:r w:rsidR="00E15CA3" w:rsidRPr="00AA3A0A">
              <w:rPr>
                <w:rFonts w:cs="Times New Roman"/>
                <w:color w:val="auto"/>
              </w:rPr>
              <w:t>5</w:t>
            </w:r>
            <w:r w:rsidRPr="00AA3A0A">
              <w:rPr>
                <w:rFonts w:cs="Times New Roman"/>
                <w:color w:val="auto"/>
              </w:rPr>
              <w:t>)</w:t>
            </w:r>
          </w:p>
        </w:tc>
        <w:tc>
          <w:tcPr>
            <w:tcW w:w="1870" w:type="dxa"/>
            <w:tcBorders>
              <w:bottom w:val="single" w:sz="4" w:space="0" w:color="auto"/>
            </w:tcBorders>
            <w:vAlign w:val="center"/>
          </w:tcPr>
          <w:p w14:paraId="66D479F9" w14:textId="77AA1B28" w:rsidR="003F73BC" w:rsidRPr="00AA3A0A" w:rsidRDefault="003F73BC" w:rsidP="00AA3A0A">
            <w:pPr>
              <w:tabs>
                <w:tab w:val="left" w:pos="1505"/>
              </w:tabs>
              <w:rPr>
                <w:rFonts w:cs="Times New Roman"/>
                <w:color w:val="auto"/>
              </w:rPr>
            </w:pPr>
            <w:r w:rsidRPr="00AA3A0A">
              <w:rPr>
                <w:rFonts w:cs="Times New Roman"/>
                <w:color w:val="auto"/>
              </w:rPr>
              <w:t>0.00</w:t>
            </w:r>
            <w:r w:rsidR="00E15CA3" w:rsidRPr="00AA3A0A">
              <w:rPr>
                <w:rFonts w:cs="Times New Roman"/>
                <w:color w:val="auto"/>
              </w:rPr>
              <w:t>5</w:t>
            </w:r>
          </w:p>
        </w:tc>
        <w:tc>
          <w:tcPr>
            <w:tcW w:w="1870" w:type="dxa"/>
            <w:tcBorders>
              <w:bottom w:val="single" w:sz="4" w:space="0" w:color="auto"/>
            </w:tcBorders>
            <w:vAlign w:val="center"/>
          </w:tcPr>
          <w:p w14:paraId="005843DE" w14:textId="53E0CB69" w:rsidR="003F73BC" w:rsidRPr="00AA3A0A" w:rsidRDefault="003F73BC" w:rsidP="00AA3A0A">
            <w:pPr>
              <w:tabs>
                <w:tab w:val="left" w:pos="1505"/>
              </w:tabs>
              <w:rPr>
                <w:rFonts w:cs="Times New Roman"/>
                <w:color w:val="auto"/>
              </w:rPr>
            </w:pPr>
            <w:r w:rsidRPr="00AA3A0A">
              <w:rPr>
                <w:rFonts w:cs="Times New Roman"/>
                <w:color w:val="auto"/>
              </w:rPr>
              <w:t>0.7</w:t>
            </w:r>
            <w:r w:rsidR="007F0F1C" w:rsidRPr="00AA3A0A">
              <w:rPr>
                <w:rFonts w:cs="Times New Roman"/>
                <w:color w:val="auto"/>
              </w:rPr>
              <w:t>5</w:t>
            </w:r>
            <w:r w:rsidR="00E15CA3" w:rsidRPr="00AA3A0A">
              <w:rPr>
                <w:rFonts w:cs="Times New Roman"/>
                <w:color w:val="auto"/>
              </w:rPr>
              <w:t>4</w:t>
            </w:r>
          </w:p>
        </w:tc>
      </w:tr>
    </w:tbl>
    <w:p w14:paraId="629C0368" w14:textId="71E85AFA" w:rsidR="00E74D14" w:rsidRPr="00AA3A0A" w:rsidRDefault="00EB2BBB" w:rsidP="00AA3A0A">
      <w:pPr>
        <w:tabs>
          <w:tab w:val="left" w:pos="1505"/>
        </w:tabs>
        <w:rPr>
          <w:rFonts w:cs="Times New Roman"/>
          <w:color w:val="auto"/>
          <w:szCs w:val="20"/>
        </w:rPr>
      </w:pPr>
      <w:r w:rsidRPr="00AA3A0A">
        <w:rPr>
          <w:rFonts w:cs="Times New Roman"/>
          <w:color w:val="auto"/>
          <w:szCs w:val="20"/>
        </w:rPr>
        <w:t>All models adjusted for age, sex, smoking status, waist circumference, and BMI (Model 5 in main manuscript). Primary MHN definition: diabetes and hypertension derived from ICD-coded history; hyperlipidemia defined from baseline fasting lipid values; complete case analysis (n=22,040). Enhanced MHN definition: diabetes defined as ICD-coded history, insulin use, HbA1c ≥48 mmol/mol, or fasting glucose ≥7.0 mmol/L; hypertension defined as ICD-coded history, antihypertensive medication use, systolic blood pressure ≥140 mmHg, or diastolic blood pressure ≥90 mmHg; applied in the imputed dataset (n=16,</w:t>
      </w:r>
      <w:r w:rsidR="00E15CA3" w:rsidRPr="00AA3A0A">
        <w:rPr>
          <w:rFonts w:cs="Times New Roman"/>
          <w:color w:val="auto"/>
          <w:szCs w:val="20"/>
        </w:rPr>
        <w:t>177</w:t>
      </w:r>
      <w:r w:rsidRPr="00AA3A0A">
        <w:rPr>
          <w:rFonts w:cs="Times New Roman"/>
          <w:color w:val="auto"/>
          <w:szCs w:val="20"/>
        </w:rPr>
        <w:t>). BMI, body mass index; CI, confidence interval; C-index, Harrell's concordance statistic, a measure of model discrimination (range 0.5–1.0); HR, hazard ratio; ICD, International Classification of Diseases; MACE, major adverse cardiovascular events; MHN, metabolically healthy non-obese; VAT/SAT ratio, visceral-to-subcutaneous adipose tissue ratio.</w:t>
      </w:r>
    </w:p>
    <w:p w14:paraId="3E910789" w14:textId="77777777" w:rsidR="00EB2BBB" w:rsidRPr="00AA3A0A" w:rsidRDefault="00EB2BBB" w:rsidP="00AA3A0A">
      <w:pPr>
        <w:tabs>
          <w:tab w:val="left" w:pos="1505"/>
        </w:tabs>
        <w:rPr>
          <w:rFonts w:cs="Times New Roman"/>
          <w:color w:val="auto"/>
          <w:szCs w:val="20"/>
        </w:rPr>
      </w:pPr>
    </w:p>
    <w:p w14:paraId="667BDD43" w14:textId="16026A24" w:rsidR="00500230" w:rsidRPr="00AA3A0A" w:rsidRDefault="00500230" w:rsidP="00AA3A0A">
      <w:pPr>
        <w:rPr>
          <w:rFonts w:eastAsiaTheme="majorEastAsia"/>
          <w:b/>
          <w:bCs/>
          <w:color w:val="auto"/>
        </w:rPr>
      </w:pPr>
      <w:bookmarkStart w:id="19" w:name="_Hlk231981749"/>
      <w:r w:rsidRPr="00AA3A0A">
        <w:rPr>
          <w:b/>
          <w:bCs/>
          <w:color w:val="auto"/>
        </w:rPr>
        <w:t xml:space="preserve">Supplemental Table </w:t>
      </w:r>
      <w:r w:rsidR="007C5F88" w:rsidRPr="00AA3A0A">
        <w:rPr>
          <w:b/>
          <w:bCs/>
          <w:color w:val="auto"/>
        </w:rPr>
        <w:t>5</w:t>
      </w:r>
      <w:r w:rsidRPr="00AA3A0A">
        <w:rPr>
          <w:b/>
          <w:bCs/>
          <w:color w:val="auto"/>
        </w:rPr>
        <w:t xml:space="preserve">: </w:t>
      </w:r>
      <w:r w:rsidR="003F5CF9" w:rsidRPr="00AA3A0A">
        <w:rPr>
          <w:b/>
          <w:bCs/>
          <w:color w:val="auto"/>
        </w:rPr>
        <w:t>Alternative anthropometric measures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A3A0A" w:rsidRPr="00AA3A0A" w14:paraId="0F8ABE26" w14:textId="77777777" w:rsidTr="00C522EA">
        <w:trPr>
          <w:trHeight w:val="567"/>
        </w:trPr>
        <w:tc>
          <w:tcPr>
            <w:tcW w:w="2337" w:type="dxa"/>
            <w:tcBorders>
              <w:top w:val="single" w:sz="4" w:space="0" w:color="auto"/>
              <w:bottom w:val="single" w:sz="4" w:space="0" w:color="auto"/>
            </w:tcBorders>
            <w:vAlign w:val="center"/>
          </w:tcPr>
          <w:p w14:paraId="34AB60F4" w14:textId="59684939" w:rsidR="00500230" w:rsidRPr="00AA3A0A" w:rsidRDefault="00B87FFE" w:rsidP="00AA3A0A">
            <w:pPr>
              <w:tabs>
                <w:tab w:val="left" w:pos="1505"/>
              </w:tabs>
              <w:rPr>
                <w:rFonts w:cs="Times New Roman"/>
                <w:color w:val="auto"/>
              </w:rPr>
            </w:pPr>
            <w:r w:rsidRPr="00AA3A0A">
              <w:rPr>
                <w:rFonts w:cs="Times New Roman"/>
                <w:color w:val="auto"/>
              </w:rPr>
              <w:t>Anthropometric measure</w:t>
            </w:r>
          </w:p>
        </w:tc>
        <w:tc>
          <w:tcPr>
            <w:tcW w:w="2337" w:type="dxa"/>
            <w:tcBorders>
              <w:top w:val="single" w:sz="4" w:space="0" w:color="auto"/>
              <w:bottom w:val="single" w:sz="4" w:space="0" w:color="auto"/>
            </w:tcBorders>
            <w:vAlign w:val="center"/>
          </w:tcPr>
          <w:p w14:paraId="2DB3477C" w14:textId="3B8F892C" w:rsidR="00500230" w:rsidRPr="00AA3A0A" w:rsidRDefault="00500230" w:rsidP="00AA3A0A">
            <w:pPr>
              <w:tabs>
                <w:tab w:val="left" w:pos="1505"/>
              </w:tabs>
              <w:rPr>
                <w:rFonts w:cs="Times New Roman"/>
                <w:color w:val="auto"/>
              </w:rPr>
            </w:pPr>
            <w:r w:rsidRPr="00AA3A0A">
              <w:rPr>
                <w:rFonts w:cs="Times New Roman"/>
                <w:color w:val="auto"/>
              </w:rPr>
              <w:t>HR (95% CI)</w:t>
            </w:r>
          </w:p>
        </w:tc>
        <w:tc>
          <w:tcPr>
            <w:tcW w:w="2338" w:type="dxa"/>
            <w:tcBorders>
              <w:top w:val="single" w:sz="4" w:space="0" w:color="auto"/>
              <w:bottom w:val="single" w:sz="4" w:space="0" w:color="auto"/>
            </w:tcBorders>
            <w:vAlign w:val="center"/>
          </w:tcPr>
          <w:p w14:paraId="51CA3307" w14:textId="63C2B08B" w:rsidR="00500230" w:rsidRPr="00AA3A0A" w:rsidRDefault="00500230" w:rsidP="00AA3A0A">
            <w:pPr>
              <w:tabs>
                <w:tab w:val="left" w:pos="1505"/>
              </w:tabs>
              <w:rPr>
                <w:rFonts w:cs="Times New Roman"/>
                <w:color w:val="auto"/>
              </w:rPr>
            </w:pPr>
            <w:r w:rsidRPr="00AA3A0A">
              <w:rPr>
                <w:rFonts w:cs="Times New Roman"/>
                <w:color w:val="auto"/>
              </w:rPr>
              <w:t>p-value</w:t>
            </w:r>
          </w:p>
        </w:tc>
        <w:tc>
          <w:tcPr>
            <w:tcW w:w="2338" w:type="dxa"/>
            <w:tcBorders>
              <w:top w:val="single" w:sz="4" w:space="0" w:color="auto"/>
              <w:bottom w:val="single" w:sz="4" w:space="0" w:color="auto"/>
            </w:tcBorders>
            <w:vAlign w:val="center"/>
          </w:tcPr>
          <w:p w14:paraId="551486F8" w14:textId="4AB7A3E7" w:rsidR="00500230" w:rsidRPr="00AA3A0A" w:rsidRDefault="00500230" w:rsidP="00AA3A0A">
            <w:pPr>
              <w:tabs>
                <w:tab w:val="left" w:pos="1505"/>
              </w:tabs>
              <w:rPr>
                <w:rFonts w:cs="Times New Roman"/>
                <w:color w:val="auto"/>
              </w:rPr>
            </w:pPr>
            <w:r w:rsidRPr="00AA3A0A">
              <w:rPr>
                <w:rFonts w:cs="Times New Roman"/>
                <w:color w:val="auto"/>
              </w:rPr>
              <w:t>C-index</w:t>
            </w:r>
          </w:p>
        </w:tc>
      </w:tr>
      <w:tr w:rsidR="00AA3A0A" w:rsidRPr="00AA3A0A" w14:paraId="53FCCD2A" w14:textId="77777777" w:rsidTr="00C522EA">
        <w:trPr>
          <w:trHeight w:val="567"/>
        </w:trPr>
        <w:tc>
          <w:tcPr>
            <w:tcW w:w="2337" w:type="dxa"/>
            <w:tcBorders>
              <w:top w:val="single" w:sz="4" w:space="0" w:color="auto"/>
              <w:bottom w:val="single" w:sz="4" w:space="0" w:color="auto"/>
            </w:tcBorders>
            <w:vAlign w:val="center"/>
          </w:tcPr>
          <w:p w14:paraId="58AD7A6A" w14:textId="739061C5" w:rsidR="00500230" w:rsidRPr="00AA3A0A" w:rsidRDefault="00500230" w:rsidP="00AA3A0A">
            <w:pPr>
              <w:tabs>
                <w:tab w:val="left" w:pos="1505"/>
              </w:tabs>
              <w:rPr>
                <w:rFonts w:cs="Times New Roman"/>
                <w:color w:val="auto"/>
              </w:rPr>
            </w:pPr>
            <w:r w:rsidRPr="00AA3A0A">
              <w:rPr>
                <w:rFonts w:cs="Times New Roman"/>
                <w:color w:val="auto"/>
              </w:rPr>
              <w:t>MACE</w:t>
            </w:r>
          </w:p>
        </w:tc>
        <w:tc>
          <w:tcPr>
            <w:tcW w:w="2337" w:type="dxa"/>
            <w:tcBorders>
              <w:top w:val="single" w:sz="4" w:space="0" w:color="auto"/>
              <w:bottom w:val="single" w:sz="4" w:space="0" w:color="auto"/>
            </w:tcBorders>
            <w:vAlign w:val="center"/>
          </w:tcPr>
          <w:p w14:paraId="123E20B5" w14:textId="77777777" w:rsidR="00500230" w:rsidRPr="00AA3A0A" w:rsidRDefault="00500230" w:rsidP="00AA3A0A">
            <w:pPr>
              <w:tabs>
                <w:tab w:val="left" w:pos="1505"/>
              </w:tabs>
              <w:rPr>
                <w:rFonts w:cs="Times New Roman"/>
                <w:color w:val="auto"/>
              </w:rPr>
            </w:pPr>
          </w:p>
        </w:tc>
        <w:tc>
          <w:tcPr>
            <w:tcW w:w="2338" w:type="dxa"/>
            <w:tcBorders>
              <w:top w:val="single" w:sz="4" w:space="0" w:color="auto"/>
              <w:bottom w:val="single" w:sz="4" w:space="0" w:color="auto"/>
            </w:tcBorders>
            <w:vAlign w:val="center"/>
          </w:tcPr>
          <w:p w14:paraId="74797E51" w14:textId="77777777" w:rsidR="00500230" w:rsidRPr="00AA3A0A" w:rsidRDefault="00500230" w:rsidP="00AA3A0A">
            <w:pPr>
              <w:tabs>
                <w:tab w:val="left" w:pos="1505"/>
              </w:tabs>
              <w:rPr>
                <w:rFonts w:cs="Times New Roman"/>
                <w:color w:val="auto"/>
              </w:rPr>
            </w:pPr>
          </w:p>
        </w:tc>
        <w:tc>
          <w:tcPr>
            <w:tcW w:w="2338" w:type="dxa"/>
            <w:tcBorders>
              <w:top w:val="single" w:sz="4" w:space="0" w:color="auto"/>
              <w:bottom w:val="single" w:sz="4" w:space="0" w:color="auto"/>
            </w:tcBorders>
            <w:vAlign w:val="center"/>
          </w:tcPr>
          <w:p w14:paraId="73EFDCF6" w14:textId="77777777" w:rsidR="00500230" w:rsidRPr="00AA3A0A" w:rsidRDefault="00500230" w:rsidP="00AA3A0A">
            <w:pPr>
              <w:tabs>
                <w:tab w:val="left" w:pos="1505"/>
              </w:tabs>
              <w:rPr>
                <w:rFonts w:cs="Times New Roman"/>
                <w:color w:val="auto"/>
              </w:rPr>
            </w:pPr>
          </w:p>
        </w:tc>
      </w:tr>
      <w:tr w:rsidR="00AA3A0A" w:rsidRPr="00AA3A0A" w14:paraId="6F732C0B" w14:textId="77777777" w:rsidTr="00C522EA">
        <w:trPr>
          <w:trHeight w:val="567"/>
        </w:trPr>
        <w:tc>
          <w:tcPr>
            <w:tcW w:w="2337" w:type="dxa"/>
            <w:tcBorders>
              <w:top w:val="single" w:sz="4" w:space="0" w:color="auto"/>
            </w:tcBorders>
            <w:vAlign w:val="center"/>
          </w:tcPr>
          <w:p w14:paraId="2457B195" w14:textId="75353B01" w:rsidR="00500230" w:rsidRPr="00AA3A0A" w:rsidRDefault="00500230" w:rsidP="00AA3A0A">
            <w:pPr>
              <w:tabs>
                <w:tab w:val="left" w:pos="1505"/>
              </w:tabs>
              <w:rPr>
                <w:rFonts w:cs="Times New Roman"/>
                <w:color w:val="auto"/>
              </w:rPr>
            </w:pPr>
            <w:r w:rsidRPr="00AA3A0A">
              <w:rPr>
                <w:rFonts w:cs="Times New Roman"/>
                <w:color w:val="auto"/>
              </w:rPr>
              <w:t>WC</w:t>
            </w:r>
          </w:p>
        </w:tc>
        <w:tc>
          <w:tcPr>
            <w:tcW w:w="2337" w:type="dxa"/>
            <w:tcBorders>
              <w:top w:val="single" w:sz="4" w:space="0" w:color="auto"/>
            </w:tcBorders>
            <w:vAlign w:val="center"/>
          </w:tcPr>
          <w:p w14:paraId="53445521" w14:textId="79E52026" w:rsidR="00500230" w:rsidRPr="00AA3A0A" w:rsidRDefault="00500230" w:rsidP="00AA3A0A">
            <w:pPr>
              <w:tabs>
                <w:tab w:val="left" w:pos="1505"/>
              </w:tabs>
              <w:rPr>
                <w:rFonts w:cs="Times New Roman"/>
                <w:color w:val="auto"/>
              </w:rPr>
            </w:pPr>
            <w:r w:rsidRPr="00AA3A0A">
              <w:rPr>
                <w:rFonts w:cs="Times New Roman"/>
                <w:color w:val="auto"/>
              </w:rPr>
              <w:t>1.30 (1.02-1.66)</w:t>
            </w:r>
          </w:p>
        </w:tc>
        <w:tc>
          <w:tcPr>
            <w:tcW w:w="2338" w:type="dxa"/>
            <w:tcBorders>
              <w:top w:val="single" w:sz="4" w:space="0" w:color="auto"/>
            </w:tcBorders>
            <w:vAlign w:val="center"/>
          </w:tcPr>
          <w:p w14:paraId="7F82AF12" w14:textId="5BCCEEC9" w:rsidR="00500230" w:rsidRPr="00AA3A0A" w:rsidRDefault="00500230" w:rsidP="00AA3A0A">
            <w:pPr>
              <w:tabs>
                <w:tab w:val="left" w:pos="1505"/>
              </w:tabs>
              <w:rPr>
                <w:rFonts w:cs="Times New Roman"/>
                <w:color w:val="auto"/>
              </w:rPr>
            </w:pPr>
            <w:r w:rsidRPr="00AA3A0A">
              <w:rPr>
                <w:rFonts w:cs="Times New Roman"/>
                <w:color w:val="auto"/>
              </w:rPr>
              <w:t>0.037</w:t>
            </w:r>
          </w:p>
        </w:tc>
        <w:tc>
          <w:tcPr>
            <w:tcW w:w="2338" w:type="dxa"/>
            <w:tcBorders>
              <w:top w:val="single" w:sz="4" w:space="0" w:color="auto"/>
            </w:tcBorders>
            <w:vAlign w:val="center"/>
          </w:tcPr>
          <w:p w14:paraId="53834ECF" w14:textId="418F22C1" w:rsidR="00500230" w:rsidRPr="00AA3A0A" w:rsidRDefault="00500230" w:rsidP="00AA3A0A">
            <w:pPr>
              <w:tabs>
                <w:tab w:val="left" w:pos="1505"/>
              </w:tabs>
              <w:rPr>
                <w:rFonts w:cs="Times New Roman"/>
                <w:color w:val="auto"/>
              </w:rPr>
            </w:pPr>
            <w:r w:rsidRPr="00AA3A0A">
              <w:rPr>
                <w:rFonts w:cs="Times New Roman"/>
                <w:color w:val="auto"/>
              </w:rPr>
              <w:t>0.694</w:t>
            </w:r>
          </w:p>
        </w:tc>
      </w:tr>
      <w:tr w:rsidR="00AA3A0A" w:rsidRPr="00AA3A0A" w14:paraId="53726AA3" w14:textId="77777777" w:rsidTr="00C522EA">
        <w:trPr>
          <w:trHeight w:val="567"/>
        </w:trPr>
        <w:tc>
          <w:tcPr>
            <w:tcW w:w="2337" w:type="dxa"/>
            <w:vAlign w:val="center"/>
          </w:tcPr>
          <w:p w14:paraId="306DA1D3" w14:textId="020AC76A" w:rsidR="00500230" w:rsidRPr="00AA3A0A" w:rsidRDefault="00500230" w:rsidP="00AA3A0A">
            <w:pPr>
              <w:tabs>
                <w:tab w:val="left" w:pos="1505"/>
              </w:tabs>
              <w:rPr>
                <w:rFonts w:cs="Times New Roman"/>
                <w:color w:val="auto"/>
              </w:rPr>
            </w:pPr>
            <w:r w:rsidRPr="00AA3A0A">
              <w:rPr>
                <w:rFonts w:cs="Times New Roman"/>
                <w:color w:val="auto"/>
              </w:rPr>
              <w:lastRenderedPageBreak/>
              <w:t>WHR</w:t>
            </w:r>
          </w:p>
        </w:tc>
        <w:tc>
          <w:tcPr>
            <w:tcW w:w="2337" w:type="dxa"/>
            <w:vAlign w:val="center"/>
          </w:tcPr>
          <w:p w14:paraId="78E5F0FE" w14:textId="2E301966" w:rsidR="00500230" w:rsidRPr="00AA3A0A" w:rsidRDefault="00500230" w:rsidP="00AA3A0A">
            <w:pPr>
              <w:tabs>
                <w:tab w:val="left" w:pos="1505"/>
              </w:tabs>
              <w:rPr>
                <w:rFonts w:cs="Times New Roman"/>
                <w:color w:val="auto"/>
              </w:rPr>
            </w:pPr>
            <w:r w:rsidRPr="00AA3A0A">
              <w:rPr>
                <w:rFonts w:cs="Times New Roman"/>
                <w:color w:val="auto"/>
              </w:rPr>
              <w:t>1.22 (0.95-1.57)</w:t>
            </w:r>
          </w:p>
        </w:tc>
        <w:tc>
          <w:tcPr>
            <w:tcW w:w="2338" w:type="dxa"/>
            <w:vAlign w:val="center"/>
          </w:tcPr>
          <w:p w14:paraId="285B3C35" w14:textId="46CE0285" w:rsidR="00500230" w:rsidRPr="00AA3A0A" w:rsidRDefault="00500230" w:rsidP="00AA3A0A">
            <w:pPr>
              <w:tabs>
                <w:tab w:val="left" w:pos="1505"/>
              </w:tabs>
              <w:rPr>
                <w:rFonts w:cs="Times New Roman"/>
                <w:color w:val="auto"/>
              </w:rPr>
            </w:pPr>
            <w:r w:rsidRPr="00AA3A0A">
              <w:rPr>
                <w:rFonts w:cs="Times New Roman"/>
                <w:color w:val="auto"/>
              </w:rPr>
              <w:t>0.121</w:t>
            </w:r>
          </w:p>
        </w:tc>
        <w:tc>
          <w:tcPr>
            <w:tcW w:w="2338" w:type="dxa"/>
            <w:vAlign w:val="center"/>
          </w:tcPr>
          <w:p w14:paraId="4F218183" w14:textId="037D4A63" w:rsidR="00500230" w:rsidRPr="00AA3A0A" w:rsidRDefault="00500230" w:rsidP="00AA3A0A">
            <w:pPr>
              <w:tabs>
                <w:tab w:val="left" w:pos="1505"/>
              </w:tabs>
              <w:rPr>
                <w:rFonts w:cs="Times New Roman"/>
                <w:color w:val="auto"/>
              </w:rPr>
            </w:pPr>
            <w:r w:rsidRPr="00AA3A0A">
              <w:rPr>
                <w:rFonts w:cs="Times New Roman"/>
                <w:color w:val="auto"/>
              </w:rPr>
              <w:t>0.694</w:t>
            </w:r>
          </w:p>
        </w:tc>
      </w:tr>
      <w:tr w:rsidR="00AA3A0A" w:rsidRPr="00AA3A0A" w14:paraId="58FE1D41" w14:textId="77777777" w:rsidTr="00C522EA">
        <w:trPr>
          <w:trHeight w:val="567"/>
        </w:trPr>
        <w:tc>
          <w:tcPr>
            <w:tcW w:w="2337" w:type="dxa"/>
            <w:tcBorders>
              <w:bottom w:val="single" w:sz="4" w:space="0" w:color="auto"/>
            </w:tcBorders>
            <w:vAlign w:val="center"/>
          </w:tcPr>
          <w:p w14:paraId="6771C634" w14:textId="75E77F3B" w:rsidR="00500230" w:rsidRPr="00AA3A0A" w:rsidRDefault="00500230" w:rsidP="00AA3A0A">
            <w:pPr>
              <w:tabs>
                <w:tab w:val="left" w:pos="1505"/>
              </w:tabs>
              <w:rPr>
                <w:rFonts w:cs="Times New Roman"/>
                <w:color w:val="auto"/>
              </w:rPr>
            </w:pPr>
            <w:r w:rsidRPr="00AA3A0A">
              <w:rPr>
                <w:rFonts w:cs="Times New Roman"/>
                <w:color w:val="auto"/>
              </w:rPr>
              <w:t>WHtR</w:t>
            </w:r>
          </w:p>
        </w:tc>
        <w:tc>
          <w:tcPr>
            <w:tcW w:w="2337" w:type="dxa"/>
            <w:tcBorders>
              <w:bottom w:val="single" w:sz="4" w:space="0" w:color="auto"/>
            </w:tcBorders>
            <w:vAlign w:val="center"/>
          </w:tcPr>
          <w:p w14:paraId="12CDB4AD" w14:textId="07457E47" w:rsidR="00500230" w:rsidRPr="00AA3A0A" w:rsidRDefault="00500230" w:rsidP="00AA3A0A">
            <w:pPr>
              <w:tabs>
                <w:tab w:val="left" w:pos="1505"/>
              </w:tabs>
              <w:rPr>
                <w:rFonts w:cs="Times New Roman"/>
                <w:color w:val="auto"/>
              </w:rPr>
            </w:pPr>
            <w:r w:rsidRPr="00AA3A0A">
              <w:rPr>
                <w:rFonts w:cs="Times New Roman"/>
                <w:color w:val="auto"/>
              </w:rPr>
              <w:t>1.28 (1.00-1.63)</w:t>
            </w:r>
          </w:p>
        </w:tc>
        <w:tc>
          <w:tcPr>
            <w:tcW w:w="2338" w:type="dxa"/>
            <w:tcBorders>
              <w:bottom w:val="single" w:sz="4" w:space="0" w:color="auto"/>
            </w:tcBorders>
            <w:vAlign w:val="center"/>
          </w:tcPr>
          <w:p w14:paraId="78990705" w14:textId="529FEB69" w:rsidR="00500230" w:rsidRPr="00AA3A0A" w:rsidRDefault="00500230" w:rsidP="00AA3A0A">
            <w:pPr>
              <w:tabs>
                <w:tab w:val="left" w:pos="1505"/>
              </w:tabs>
              <w:rPr>
                <w:rFonts w:cs="Times New Roman"/>
                <w:color w:val="auto"/>
              </w:rPr>
            </w:pPr>
            <w:r w:rsidRPr="00AA3A0A">
              <w:rPr>
                <w:rFonts w:cs="Times New Roman"/>
                <w:color w:val="auto"/>
              </w:rPr>
              <w:t>0.050</w:t>
            </w:r>
          </w:p>
        </w:tc>
        <w:tc>
          <w:tcPr>
            <w:tcW w:w="2338" w:type="dxa"/>
            <w:tcBorders>
              <w:bottom w:val="single" w:sz="4" w:space="0" w:color="auto"/>
            </w:tcBorders>
            <w:vAlign w:val="center"/>
          </w:tcPr>
          <w:p w14:paraId="21AF312C" w14:textId="190DD33F" w:rsidR="00500230" w:rsidRPr="00AA3A0A" w:rsidRDefault="00500230" w:rsidP="00AA3A0A">
            <w:pPr>
              <w:tabs>
                <w:tab w:val="left" w:pos="1505"/>
              </w:tabs>
              <w:rPr>
                <w:rFonts w:cs="Times New Roman"/>
                <w:color w:val="auto"/>
              </w:rPr>
            </w:pPr>
            <w:r w:rsidRPr="00AA3A0A">
              <w:rPr>
                <w:rFonts w:cs="Times New Roman"/>
                <w:color w:val="auto"/>
              </w:rPr>
              <w:t>0.694</w:t>
            </w:r>
          </w:p>
        </w:tc>
      </w:tr>
      <w:tr w:rsidR="00AA3A0A" w:rsidRPr="00AA3A0A" w14:paraId="0A53FC43" w14:textId="77777777" w:rsidTr="00C522EA">
        <w:trPr>
          <w:trHeight w:val="567"/>
        </w:trPr>
        <w:tc>
          <w:tcPr>
            <w:tcW w:w="2337" w:type="dxa"/>
            <w:tcBorders>
              <w:top w:val="single" w:sz="4" w:space="0" w:color="auto"/>
              <w:bottom w:val="single" w:sz="4" w:space="0" w:color="auto"/>
            </w:tcBorders>
            <w:vAlign w:val="center"/>
          </w:tcPr>
          <w:p w14:paraId="27B53044" w14:textId="7544CD14" w:rsidR="00500230" w:rsidRPr="00AA3A0A" w:rsidRDefault="00500230" w:rsidP="00AA3A0A">
            <w:pPr>
              <w:tabs>
                <w:tab w:val="left" w:pos="1505"/>
              </w:tabs>
              <w:rPr>
                <w:rFonts w:cs="Times New Roman"/>
                <w:color w:val="auto"/>
              </w:rPr>
            </w:pPr>
            <w:r w:rsidRPr="00AA3A0A">
              <w:rPr>
                <w:rFonts w:cs="Times New Roman"/>
                <w:color w:val="auto"/>
              </w:rPr>
              <w:t>Diabetes</w:t>
            </w:r>
          </w:p>
        </w:tc>
        <w:tc>
          <w:tcPr>
            <w:tcW w:w="2337" w:type="dxa"/>
            <w:tcBorders>
              <w:top w:val="single" w:sz="4" w:space="0" w:color="auto"/>
              <w:bottom w:val="single" w:sz="4" w:space="0" w:color="auto"/>
            </w:tcBorders>
            <w:vAlign w:val="center"/>
          </w:tcPr>
          <w:p w14:paraId="6D095886" w14:textId="77777777" w:rsidR="00500230" w:rsidRPr="00AA3A0A" w:rsidRDefault="00500230" w:rsidP="00AA3A0A">
            <w:pPr>
              <w:tabs>
                <w:tab w:val="left" w:pos="1505"/>
              </w:tabs>
              <w:rPr>
                <w:rFonts w:cs="Times New Roman"/>
                <w:color w:val="auto"/>
              </w:rPr>
            </w:pPr>
          </w:p>
        </w:tc>
        <w:tc>
          <w:tcPr>
            <w:tcW w:w="2338" w:type="dxa"/>
            <w:tcBorders>
              <w:top w:val="single" w:sz="4" w:space="0" w:color="auto"/>
              <w:bottom w:val="single" w:sz="4" w:space="0" w:color="auto"/>
            </w:tcBorders>
            <w:vAlign w:val="center"/>
          </w:tcPr>
          <w:p w14:paraId="1A95F2E2" w14:textId="77777777" w:rsidR="00500230" w:rsidRPr="00AA3A0A" w:rsidRDefault="00500230" w:rsidP="00AA3A0A">
            <w:pPr>
              <w:tabs>
                <w:tab w:val="left" w:pos="1505"/>
              </w:tabs>
              <w:rPr>
                <w:rFonts w:cs="Times New Roman"/>
                <w:color w:val="auto"/>
              </w:rPr>
            </w:pPr>
          </w:p>
        </w:tc>
        <w:tc>
          <w:tcPr>
            <w:tcW w:w="2338" w:type="dxa"/>
            <w:tcBorders>
              <w:top w:val="single" w:sz="4" w:space="0" w:color="auto"/>
              <w:bottom w:val="single" w:sz="4" w:space="0" w:color="auto"/>
            </w:tcBorders>
            <w:vAlign w:val="center"/>
          </w:tcPr>
          <w:p w14:paraId="059398A7" w14:textId="77777777" w:rsidR="00500230" w:rsidRPr="00AA3A0A" w:rsidRDefault="00500230" w:rsidP="00AA3A0A">
            <w:pPr>
              <w:tabs>
                <w:tab w:val="left" w:pos="1505"/>
              </w:tabs>
              <w:rPr>
                <w:rFonts w:cs="Times New Roman"/>
                <w:color w:val="auto"/>
              </w:rPr>
            </w:pPr>
          </w:p>
        </w:tc>
      </w:tr>
      <w:tr w:rsidR="00AA3A0A" w:rsidRPr="00AA3A0A" w14:paraId="3AFC7580" w14:textId="77777777" w:rsidTr="00C522EA">
        <w:trPr>
          <w:trHeight w:val="567"/>
        </w:trPr>
        <w:tc>
          <w:tcPr>
            <w:tcW w:w="2337" w:type="dxa"/>
            <w:tcBorders>
              <w:top w:val="single" w:sz="4" w:space="0" w:color="auto"/>
            </w:tcBorders>
            <w:vAlign w:val="center"/>
          </w:tcPr>
          <w:p w14:paraId="530155A7" w14:textId="26129152" w:rsidR="00500230" w:rsidRPr="00AA3A0A" w:rsidRDefault="00500230" w:rsidP="00AA3A0A">
            <w:pPr>
              <w:tabs>
                <w:tab w:val="left" w:pos="1505"/>
              </w:tabs>
              <w:rPr>
                <w:rFonts w:cs="Times New Roman"/>
                <w:color w:val="auto"/>
              </w:rPr>
            </w:pPr>
            <w:r w:rsidRPr="00AA3A0A">
              <w:rPr>
                <w:rFonts w:cs="Times New Roman"/>
                <w:color w:val="auto"/>
              </w:rPr>
              <w:t>WC</w:t>
            </w:r>
          </w:p>
        </w:tc>
        <w:tc>
          <w:tcPr>
            <w:tcW w:w="2337" w:type="dxa"/>
            <w:tcBorders>
              <w:top w:val="single" w:sz="4" w:space="0" w:color="auto"/>
            </w:tcBorders>
            <w:vAlign w:val="center"/>
          </w:tcPr>
          <w:p w14:paraId="753FD429" w14:textId="40F4E287" w:rsidR="00500230" w:rsidRPr="00AA3A0A" w:rsidRDefault="00500230" w:rsidP="00AA3A0A">
            <w:pPr>
              <w:tabs>
                <w:tab w:val="left" w:pos="1505"/>
              </w:tabs>
              <w:rPr>
                <w:rFonts w:cs="Times New Roman"/>
                <w:color w:val="auto"/>
              </w:rPr>
            </w:pPr>
            <w:r w:rsidRPr="00AA3A0A">
              <w:rPr>
                <w:rFonts w:cs="Times New Roman"/>
                <w:color w:val="auto"/>
              </w:rPr>
              <w:t>1.77 (1.34-2.33)</w:t>
            </w:r>
          </w:p>
        </w:tc>
        <w:tc>
          <w:tcPr>
            <w:tcW w:w="2338" w:type="dxa"/>
            <w:tcBorders>
              <w:top w:val="single" w:sz="4" w:space="0" w:color="auto"/>
            </w:tcBorders>
            <w:vAlign w:val="center"/>
          </w:tcPr>
          <w:p w14:paraId="2CBB29B3" w14:textId="4EFDB39B" w:rsidR="00500230" w:rsidRPr="00AA3A0A" w:rsidRDefault="00500230" w:rsidP="00AA3A0A">
            <w:pPr>
              <w:tabs>
                <w:tab w:val="left" w:pos="1505"/>
              </w:tabs>
              <w:rPr>
                <w:rFonts w:cs="Times New Roman"/>
                <w:color w:val="auto"/>
              </w:rPr>
            </w:pPr>
            <w:r w:rsidRPr="00AA3A0A">
              <w:rPr>
                <w:rFonts w:cs="Times New Roman"/>
                <w:color w:val="auto"/>
              </w:rPr>
              <w:t>&lt;0.001</w:t>
            </w:r>
          </w:p>
        </w:tc>
        <w:tc>
          <w:tcPr>
            <w:tcW w:w="2338" w:type="dxa"/>
            <w:tcBorders>
              <w:top w:val="single" w:sz="4" w:space="0" w:color="auto"/>
            </w:tcBorders>
            <w:vAlign w:val="center"/>
          </w:tcPr>
          <w:p w14:paraId="233B74CC" w14:textId="41969E7D" w:rsidR="00500230" w:rsidRPr="00AA3A0A" w:rsidRDefault="00500230" w:rsidP="00AA3A0A">
            <w:pPr>
              <w:tabs>
                <w:tab w:val="left" w:pos="1505"/>
              </w:tabs>
              <w:rPr>
                <w:rFonts w:cs="Times New Roman"/>
                <w:color w:val="auto"/>
              </w:rPr>
            </w:pPr>
            <w:r w:rsidRPr="00AA3A0A">
              <w:rPr>
                <w:rFonts w:cs="Times New Roman"/>
                <w:color w:val="auto"/>
              </w:rPr>
              <w:t>0.723</w:t>
            </w:r>
          </w:p>
        </w:tc>
      </w:tr>
      <w:tr w:rsidR="00AA3A0A" w:rsidRPr="00AA3A0A" w14:paraId="2B7DE34B" w14:textId="77777777" w:rsidTr="00C522EA">
        <w:trPr>
          <w:trHeight w:val="567"/>
        </w:trPr>
        <w:tc>
          <w:tcPr>
            <w:tcW w:w="2337" w:type="dxa"/>
            <w:vAlign w:val="center"/>
          </w:tcPr>
          <w:p w14:paraId="02347C9B" w14:textId="59DA329A" w:rsidR="00500230" w:rsidRPr="00AA3A0A" w:rsidRDefault="00500230" w:rsidP="00AA3A0A">
            <w:pPr>
              <w:tabs>
                <w:tab w:val="left" w:pos="1505"/>
              </w:tabs>
              <w:rPr>
                <w:rFonts w:cs="Times New Roman"/>
                <w:color w:val="auto"/>
              </w:rPr>
            </w:pPr>
            <w:r w:rsidRPr="00AA3A0A">
              <w:rPr>
                <w:rFonts w:cs="Times New Roman"/>
                <w:color w:val="auto"/>
              </w:rPr>
              <w:t>WHR</w:t>
            </w:r>
          </w:p>
        </w:tc>
        <w:tc>
          <w:tcPr>
            <w:tcW w:w="2337" w:type="dxa"/>
            <w:vAlign w:val="center"/>
          </w:tcPr>
          <w:p w14:paraId="329CF644" w14:textId="1D4C1959" w:rsidR="00500230" w:rsidRPr="00AA3A0A" w:rsidRDefault="00500230" w:rsidP="00AA3A0A">
            <w:pPr>
              <w:tabs>
                <w:tab w:val="left" w:pos="1505"/>
              </w:tabs>
              <w:rPr>
                <w:rFonts w:cs="Times New Roman"/>
                <w:color w:val="auto"/>
              </w:rPr>
            </w:pPr>
            <w:r w:rsidRPr="00AA3A0A">
              <w:rPr>
                <w:rFonts w:cs="Times New Roman"/>
                <w:color w:val="auto"/>
              </w:rPr>
              <w:t>1.57 (1.18-2.08)</w:t>
            </w:r>
          </w:p>
        </w:tc>
        <w:tc>
          <w:tcPr>
            <w:tcW w:w="2338" w:type="dxa"/>
            <w:vAlign w:val="center"/>
          </w:tcPr>
          <w:p w14:paraId="4AA04BC6" w14:textId="27DE5170" w:rsidR="00500230" w:rsidRPr="00AA3A0A" w:rsidRDefault="00500230" w:rsidP="00AA3A0A">
            <w:pPr>
              <w:tabs>
                <w:tab w:val="left" w:pos="1505"/>
              </w:tabs>
              <w:rPr>
                <w:rFonts w:cs="Times New Roman"/>
                <w:color w:val="auto"/>
              </w:rPr>
            </w:pPr>
            <w:r w:rsidRPr="00AA3A0A">
              <w:rPr>
                <w:rFonts w:cs="Times New Roman"/>
                <w:color w:val="auto"/>
              </w:rPr>
              <w:t>0.002</w:t>
            </w:r>
          </w:p>
        </w:tc>
        <w:tc>
          <w:tcPr>
            <w:tcW w:w="2338" w:type="dxa"/>
            <w:vAlign w:val="center"/>
          </w:tcPr>
          <w:p w14:paraId="0287B6D6" w14:textId="5F34FA57" w:rsidR="00500230" w:rsidRPr="00AA3A0A" w:rsidRDefault="00500230" w:rsidP="00AA3A0A">
            <w:pPr>
              <w:tabs>
                <w:tab w:val="left" w:pos="1505"/>
              </w:tabs>
              <w:rPr>
                <w:rFonts w:cs="Times New Roman"/>
                <w:color w:val="auto"/>
              </w:rPr>
            </w:pPr>
            <w:r w:rsidRPr="00AA3A0A">
              <w:rPr>
                <w:rFonts w:cs="Times New Roman"/>
                <w:color w:val="auto"/>
              </w:rPr>
              <w:t>0.732</w:t>
            </w:r>
          </w:p>
        </w:tc>
      </w:tr>
      <w:tr w:rsidR="00AA3A0A" w:rsidRPr="00AA3A0A" w14:paraId="31AE36E9" w14:textId="77777777" w:rsidTr="00C522EA">
        <w:trPr>
          <w:trHeight w:val="567"/>
        </w:trPr>
        <w:tc>
          <w:tcPr>
            <w:tcW w:w="2337" w:type="dxa"/>
            <w:tcBorders>
              <w:bottom w:val="single" w:sz="4" w:space="0" w:color="auto"/>
            </w:tcBorders>
            <w:vAlign w:val="center"/>
          </w:tcPr>
          <w:p w14:paraId="4B2803A6" w14:textId="3FCBD193" w:rsidR="00500230" w:rsidRPr="00AA3A0A" w:rsidRDefault="00500230" w:rsidP="00AA3A0A">
            <w:pPr>
              <w:tabs>
                <w:tab w:val="left" w:pos="1505"/>
              </w:tabs>
              <w:rPr>
                <w:rFonts w:cs="Times New Roman"/>
                <w:color w:val="auto"/>
              </w:rPr>
            </w:pPr>
            <w:r w:rsidRPr="00AA3A0A">
              <w:rPr>
                <w:rFonts w:cs="Times New Roman"/>
                <w:color w:val="auto"/>
              </w:rPr>
              <w:t>WHtR</w:t>
            </w:r>
          </w:p>
        </w:tc>
        <w:tc>
          <w:tcPr>
            <w:tcW w:w="2337" w:type="dxa"/>
            <w:tcBorders>
              <w:bottom w:val="single" w:sz="4" w:space="0" w:color="auto"/>
            </w:tcBorders>
            <w:vAlign w:val="center"/>
          </w:tcPr>
          <w:p w14:paraId="5920D62A" w14:textId="21101579" w:rsidR="00500230" w:rsidRPr="00AA3A0A" w:rsidRDefault="00500230" w:rsidP="00AA3A0A">
            <w:pPr>
              <w:tabs>
                <w:tab w:val="left" w:pos="1505"/>
              </w:tabs>
              <w:rPr>
                <w:rFonts w:cs="Times New Roman"/>
                <w:color w:val="auto"/>
              </w:rPr>
            </w:pPr>
            <w:r w:rsidRPr="00AA3A0A">
              <w:rPr>
                <w:rFonts w:cs="Times New Roman"/>
                <w:color w:val="auto"/>
              </w:rPr>
              <w:t>1.74 (1.32-2.29)</w:t>
            </w:r>
          </w:p>
        </w:tc>
        <w:tc>
          <w:tcPr>
            <w:tcW w:w="2338" w:type="dxa"/>
            <w:tcBorders>
              <w:bottom w:val="single" w:sz="4" w:space="0" w:color="auto"/>
            </w:tcBorders>
            <w:vAlign w:val="center"/>
          </w:tcPr>
          <w:p w14:paraId="5BC4E172" w14:textId="308A53B0" w:rsidR="00500230" w:rsidRPr="00AA3A0A" w:rsidRDefault="00500230" w:rsidP="00AA3A0A">
            <w:pPr>
              <w:tabs>
                <w:tab w:val="left" w:pos="1505"/>
              </w:tabs>
              <w:rPr>
                <w:rFonts w:cs="Times New Roman"/>
                <w:color w:val="auto"/>
              </w:rPr>
            </w:pPr>
            <w:r w:rsidRPr="00AA3A0A">
              <w:rPr>
                <w:rFonts w:cs="Times New Roman"/>
                <w:color w:val="auto"/>
              </w:rPr>
              <w:t>&lt;0.001</w:t>
            </w:r>
          </w:p>
        </w:tc>
        <w:tc>
          <w:tcPr>
            <w:tcW w:w="2338" w:type="dxa"/>
            <w:tcBorders>
              <w:bottom w:val="single" w:sz="4" w:space="0" w:color="auto"/>
            </w:tcBorders>
            <w:vAlign w:val="center"/>
          </w:tcPr>
          <w:p w14:paraId="2B09CA9A" w14:textId="52BC9279" w:rsidR="00500230" w:rsidRPr="00AA3A0A" w:rsidRDefault="00500230" w:rsidP="00AA3A0A">
            <w:pPr>
              <w:tabs>
                <w:tab w:val="left" w:pos="1505"/>
              </w:tabs>
              <w:rPr>
                <w:rFonts w:cs="Times New Roman"/>
                <w:color w:val="auto"/>
              </w:rPr>
            </w:pPr>
            <w:r w:rsidRPr="00AA3A0A">
              <w:rPr>
                <w:rFonts w:cs="Times New Roman"/>
                <w:color w:val="auto"/>
              </w:rPr>
              <w:t>0.725</w:t>
            </w:r>
          </w:p>
        </w:tc>
      </w:tr>
    </w:tbl>
    <w:p w14:paraId="28D6671B" w14:textId="37E83052" w:rsidR="00A74B43" w:rsidRPr="00AA3A0A" w:rsidRDefault="00EB2BBB" w:rsidP="00AA3A0A">
      <w:pPr>
        <w:tabs>
          <w:tab w:val="left" w:pos="1505"/>
        </w:tabs>
        <w:rPr>
          <w:rFonts w:cs="Times New Roman"/>
          <w:color w:val="auto"/>
        </w:rPr>
      </w:pPr>
      <w:r w:rsidRPr="00AA3A0A">
        <w:rPr>
          <w:rFonts w:cs="Times New Roman"/>
          <w:color w:val="auto"/>
        </w:rPr>
        <w:t>All models adjusted for age, sex, smoking status, BMI, and the respective anthropometric measure (WC, WHR, or WHtR). HR refers to the association of high vs. low VAT/SAT ratio. BMI, body mass index; CI, confidence interval; C-index, Harrell's concordance statistic, a measure of model discrimination (range 0.5–1.0); HR, hazard ratio; MACE, major adverse cardiovascular events; VAT/SAT ratio, visceral-to-subcutaneous adipose tissue ratio; WHR, waist-to-hip ratio; WHtR, waist-to-height ratio; WC, waist circumference.</w:t>
      </w:r>
    </w:p>
    <w:bookmarkEnd w:id="19"/>
    <w:p w14:paraId="24F9BA9C" w14:textId="77777777" w:rsidR="00EB2BBB" w:rsidRPr="00AA3A0A" w:rsidRDefault="00EB2BBB" w:rsidP="00AA3A0A">
      <w:pPr>
        <w:tabs>
          <w:tab w:val="left" w:pos="1505"/>
        </w:tabs>
        <w:rPr>
          <w:rFonts w:cs="Times New Roman"/>
          <w:color w:val="auto"/>
        </w:rPr>
      </w:pPr>
    </w:p>
    <w:p w14:paraId="0E607EC2" w14:textId="0E8BDFE6" w:rsidR="002146DB" w:rsidRPr="00AA3A0A" w:rsidRDefault="002146DB" w:rsidP="00AA3A0A">
      <w:pPr>
        <w:rPr>
          <w:bCs/>
          <w:color w:val="auto"/>
        </w:rPr>
      </w:pPr>
      <w:bookmarkStart w:id="20" w:name="_Hlk231911080"/>
      <w:r w:rsidRPr="00AA3A0A">
        <w:rPr>
          <w:rFonts w:cstheme="majorBidi"/>
          <w:b/>
          <w:bCs/>
          <w:color w:val="auto"/>
        </w:rPr>
        <w:t xml:space="preserve">Supplemental Table </w:t>
      </w:r>
      <w:r w:rsidR="007C5F88" w:rsidRPr="00AA3A0A">
        <w:rPr>
          <w:rFonts w:cstheme="majorBidi"/>
          <w:b/>
          <w:bCs/>
          <w:color w:val="auto"/>
        </w:rPr>
        <w:t>6</w:t>
      </w:r>
      <w:r w:rsidRPr="00AA3A0A">
        <w:rPr>
          <w:rFonts w:cstheme="majorBidi"/>
          <w:b/>
          <w:bCs/>
          <w:color w:val="auto"/>
        </w:rPr>
        <w:t xml:space="preserve">: </w:t>
      </w:r>
      <w:r w:rsidR="00845DBE" w:rsidRPr="00AA3A0A">
        <w:rPr>
          <w:rFonts w:eastAsiaTheme="majorEastAsia" w:cstheme="majorBidi"/>
          <w:b/>
          <w:bCs/>
          <w:color w:val="auto"/>
        </w:rPr>
        <w:t>Comparison of VAT/SAT ratio vs. VAT volume</w:t>
      </w:r>
      <w:r w:rsidR="00845DBE" w:rsidRPr="00AA3A0A" w:rsidDel="00845DBE">
        <w:rPr>
          <w:b/>
          <w:bCs/>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AA3A0A" w:rsidRPr="00AA3A0A" w14:paraId="10D0D4D7" w14:textId="77777777" w:rsidTr="00C522EA">
        <w:trPr>
          <w:trHeight w:val="567"/>
        </w:trPr>
        <w:tc>
          <w:tcPr>
            <w:tcW w:w="2337" w:type="dxa"/>
            <w:tcBorders>
              <w:top w:val="single" w:sz="4" w:space="0" w:color="auto"/>
              <w:bottom w:val="single" w:sz="4" w:space="0" w:color="auto"/>
            </w:tcBorders>
            <w:vAlign w:val="center"/>
          </w:tcPr>
          <w:p w14:paraId="26EB836A" w14:textId="2B51223F" w:rsidR="002146DB" w:rsidRPr="00AA3A0A" w:rsidRDefault="00B87FFE" w:rsidP="00AA3A0A">
            <w:pPr>
              <w:tabs>
                <w:tab w:val="left" w:pos="1505"/>
              </w:tabs>
              <w:rPr>
                <w:rFonts w:cs="Times New Roman"/>
                <w:color w:val="auto"/>
              </w:rPr>
            </w:pPr>
            <w:r w:rsidRPr="00AA3A0A">
              <w:rPr>
                <w:rFonts w:cs="Times New Roman"/>
                <w:color w:val="auto"/>
              </w:rPr>
              <w:t>Predictor</w:t>
            </w:r>
          </w:p>
        </w:tc>
        <w:tc>
          <w:tcPr>
            <w:tcW w:w="2337" w:type="dxa"/>
            <w:tcBorders>
              <w:top w:val="single" w:sz="4" w:space="0" w:color="auto"/>
              <w:bottom w:val="single" w:sz="4" w:space="0" w:color="auto"/>
            </w:tcBorders>
            <w:vAlign w:val="center"/>
          </w:tcPr>
          <w:p w14:paraId="341D300F" w14:textId="77777777" w:rsidR="002146DB" w:rsidRPr="00AA3A0A" w:rsidRDefault="002146DB" w:rsidP="00AA3A0A">
            <w:pPr>
              <w:tabs>
                <w:tab w:val="left" w:pos="1505"/>
              </w:tabs>
              <w:rPr>
                <w:rFonts w:cs="Times New Roman"/>
                <w:color w:val="auto"/>
              </w:rPr>
            </w:pPr>
            <w:r w:rsidRPr="00AA3A0A">
              <w:rPr>
                <w:rFonts w:cs="Times New Roman"/>
                <w:color w:val="auto"/>
              </w:rPr>
              <w:t>HR (95% CI)</w:t>
            </w:r>
          </w:p>
        </w:tc>
        <w:tc>
          <w:tcPr>
            <w:tcW w:w="2338" w:type="dxa"/>
            <w:tcBorders>
              <w:top w:val="single" w:sz="4" w:space="0" w:color="auto"/>
              <w:bottom w:val="single" w:sz="4" w:space="0" w:color="auto"/>
            </w:tcBorders>
            <w:vAlign w:val="center"/>
          </w:tcPr>
          <w:p w14:paraId="5EC96BEA" w14:textId="77777777" w:rsidR="002146DB" w:rsidRPr="00AA3A0A" w:rsidRDefault="002146DB" w:rsidP="00AA3A0A">
            <w:pPr>
              <w:tabs>
                <w:tab w:val="left" w:pos="1505"/>
              </w:tabs>
              <w:rPr>
                <w:rFonts w:cs="Times New Roman"/>
                <w:color w:val="auto"/>
              </w:rPr>
            </w:pPr>
            <w:r w:rsidRPr="00AA3A0A">
              <w:rPr>
                <w:rFonts w:cs="Times New Roman"/>
                <w:color w:val="auto"/>
              </w:rPr>
              <w:t>p-value</w:t>
            </w:r>
          </w:p>
        </w:tc>
        <w:tc>
          <w:tcPr>
            <w:tcW w:w="2338" w:type="dxa"/>
            <w:tcBorders>
              <w:top w:val="single" w:sz="4" w:space="0" w:color="auto"/>
              <w:bottom w:val="single" w:sz="4" w:space="0" w:color="auto"/>
            </w:tcBorders>
            <w:vAlign w:val="center"/>
          </w:tcPr>
          <w:p w14:paraId="703DE03F" w14:textId="77777777" w:rsidR="002146DB" w:rsidRPr="00AA3A0A" w:rsidRDefault="002146DB" w:rsidP="00AA3A0A">
            <w:pPr>
              <w:tabs>
                <w:tab w:val="left" w:pos="1505"/>
              </w:tabs>
              <w:rPr>
                <w:rFonts w:cs="Times New Roman"/>
                <w:color w:val="auto"/>
              </w:rPr>
            </w:pPr>
            <w:r w:rsidRPr="00AA3A0A">
              <w:rPr>
                <w:rFonts w:cs="Times New Roman"/>
                <w:color w:val="auto"/>
              </w:rPr>
              <w:t>C-index</w:t>
            </w:r>
          </w:p>
        </w:tc>
      </w:tr>
      <w:tr w:rsidR="00AA3A0A" w:rsidRPr="00AA3A0A" w14:paraId="677653FD" w14:textId="77777777" w:rsidTr="00C522EA">
        <w:trPr>
          <w:trHeight w:val="567"/>
        </w:trPr>
        <w:tc>
          <w:tcPr>
            <w:tcW w:w="2337" w:type="dxa"/>
            <w:tcBorders>
              <w:top w:val="single" w:sz="4" w:space="0" w:color="auto"/>
              <w:bottom w:val="single" w:sz="4" w:space="0" w:color="auto"/>
            </w:tcBorders>
            <w:vAlign w:val="center"/>
          </w:tcPr>
          <w:p w14:paraId="3681EAA3" w14:textId="77777777" w:rsidR="002146DB" w:rsidRPr="00AA3A0A" w:rsidRDefault="002146DB" w:rsidP="00AA3A0A">
            <w:pPr>
              <w:tabs>
                <w:tab w:val="left" w:pos="1505"/>
              </w:tabs>
              <w:rPr>
                <w:rFonts w:cs="Times New Roman"/>
                <w:color w:val="auto"/>
              </w:rPr>
            </w:pPr>
            <w:r w:rsidRPr="00AA3A0A">
              <w:rPr>
                <w:rFonts w:cs="Times New Roman"/>
                <w:color w:val="auto"/>
              </w:rPr>
              <w:t>MACE</w:t>
            </w:r>
          </w:p>
        </w:tc>
        <w:tc>
          <w:tcPr>
            <w:tcW w:w="2337" w:type="dxa"/>
            <w:tcBorders>
              <w:top w:val="single" w:sz="4" w:space="0" w:color="auto"/>
              <w:bottom w:val="single" w:sz="4" w:space="0" w:color="auto"/>
            </w:tcBorders>
            <w:vAlign w:val="center"/>
          </w:tcPr>
          <w:p w14:paraId="31134156" w14:textId="77777777" w:rsidR="002146DB" w:rsidRPr="00AA3A0A" w:rsidRDefault="002146DB" w:rsidP="00AA3A0A">
            <w:pPr>
              <w:tabs>
                <w:tab w:val="left" w:pos="1505"/>
              </w:tabs>
              <w:rPr>
                <w:rFonts w:cs="Times New Roman"/>
                <w:color w:val="auto"/>
              </w:rPr>
            </w:pPr>
          </w:p>
        </w:tc>
        <w:tc>
          <w:tcPr>
            <w:tcW w:w="2338" w:type="dxa"/>
            <w:tcBorders>
              <w:top w:val="single" w:sz="4" w:space="0" w:color="auto"/>
              <w:bottom w:val="single" w:sz="4" w:space="0" w:color="auto"/>
            </w:tcBorders>
            <w:vAlign w:val="center"/>
          </w:tcPr>
          <w:p w14:paraId="4ABE5D14" w14:textId="77777777" w:rsidR="002146DB" w:rsidRPr="00AA3A0A" w:rsidRDefault="002146DB" w:rsidP="00AA3A0A">
            <w:pPr>
              <w:tabs>
                <w:tab w:val="left" w:pos="1505"/>
              </w:tabs>
              <w:rPr>
                <w:rFonts w:cs="Times New Roman"/>
                <w:color w:val="auto"/>
              </w:rPr>
            </w:pPr>
          </w:p>
        </w:tc>
        <w:tc>
          <w:tcPr>
            <w:tcW w:w="2338" w:type="dxa"/>
            <w:tcBorders>
              <w:top w:val="single" w:sz="4" w:space="0" w:color="auto"/>
              <w:bottom w:val="single" w:sz="4" w:space="0" w:color="auto"/>
            </w:tcBorders>
            <w:vAlign w:val="center"/>
          </w:tcPr>
          <w:p w14:paraId="0405A422" w14:textId="77777777" w:rsidR="002146DB" w:rsidRPr="00AA3A0A" w:rsidRDefault="002146DB" w:rsidP="00AA3A0A">
            <w:pPr>
              <w:tabs>
                <w:tab w:val="left" w:pos="1505"/>
              </w:tabs>
              <w:rPr>
                <w:rFonts w:cs="Times New Roman"/>
                <w:color w:val="auto"/>
              </w:rPr>
            </w:pPr>
          </w:p>
        </w:tc>
      </w:tr>
      <w:tr w:rsidR="00AA3A0A" w:rsidRPr="00AA3A0A" w14:paraId="5B4D110D" w14:textId="77777777" w:rsidTr="00C522EA">
        <w:trPr>
          <w:trHeight w:val="567"/>
        </w:trPr>
        <w:tc>
          <w:tcPr>
            <w:tcW w:w="2337" w:type="dxa"/>
            <w:tcBorders>
              <w:top w:val="single" w:sz="4" w:space="0" w:color="auto"/>
            </w:tcBorders>
            <w:vAlign w:val="center"/>
          </w:tcPr>
          <w:p w14:paraId="4180EE1F" w14:textId="4A4BD5C6" w:rsidR="002146DB" w:rsidRPr="00AA3A0A" w:rsidRDefault="002146DB" w:rsidP="00AA3A0A">
            <w:pPr>
              <w:tabs>
                <w:tab w:val="left" w:pos="1505"/>
              </w:tabs>
              <w:rPr>
                <w:rFonts w:cs="Times New Roman"/>
                <w:color w:val="auto"/>
              </w:rPr>
            </w:pPr>
            <w:r w:rsidRPr="00AA3A0A">
              <w:rPr>
                <w:rFonts w:cs="Times New Roman"/>
                <w:color w:val="auto"/>
              </w:rPr>
              <w:t>VAT</w:t>
            </w:r>
          </w:p>
        </w:tc>
        <w:tc>
          <w:tcPr>
            <w:tcW w:w="2337" w:type="dxa"/>
            <w:tcBorders>
              <w:top w:val="single" w:sz="4" w:space="0" w:color="auto"/>
            </w:tcBorders>
            <w:vAlign w:val="center"/>
          </w:tcPr>
          <w:p w14:paraId="0A3BF39B" w14:textId="7FA2967D" w:rsidR="002146DB" w:rsidRPr="00AA3A0A" w:rsidRDefault="002146DB" w:rsidP="00AA3A0A">
            <w:pPr>
              <w:tabs>
                <w:tab w:val="left" w:pos="1505"/>
              </w:tabs>
              <w:rPr>
                <w:rFonts w:cs="Times New Roman"/>
                <w:color w:val="auto"/>
              </w:rPr>
            </w:pPr>
            <w:r w:rsidRPr="00AA3A0A">
              <w:rPr>
                <w:rFonts w:cs="Times New Roman"/>
                <w:color w:val="auto"/>
              </w:rPr>
              <w:t>1.12 (0.93-1.35)</w:t>
            </w:r>
          </w:p>
        </w:tc>
        <w:tc>
          <w:tcPr>
            <w:tcW w:w="2338" w:type="dxa"/>
            <w:tcBorders>
              <w:top w:val="single" w:sz="4" w:space="0" w:color="auto"/>
            </w:tcBorders>
            <w:vAlign w:val="center"/>
          </w:tcPr>
          <w:p w14:paraId="38FD3AB4" w14:textId="08EB33C0" w:rsidR="002146DB" w:rsidRPr="00AA3A0A" w:rsidRDefault="002146DB" w:rsidP="00AA3A0A">
            <w:pPr>
              <w:tabs>
                <w:tab w:val="left" w:pos="1505"/>
              </w:tabs>
              <w:rPr>
                <w:rFonts w:cs="Times New Roman"/>
                <w:color w:val="auto"/>
              </w:rPr>
            </w:pPr>
            <w:r w:rsidRPr="00AA3A0A">
              <w:rPr>
                <w:rFonts w:cs="Times New Roman"/>
                <w:color w:val="auto"/>
              </w:rPr>
              <w:t>0.227</w:t>
            </w:r>
          </w:p>
        </w:tc>
        <w:tc>
          <w:tcPr>
            <w:tcW w:w="2338" w:type="dxa"/>
            <w:tcBorders>
              <w:top w:val="single" w:sz="4" w:space="0" w:color="auto"/>
            </w:tcBorders>
            <w:vAlign w:val="center"/>
          </w:tcPr>
          <w:p w14:paraId="65C1EA79" w14:textId="2F8EE659" w:rsidR="002146DB" w:rsidRPr="00AA3A0A" w:rsidRDefault="002146DB" w:rsidP="00AA3A0A">
            <w:pPr>
              <w:tabs>
                <w:tab w:val="left" w:pos="1505"/>
              </w:tabs>
              <w:rPr>
                <w:rFonts w:cs="Times New Roman"/>
                <w:color w:val="auto"/>
              </w:rPr>
            </w:pPr>
            <w:r w:rsidRPr="00AA3A0A">
              <w:rPr>
                <w:rFonts w:cs="Times New Roman"/>
                <w:color w:val="auto"/>
              </w:rPr>
              <w:t>0.691</w:t>
            </w:r>
          </w:p>
        </w:tc>
      </w:tr>
      <w:tr w:rsidR="00AA3A0A" w:rsidRPr="00AA3A0A" w14:paraId="6955E5D1" w14:textId="77777777" w:rsidTr="00C522EA">
        <w:trPr>
          <w:trHeight w:val="567"/>
        </w:trPr>
        <w:tc>
          <w:tcPr>
            <w:tcW w:w="2337" w:type="dxa"/>
            <w:tcBorders>
              <w:bottom w:val="single" w:sz="4" w:space="0" w:color="auto"/>
            </w:tcBorders>
            <w:vAlign w:val="center"/>
          </w:tcPr>
          <w:p w14:paraId="36940B8C" w14:textId="066AA9C1" w:rsidR="002146DB" w:rsidRPr="00AA3A0A" w:rsidRDefault="002146DB" w:rsidP="00AA3A0A">
            <w:pPr>
              <w:tabs>
                <w:tab w:val="left" w:pos="1505"/>
              </w:tabs>
              <w:rPr>
                <w:rFonts w:cs="Times New Roman"/>
                <w:color w:val="auto"/>
              </w:rPr>
            </w:pPr>
            <w:r w:rsidRPr="00AA3A0A">
              <w:rPr>
                <w:rFonts w:cs="Times New Roman"/>
                <w:color w:val="auto"/>
              </w:rPr>
              <w:t>VAT/SAT</w:t>
            </w:r>
          </w:p>
        </w:tc>
        <w:tc>
          <w:tcPr>
            <w:tcW w:w="2337" w:type="dxa"/>
            <w:tcBorders>
              <w:bottom w:val="single" w:sz="4" w:space="0" w:color="auto"/>
            </w:tcBorders>
            <w:vAlign w:val="center"/>
          </w:tcPr>
          <w:p w14:paraId="688BBBF2" w14:textId="6038075C" w:rsidR="002146DB" w:rsidRPr="00AA3A0A" w:rsidRDefault="002146DB" w:rsidP="00AA3A0A">
            <w:pPr>
              <w:tabs>
                <w:tab w:val="left" w:pos="1505"/>
              </w:tabs>
              <w:rPr>
                <w:rFonts w:cs="Times New Roman"/>
                <w:color w:val="auto"/>
              </w:rPr>
            </w:pPr>
            <w:r w:rsidRPr="00AA3A0A">
              <w:rPr>
                <w:rFonts w:cs="Times New Roman"/>
                <w:color w:val="auto"/>
              </w:rPr>
              <w:t>1.17 (1.02-1.34)</w:t>
            </w:r>
          </w:p>
        </w:tc>
        <w:tc>
          <w:tcPr>
            <w:tcW w:w="2338" w:type="dxa"/>
            <w:tcBorders>
              <w:bottom w:val="single" w:sz="4" w:space="0" w:color="auto"/>
            </w:tcBorders>
            <w:vAlign w:val="center"/>
          </w:tcPr>
          <w:p w14:paraId="53B614B2" w14:textId="3AB7D8B7" w:rsidR="002146DB" w:rsidRPr="00AA3A0A" w:rsidRDefault="002146DB" w:rsidP="00AA3A0A">
            <w:pPr>
              <w:tabs>
                <w:tab w:val="left" w:pos="1505"/>
              </w:tabs>
              <w:rPr>
                <w:rFonts w:cs="Times New Roman"/>
                <w:color w:val="auto"/>
              </w:rPr>
            </w:pPr>
            <w:r w:rsidRPr="00AA3A0A">
              <w:rPr>
                <w:rFonts w:cs="Times New Roman"/>
                <w:color w:val="auto"/>
              </w:rPr>
              <w:t>0.022</w:t>
            </w:r>
          </w:p>
        </w:tc>
        <w:tc>
          <w:tcPr>
            <w:tcW w:w="2338" w:type="dxa"/>
            <w:tcBorders>
              <w:bottom w:val="single" w:sz="4" w:space="0" w:color="auto"/>
            </w:tcBorders>
            <w:vAlign w:val="center"/>
          </w:tcPr>
          <w:p w14:paraId="0B44CC15" w14:textId="28A2BC8D" w:rsidR="002146DB" w:rsidRPr="00AA3A0A" w:rsidRDefault="002146DB" w:rsidP="00AA3A0A">
            <w:pPr>
              <w:tabs>
                <w:tab w:val="left" w:pos="1505"/>
              </w:tabs>
              <w:rPr>
                <w:rFonts w:cs="Times New Roman"/>
                <w:color w:val="auto"/>
              </w:rPr>
            </w:pPr>
            <w:r w:rsidRPr="00AA3A0A">
              <w:rPr>
                <w:rFonts w:cs="Times New Roman"/>
                <w:color w:val="auto"/>
              </w:rPr>
              <w:t>0.693</w:t>
            </w:r>
          </w:p>
        </w:tc>
      </w:tr>
      <w:tr w:rsidR="00AA3A0A" w:rsidRPr="00AA3A0A" w14:paraId="40AA86A8" w14:textId="77777777" w:rsidTr="00C522EA">
        <w:trPr>
          <w:trHeight w:val="567"/>
        </w:trPr>
        <w:tc>
          <w:tcPr>
            <w:tcW w:w="2337" w:type="dxa"/>
            <w:tcBorders>
              <w:top w:val="single" w:sz="4" w:space="0" w:color="auto"/>
              <w:bottom w:val="single" w:sz="4" w:space="0" w:color="auto"/>
            </w:tcBorders>
            <w:vAlign w:val="center"/>
          </w:tcPr>
          <w:p w14:paraId="12DBC860" w14:textId="77777777" w:rsidR="002146DB" w:rsidRPr="00AA3A0A" w:rsidRDefault="002146DB" w:rsidP="00AA3A0A">
            <w:pPr>
              <w:tabs>
                <w:tab w:val="left" w:pos="1505"/>
              </w:tabs>
              <w:rPr>
                <w:rFonts w:cs="Times New Roman"/>
                <w:color w:val="auto"/>
              </w:rPr>
            </w:pPr>
            <w:r w:rsidRPr="00AA3A0A">
              <w:rPr>
                <w:rFonts w:cs="Times New Roman"/>
                <w:color w:val="auto"/>
              </w:rPr>
              <w:t>Diabetes</w:t>
            </w:r>
          </w:p>
        </w:tc>
        <w:tc>
          <w:tcPr>
            <w:tcW w:w="2337" w:type="dxa"/>
            <w:tcBorders>
              <w:top w:val="single" w:sz="4" w:space="0" w:color="auto"/>
              <w:bottom w:val="single" w:sz="4" w:space="0" w:color="auto"/>
            </w:tcBorders>
            <w:vAlign w:val="center"/>
          </w:tcPr>
          <w:p w14:paraId="14A2D150" w14:textId="77777777" w:rsidR="002146DB" w:rsidRPr="00AA3A0A" w:rsidRDefault="002146DB" w:rsidP="00AA3A0A">
            <w:pPr>
              <w:tabs>
                <w:tab w:val="left" w:pos="1505"/>
              </w:tabs>
              <w:rPr>
                <w:rFonts w:cs="Times New Roman"/>
                <w:color w:val="auto"/>
              </w:rPr>
            </w:pPr>
          </w:p>
        </w:tc>
        <w:tc>
          <w:tcPr>
            <w:tcW w:w="2338" w:type="dxa"/>
            <w:tcBorders>
              <w:top w:val="single" w:sz="4" w:space="0" w:color="auto"/>
              <w:bottom w:val="single" w:sz="4" w:space="0" w:color="auto"/>
            </w:tcBorders>
            <w:vAlign w:val="center"/>
          </w:tcPr>
          <w:p w14:paraId="454493A6" w14:textId="77777777" w:rsidR="002146DB" w:rsidRPr="00AA3A0A" w:rsidRDefault="002146DB" w:rsidP="00AA3A0A">
            <w:pPr>
              <w:tabs>
                <w:tab w:val="left" w:pos="1505"/>
              </w:tabs>
              <w:rPr>
                <w:rFonts w:cs="Times New Roman"/>
                <w:color w:val="auto"/>
              </w:rPr>
            </w:pPr>
          </w:p>
        </w:tc>
        <w:tc>
          <w:tcPr>
            <w:tcW w:w="2338" w:type="dxa"/>
            <w:tcBorders>
              <w:top w:val="single" w:sz="4" w:space="0" w:color="auto"/>
              <w:bottom w:val="single" w:sz="4" w:space="0" w:color="auto"/>
            </w:tcBorders>
            <w:vAlign w:val="center"/>
          </w:tcPr>
          <w:p w14:paraId="72E119DF" w14:textId="77777777" w:rsidR="002146DB" w:rsidRPr="00AA3A0A" w:rsidRDefault="002146DB" w:rsidP="00AA3A0A">
            <w:pPr>
              <w:tabs>
                <w:tab w:val="left" w:pos="1505"/>
              </w:tabs>
              <w:rPr>
                <w:rFonts w:cs="Times New Roman"/>
                <w:color w:val="auto"/>
              </w:rPr>
            </w:pPr>
          </w:p>
        </w:tc>
      </w:tr>
      <w:tr w:rsidR="00AA3A0A" w:rsidRPr="00AA3A0A" w14:paraId="66BA5D3E" w14:textId="77777777" w:rsidTr="00C522EA">
        <w:trPr>
          <w:trHeight w:val="567"/>
        </w:trPr>
        <w:tc>
          <w:tcPr>
            <w:tcW w:w="2337" w:type="dxa"/>
            <w:tcBorders>
              <w:top w:val="single" w:sz="4" w:space="0" w:color="auto"/>
            </w:tcBorders>
            <w:vAlign w:val="center"/>
          </w:tcPr>
          <w:p w14:paraId="68FCC49A" w14:textId="5B2137AF" w:rsidR="002146DB" w:rsidRPr="00AA3A0A" w:rsidRDefault="002146DB" w:rsidP="00AA3A0A">
            <w:pPr>
              <w:tabs>
                <w:tab w:val="left" w:pos="1505"/>
              </w:tabs>
              <w:rPr>
                <w:rFonts w:cs="Times New Roman"/>
                <w:color w:val="auto"/>
              </w:rPr>
            </w:pPr>
            <w:r w:rsidRPr="00AA3A0A">
              <w:rPr>
                <w:rFonts w:cs="Times New Roman"/>
                <w:color w:val="auto"/>
              </w:rPr>
              <w:t>VAT</w:t>
            </w:r>
          </w:p>
        </w:tc>
        <w:tc>
          <w:tcPr>
            <w:tcW w:w="2337" w:type="dxa"/>
            <w:tcBorders>
              <w:top w:val="single" w:sz="4" w:space="0" w:color="auto"/>
            </w:tcBorders>
            <w:vAlign w:val="center"/>
          </w:tcPr>
          <w:p w14:paraId="440F4586" w14:textId="0DF595B2" w:rsidR="002146DB" w:rsidRPr="00AA3A0A" w:rsidRDefault="002146DB" w:rsidP="00AA3A0A">
            <w:pPr>
              <w:tabs>
                <w:tab w:val="left" w:pos="1505"/>
              </w:tabs>
              <w:rPr>
                <w:rFonts w:cs="Times New Roman"/>
                <w:color w:val="auto"/>
              </w:rPr>
            </w:pPr>
            <w:r w:rsidRPr="00AA3A0A">
              <w:rPr>
                <w:rFonts w:cs="Times New Roman"/>
                <w:color w:val="auto"/>
              </w:rPr>
              <w:t>1.68 (1.31-2.14)</w:t>
            </w:r>
          </w:p>
        </w:tc>
        <w:tc>
          <w:tcPr>
            <w:tcW w:w="2338" w:type="dxa"/>
            <w:tcBorders>
              <w:top w:val="single" w:sz="4" w:space="0" w:color="auto"/>
            </w:tcBorders>
            <w:vAlign w:val="center"/>
          </w:tcPr>
          <w:p w14:paraId="18EB1001" w14:textId="77777777" w:rsidR="002146DB" w:rsidRPr="00AA3A0A" w:rsidRDefault="002146DB" w:rsidP="00AA3A0A">
            <w:pPr>
              <w:tabs>
                <w:tab w:val="left" w:pos="1505"/>
              </w:tabs>
              <w:rPr>
                <w:rFonts w:cs="Times New Roman"/>
                <w:color w:val="auto"/>
              </w:rPr>
            </w:pPr>
            <w:r w:rsidRPr="00AA3A0A">
              <w:rPr>
                <w:rFonts w:cs="Times New Roman"/>
                <w:color w:val="auto"/>
              </w:rPr>
              <w:t>&lt;0.001</w:t>
            </w:r>
          </w:p>
        </w:tc>
        <w:tc>
          <w:tcPr>
            <w:tcW w:w="2338" w:type="dxa"/>
            <w:tcBorders>
              <w:top w:val="single" w:sz="4" w:space="0" w:color="auto"/>
            </w:tcBorders>
            <w:vAlign w:val="center"/>
          </w:tcPr>
          <w:p w14:paraId="0CD1C68A" w14:textId="77777777" w:rsidR="002146DB" w:rsidRPr="00AA3A0A" w:rsidRDefault="002146DB" w:rsidP="00AA3A0A">
            <w:pPr>
              <w:tabs>
                <w:tab w:val="left" w:pos="1505"/>
              </w:tabs>
              <w:rPr>
                <w:rFonts w:cs="Times New Roman"/>
                <w:color w:val="auto"/>
              </w:rPr>
            </w:pPr>
            <w:r w:rsidRPr="00AA3A0A">
              <w:rPr>
                <w:rFonts w:cs="Times New Roman"/>
                <w:color w:val="auto"/>
              </w:rPr>
              <w:t>0.723</w:t>
            </w:r>
          </w:p>
        </w:tc>
      </w:tr>
      <w:tr w:rsidR="00AA3A0A" w:rsidRPr="00AA3A0A" w14:paraId="7B09C965" w14:textId="77777777" w:rsidTr="00C522EA">
        <w:trPr>
          <w:trHeight w:val="567"/>
        </w:trPr>
        <w:tc>
          <w:tcPr>
            <w:tcW w:w="2337" w:type="dxa"/>
            <w:tcBorders>
              <w:bottom w:val="single" w:sz="4" w:space="0" w:color="auto"/>
            </w:tcBorders>
            <w:vAlign w:val="center"/>
          </w:tcPr>
          <w:p w14:paraId="16980DCF" w14:textId="1FE3FDDE" w:rsidR="002146DB" w:rsidRPr="00AA3A0A" w:rsidRDefault="002146DB" w:rsidP="00AA3A0A">
            <w:pPr>
              <w:tabs>
                <w:tab w:val="left" w:pos="1505"/>
              </w:tabs>
              <w:rPr>
                <w:rFonts w:cs="Times New Roman"/>
                <w:color w:val="auto"/>
              </w:rPr>
            </w:pPr>
            <w:r w:rsidRPr="00AA3A0A">
              <w:rPr>
                <w:rFonts w:cs="Times New Roman"/>
                <w:color w:val="auto"/>
              </w:rPr>
              <w:t>VAT/SAT</w:t>
            </w:r>
          </w:p>
        </w:tc>
        <w:tc>
          <w:tcPr>
            <w:tcW w:w="2337" w:type="dxa"/>
            <w:tcBorders>
              <w:bottom w:val="single" w:sz="4" w:space="0" w:color="auto"/>
            </w:tcBorders>
            <w:vAlign w:val="center"/>
          </w:tcPr>
          <w:p w14:paraId="62568275" w14:textId="13214A74" w:rsidR="002146DB" w:rsidRPr="00AA3A0A" w:rsidRDefault="002146DB" w:rsidP="00AA3A0A">
            <w:pPr>
              <w:tabs>
                <w:tab w:val="left" w:pos="1505"/>
              </w:tabs>
              <w:rPr>
                <w:rFonts w:cs="Times New Roman"/>
                <w:color w:val="auto"/>
              </w:rPr>
            </w:pPr>
            <w:r w:rsidRPr="00AA3A0A">
              <w:rPr>
                <w:rFonts w:cs="Times New Roman"/>
                <w:color w:val="auto"/>
              </w:rPr>
              <w:t>1.50 (1.28-1.75)</w:t>
            </w:r>
          </w:p>
        </w:tc>
        <w:tc>
          <w:tcPr>
            <w:tcW w:w="2338" w:type="dxa"/>
            <w:tcBorders>
              <w:bottom w:val="single" w:sz="4" w:space="0" w:color="auto"/>
            </w:tcBorders>
            <w:vAlign w:val="center"/>
          </w:tcPr>
          <w:p w14:paraId="2BD7AE8D" w14:textId="398FA81F" w:rsidR="002146DB" w:rsidRPr="00AA3A0A" w:rsidRDefault="002146DB" w:rsidP="00AA3A0A">
            <w:pPr>
              <w:tabs>
                <w:tab w:val="left" w:pos="1505"/>
              </w:tabs>
              <w:rPr>
                <w:rFonts w:cs="Times New Roman"/>
                <w:color w:val="auto"/>
              </w:rPr>
            </w:pPr>
            <w:r w:rsidRPr="00AA3A0A">
              <w:rPr>
                <w:rFonts w:cs="Times New Roman"/>
                <w:color w:val="auto"/>
              </w:rPr>
              <w:t>&lt;0.001</w:t>
            </w:r>
          </w:p>
        </w:tc>
        <w:tc>
          <w:tcPr>
            <w:tcW w:w="2338" w:type="dxa"/>
            <w:tcBorders>
              <w:bottom w:val="single" w:sz="4" w:space="0" w:color="auto"/>
            </w:tcBorders>
            <w:vAlign w:val="center"/>
          </w:tcPr>
          <w:p w14:paraId="0C502E38" w14:textId="6D099559" w:rsidR="002146DB" w:rsidRPr="00AA3A0A" w:rsidRDefault="002146DB" w:rsidP="00AA3A0A">
            <w:pPr>
              <w:tabs>
                <w:tab w:val="left" w:pos="1505"/>
              </w:tabs>
              <w:rPr>
                <w:rFonts w:cs="Times New Roman"/>
                <w:color w:val="auto"/>
              </w:rPr>
            </w:pPr>
            <w:r w:rsidRPr="00AA3A0A">
              <w:rPr>
                <w:rFonts w:cs="Times New Roman"/>
                <w:color w:val="auto"/>
              </w:rPr>
              <w:t>0.726</w:t>
            </w:r>
          </w:p>
        </w:tc>
      </w:tr>
    </w:tbl>
    <w:p w14:paraId="7C2C19E9" w14:textId="152054B7" w:rsidR="0070082A" w:rsidRPr="00AA3A0A" w:rsidRDefault="00EB2BBB" w:rsidP="00AA3A0A">
      <w:pPr>
        <w:tabs>
          <w:tab w:val="left" w:pos="1505"/>
        </w:tabs>
        <w:rPr>
          <w:rFonts w:cs="Times New Roman"/>
          <w:color w:val="auto"/>
        </w:rPr>
      </w:pPr>
      <w:r w:rsidRPr="00AA3A0A">
        <w:rPr>
          <w:rFonts w:cs="Times New Roman"/>
          <w:color w:val="auto"/>
        </w:rPr>
        <w:t>All models adjusted for age, sex, smoking status, waist circumference, and BMI (Model 5 in main manuscript). VAT volume and VAT/SAT ratio were each log-transformed and expressed as sex-specific z-scores (per 1 SD increase). Predictors were entered separately in independent models to avoid collinearity. BMI, body mass index; CI, confidence interval; C-index, Harrell's concordance statistic, a measure of model discrimination (range 0.5–1.0); HR, hazard ratio; MACE, major adverse cardiovascular events; SD, standard deviation; VAT, visceral adipose tissue; VAT/SAT ratio, visceral-to-subcutaneous adipose tissue ratio.</w:t>
      </w:r>
    </w:p>
    <w:bookmarkEnd w:id="20"/>
    <w:p w14:paraId="1437ED11" w14:textId="77777777" w:rsidR="00EB2BBB" w:rsidRPr="00AA3A0A" w:rsidRDefault="00EB2BBB" w:rsidP="00AA3A0A">
      <w:pPr>
        <w:tabs>
          <w:tab w:val="left" w:pos="1505"/>
        </w:tabs>
        <w:rPr>
          <w:rFonts w:cs="Times New Roman"/>
          <w:color w:val="auto"/>
        </w:rPr>
      </w:pPr>
    </w:p>
    <w:p w14:paraId="16A0521E" w14:textId="11FF227F" w:rsidR="002146DB" w:rsidRPr="00AA3A0A" w:rsidRDefault="0070082A" w:rsidP="00AA3A0A">
      <w:pPr>
        <w:rPr>
          <w:b/>
          <w:bCs/>
          <w:color w:val="auto"/>
        </w:rPr>
      </w:pPr>
      <w:bookmarkStart w:id="21" w:name="_Hlk231914382"/>
      <w:r w:rsidRPr="00AA3A0A">
        <w:rPr>
          <w:b/>
          <w:bCs/>
          <w:color w:val="auto"/>
        </w:rPr>
        <w:t xml:space="preserve">Supplemental Table </w:t>
      </w:r>
      <w:r w:rsidR="007C5F88" w:rsidRPr="00AA3A0A">
        <w:rPr>
          <w:b/>
          <w:bCs/>
          <w:color w:val="auto"/>
        </w:rPr>
        <w:t>7</w:t>
      </w:r>
      <w:r w:rsidRPr="00AA3A0A">
        <w:rPr>
          <w:b/>
          <w:bCs/>
          <w:color w:val="auto"/>
        </w:rPr>
        <w:t xml:space="preserve">: </w:t>
      </w:r>
      <w:r w:rsidR="003F5CF9" w:rsidRPr="00AA3A0A">
        <w:rPr>
          <w:b/>
          <w:bCs/>
          <w:color w:val="auto"/>
        </w:rPr>
        <w:t>Competing risk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A3A0A" w:rsidRPr="00AA3A0A" w14:paraId="4D8A003A" w14:textId="77777777" w:rsidTr="00C522EA">
        <w:trPr>
          <w:trHeight w:val="567"/>
        </w:trPr>
        <w:tc>
          <w:tcPr>
            <w:tcW w:w="3116" w:type="dxa"/>
            <w:tcBorders>
              <w:top w:val="single" w:sz="4" w:space="0" w:color="auto"/>
              <w:bottom w:val="single" w:sz="4" w:space="0" w:color="auto"/>
            </w:tcBorders>
            <w:vAlign w:val="center"/>
          </w:tcPr>
          <w:p w14:paraId="3DB632E6" w14:textId="1759C395" w:rsidR="002146DB" w:rsidRPr="00AA3A0A" w:rsidRDefault="002146DB" w:rsidP="00AA3A0A">
            <w:pPr>
              <w:tabs>
                <w:tab w:val="left" w:pos="1505"/>
              </w:tabs>
              <w:rPr>
                <w:rFonts w:cs="Times New Roman"/>
                <w:color w:val="auto"/>
              </w:rPr>
            </w:pPr>
            <w:r w:rsidRPr="00AA3A0A">
              <w:rPr>
                <w:rFonts w:cs="Times New Roman"/>
                <w:color w:val="auto"/>
              </w:rPr>
              <w:t>Model</w:t>
            </w:r>
          </w:p>
        </w:tc>
        <w:tc>
          <w:tcPr>
            <w:tcW w:w="3117" w:type="dxa"/>
            <w:tcBorders>
              <w:top w:val="single" w:sz="4" w:space="0" w:color="auto"/>
              <w:bottom w:val="single" w:sz="4" w:space="0" w:color="auto"/>
            </w:tcBorders>
            <w:vAlign w:val="center"/>
          </w:tcPr>
          <w:p w14:paraId="11CB6AEA" w14:textId="5A4FF2F7" w:rsidR="002146DB" w:rsidRPr="00AA3A0A" w:rsidRDefault="002146DB" w:rsidP="00AA3A0A">
            <w:pPr>
              <w:tabs>
                <w:tab w:val="left" w:pos="1505"/>
              </w:tabs>
              <w:rPr>
                <w:rFonts w:cs="Times New Roman"/>
                <w:color w:val="auto"/>
              </w:rPr>
            </w:pPr>
            <w:r w:rsidRPr="00AA3A0A">
              <w:rPr>
                <w:rFonts w:cs="Times New Roman"/>
                <w:color w:val="auto"/>
              </w:rPr>
              <w:t>Subdistribution HR (95% CI)</w:t>
            </w:r>
          </w:p>
        </w:tc>
        <w:tc>
          <w:tcPr>
            <w:tcW w:w="3117" w:type="dxa"/>
            <w:tcBorders>
              <w:top w:val="single" w:sz="4" w:space="0" w:color="auto"/>
              <w:bottom w:val="single" w:sz="4" w:space="0" w:color="auto"/>
            </w:tcBorders>
            <w:vAlign w:val="center"/>
          </w:tcPr>
          <w:p w14:paraId="43D13FD1" w14:textId="6C868AC2" w:rsidR="002146DB" w:rsidRPr="00AA3A0A" w:rsidRDefault="002146DB" w:rsidP="00AA3A0A">
            <w:pPr>
              <w:tabs>
                <w:tab w:val="left" w:pos="1505"/>
              </w:tabs>
              <w:rPr>
                <w:rFonts w:cs="Times New Roman"/>
                <w:color w:val="auto"/>
              </w:rPr>
            </w:pPr>
            <w:r w:rsidRPr="00AA3A0A">
              <w:rPr>
                <w:rFonts w:cs="Times New Roman"/>
                <w:color w:val="auto"/>
              </w:rPr>
              <w:t>p-value</w:t>
            </w:r>
          </w:p>
        </w:tc>
      </w:tr>
      <w:tr w:rsidR="00AA3A0A" w:rsidRPr="00AA3A0A" w14:paraId="0E980348" w14:textId="77777777" w:rsidTr="00C522EA">
        <w:trPr>
          <w:trHeight w:val="567"/>
        </w:trPr>
        <w:tc>
          <w:tcPr>
            <w:tcW w:w="3116" w:type="dxa"/>
            <w:tcBorders>
              <w:top w:val="single" w:sz="4" w:space="0" w:color="auto"/>
              <w:bottom w:val="single" w:sz="4" w:space="0" w:color="auto"/>
            </w:tcBorders>
            <w:vAlign w:val="center"/>
          </w:tcPr>
          <w:p w14:paraId="42379FF7" w14:textId="69210407" w:rsidR="002146DB" w:rsidRPr="00AA3A0A" w:rsidRDefault="0070082A" w:rsidP="00AA3A0A">
            <w:pPr>
              <w:tabs>
                <w:tab w:val="left" w:pos="1505"/>
              </w:tabs>
              <w:rPr>
                <w:rFonts w:cs="Times New Roman"/>
                <w:color w:val="auto"/>
              </w:rPr>
            </w:pPr>
            <w:r w:rsidRPr="00AA3A0A">
              <w:rPr>
                <w:rFonts w:cs="Times New Roman"/>
                <w:color w:val="auto"/>
              </w:rPr>
              <w:t>MACE (competing event: Diabetes)</w:t>
            </w:r>
          </w:p>
        </w:tc>
        <w:tc>
          <w:tcPr>
            <w:tcW w:w="3117" w:type="dxa"/>
            <w:tcBorders>
              <w:top w:val="single" w:sz="4" w:space="0" w:color="auto"/>
              <w:bottom w:val="single" w:sz="4" w:space="0" w:color="auto"/>
            </w:tcBorders>
            <w:vAlign w:val="center"/>
          </w:tcPr>
          <w:p w14:paraId="6B0099F9" w14:textId="77777777" w:rsidR="002146DB" w:rsidRPr="00AA3A0A" w:rsidRDefault="002146DB" w:rsidP="00AA3A0A">
            <w:pPr>
              <w:tabs>
                <w:tab w:val="left" w:pos="1505"/>
              </w:tabs>
              <w:rPr>
                <w:rFonts w:cs="Times New Roman"/>
                <w:color w:val="auto"/>
              </w:rPr>
            </w:pPr>
          </w:p>
        </w:tc>
        <w:tc>
          <w:tcPr>
            <w:tcW w:w="3117" w:type="dxa"/>
            <w:tcBorders>
              <w:top w:val="single" w:sz="4" w:space="0" w:color="auto"/>
              <w:bottom w:val="single" w:sz="4" w:space="0" w:color="auto"/>
            </w:tcBorders>
            <w:vAlign w:val="center"/>
          </w:tcPr>
          <w:p w14:paraId="111FDE18" w14:textId="77777777" w:rsidR="002146DB" w:rsidRPr="00AA3A0A" w:rsidRDefault="002146DB" w:rsidP="00AA3A0A">
            <w:pPr>
              <w:tabs>
                <w:tab w:val="left" w:pos="1505"/>
              </w:tabs>
              <w:rPr>
                <w:rFonts w:cs="Times New Roman"/>
                <w:color w:val="auto"/>
              </w:rPr>
            </w:pPr>
          </w:p>
        </w:tc>
      </w:tr>
      <w:tr w:rsidR="00AA3A0A" w:rsidRPr="00AA3A0A" w14:paraId="20FD78EC" w14:textId="77777777" w:rsidTr="00C522EA">
        <w:trPr>
          <w:trHeight w:val="567"/>
        </w:trPr>
        <w:tc>
          <w:tcPr>
            <w:tcW w:w="3116" w:type="dxa"/>
            <w:tcBorders>
              <w:bottom w:val="single" w:sz="4" w:space="0" w:color="auto"/>
            </w:tcBorders>
            <w:vAlign w:val="center"/>
          </w:tcPr>
          <w:p w14:paraId="209A23A4" w14:textId="0A317087" w:rsidR="002146DB" w:rsidRPr="00AA3A0A" w:rsidRDefault="00B87FFE" w:rsidP="00AA3A0A">
            <w:pPr>
              <w:tabs>
                <w:tab w:val="left" w:pos="1505"/>
              </w:tabs>
              <w:rPr>
                <w:rFonts w:cs="Times New Roman"/>
                <w:color w:val="auto"/>
              </w:rPr>
            </w:pPr>
            <w:r w:rsidRPr="00AA3A0A">
              <w:rPr>
                <w:rFonts w:cs="Times New Roman"/>
                <w:color w:val="auto"/>
              </w:rPr>
              <w:t xml:space="preserve">Full adjustment </w:t>
            </w:r>
          </w:p>
        </w:tc>
        <w:tc>
          <w:tcPr>
            <w:tcW w:w="3117" w:type="dxa"/>
            <w:tcBorders>
              <w:bottom w:val="single" w:sz="4" w:space="0" w:color="auto"/>
            </w:tcBorders>
            <w:vAlign w:val="center"/>
          </w:tcPr>
          <w:p w14:paraId="545609AB" w14:textId="6298178D" w:rsidR="002146DB" w:rsidRPr="00AA3A0A" w:rsidRDefault="0070082A" w:rsidP="00AA3A0A">
            <w:pPr>
              <w:tabs>
                <w:tab w:val="left" w:pos="1505"/>
              </w:tabs>
              <w:rPr>
                <w:rFonts w:cs="Times New Roman"/>
                <w:color w:val="auto"/>
              </w:rPr>
            </w:pPr>
            <w:r w:rsidRPr="00AA3A0A">
              <w:rPr>
                <w:rFonts w:cs="Times New Roman"/>
                <w:color w:val="auto"/>
              </w:rPr>
              <w:t>1.30 (1.01–1.66)</w:t>
            </w:r>
          </w:p>
        </w:tc>
        <w:tc>
          <w:tcPr>
            <w:tcW w:w="3117" w:type="dxa"/>
            <w:tcBorders>
              <w:bottom w:val="single" w:sz="4" w:space="0" w:color="auto"/>
            </w:tcBorders>
            <w:vAlign w:val="center"/>
          </w:tcPr>
          <w:p w14:paraId="03BDBCB7" w14:textId="128D6F80" w:rsidR="002146DB" w:rsidRPr="00AA3A0A" w:rsidRDefault="0070082A" w:rsidP="00AA3A0A">
            <w:pPr>
              <w:tabs>
                <w:tab w:val="left" w:pos="1505"/>
              </w:tabs>
              <w:rPr>
                <w:rFonts w:cs="Times New Roman"/>
                <w:color w:val="auto"/>
              </w:rPr>
            </w:pPr>
            <w:r w:rsidRPr="00AA3A0A">
              <w:rPr>
                <w:rFonts w:cs="Times New Roman"/>
                <w:color w:val="auto"/>
              </w:rPr>
              <w:t>0.038</w:t>
            </w:r>
          </w:p>
        </w:tc>
      </w:tr>
      <w:tr w:rsidR="00AA3A0A" w:rsidRPr="00AA3A0A" w14:paraId="717A8F8D" w14:textId="77777777" w:rsidTr="00C522EA">
        <w:trPr>
          <w:trHeight w:val="567"/>
        </w:trPr>
        <w:tc>
          <w:tcPr>
            <w:tcW w:w="3116" w:type="dxa"/>
            <w:tcBorders>
              <w:top w:val="single" w:sz="4" w:space="0" w:color="auto"/>
              <w:bottom w:val="single" w:sz="4" w:space="0" w:color="auto"/>
            </w:tcBorders>
            <w:vAlign w:val="center"/>
          </w:tcPr>
          <w:p w14:paraId="3714B14E" w14:textId="447A1FBE" w:rsidR="002146DB" w:rsidRPr="00AA3A0A" w:rsidRDefault="0070082A" w:rsidP="00AA3A0A">
            <w:pPr>
              <w:tabs>
                <w:tab w:val="left" w:pos="1505"/>
              </w:tabs>
              <w:rPr>
                <w:rFonts w:cs="Times New Roman"/>
                <w:color w:val="auto"/>
              </w:rPr>
            </w:pPr>
            <w:r w:rsidRPr="00AA3A0A">
              <w:rPr>
                <w:rFonts w:cs="Times New Roman"/>
                <w:color w:val="auto"/>
              </w:rPr>
              <w:lastRenderedPageBreak/>
              <w:t>Diabetes (competing event: MACE)</w:t>
            </w:r>
          </w:p>
        </w:tc>
        <w:tc>
          <w:tcPr>
            <w:tcW w:w="3117" w:type="dxa"/>
            <w:tcBorders>
              <w:top w:val="single" w:sz="4" w:space="0" w:color="auto"/>
              <w:bottom w:val="single" w:sz="4" w:space="0" w:color="auto"/>
            </w:tcBorders>
            <w:vAlign w:val="center"/>
          </w:tcPr>
          <w:p w14:paraId="2FE2C053" w14:textId="77777777" w:rsidR="002146DB" w:rsidRPr="00AA3A0A" w:rsidRDefault="002146DB" w:rsidP="00AA3A0A">
            <w:pPr>
              <w:tabs>
                <w:tab w:val="left" w:pos="1505"/>
              </w:tabs>
              <w:rPr>
                <w:rFonts w:cs="Times New Roman"/>
                <w:color w:val="auto"/>
              </w:rPr>
            </w:pPr>
          </w:p>
        </w:tc>
        <w:tc>
          <w:tcPr>
            <w:tcW w:w="3117" w:type="dxa"/>
            <w:tcBorders>
              <w:top w:val="single" w:sz="4" w:space="0" w:color="auto"/>
              <w:bottom w:val="single" w:sz="4" w:space="0" w:color="auto"/>
            </w:tcBorders>
            <w:vAlign w:val="center"/>
          </w:tcPr>
          <w:p w14:paraId="28F8F277" w14:textId="77777777" w:rsidR="002146DB" w:rsidRPr="00AA3A0A" w:rsidRDefault="002146DB" w:rsidP="00AA3A0A">
            <w:pPr>
              <w:tabs>
                <w:tab w:val="left" w:pos="1505"/>
              </w:tabs>
              <w:rPr>
                <w:rFonts w:cs="Times New Roman"/>
                <w:color w:val="auto"/>
              </w:rPr>
            </w:pPr>
          </w:p>
        </w:tc>
      </w:tr>
      <w:tr w:rsidR="00AA3A0A" w:rsidRPr="00AA3A0A" w14:paraId="5DC10789" w14:textId="77777777" w:rsidTr="00C522EA">
        <w:trPr>
          <w:trHeight w:val="567"/>
        </w:trPr>
        <w:tc>
          <w:tcPr>
            <w:tcW w:w="3116" w:type="dxa"/>
            <w:tcBorders>
              <w:bottom w:val="single" w:sz="4" w:space="0" w:color="auto"/>
            </w:tcBorders>
            <w:vAlign w:val="center"/>
          </w:tcPr>
          <w:p w14:paraId="58F9968D" w14:textId="6B378F64" w:rsidR="002146DB" w:rsidRPr="00AA3A0A" w:rsidRDefault="00B87FFE" w:rsidP="00AA3A0A">
            <w:pPr>
              <w:tabs>
                <w:tab w:val="left" w:pos="1505"/>
              </w:tabs>
              <w:rPr>
                <w:rFonts w:cs="Times New Roman"/>
                <w:color w:val="auto"/>
              </w:rPr>
            </w:pPr>
            <w:r w:rsidRPr="00AA3A0A">
              <w:rPr>
                <w:rFonts w:cs="Times New Roman"/>
                <w:color w:val="auto"/>
              </w:rPr>
              <w:t>Full adjustment</w:t>
            </w:r>
          </w:p>
        </w:tc>
        <w:tc>
          <w:tcPr>
            <w:tcW w:w="3117" w:type="dxa"/>
            <w:tcBorders>
              <w:bottom w:val="single" w:sz="4" w:space="0" w:color="auto"/>
            </w:tcBorders>
            <w:vAlign w:val="center"/>
          </w:tcPr>
          <w:p w14:paraId="7A118CEA" w14:textId="40E66CA8" w:rsidR="002146DB" w:rsidRPr="00AA3A0A" w:rsidRDefault="0070082A" w:rsidP="00AA3A0A">
            <w:pPr>
              <w:tabs>
                <w:tab w:val="left" w:pos="1505"/>
              </w:tabs>
              <w:rPr>
                <w:rFonts w:cs="Times New Roman"/>
                <w:color w:val="auto"/>
              </w:rPr>
            </w:pPr>
            <w:r w:rsidRPr="00AA3A0A">
              <w:rPr>
                <w:rFonts w:cs="Times New Roman"/>
                <w:color w:val="auto"/>
              </w:rPr>
              <w:t>1.77 (1.35–2.33)</w:t>
            </w:r>
          </w:p>
        </w:tc>
        <w:tc>
          <w:tcPr>
            <w:tcW w:w="3117" w:type="dxa"/>
            <w:tcBorders>
              <w:bottom w:val="single" w:sz="4" w:space="0" w:color="auto"/>
            </w:tcBorders>
            <w:vAlign w:val="center"/>
          </w:tcPr>
          <w:p w14:paraId="0E57EA37" w14:textId="2489534D" w:rsidR="002146DB" w:rsidRPr="00AA3A0A" w:rsidRDefault="0070082A" w:rsidP="00AA3A0A">
            <w:pPr>
              <w:tabs>
                <w:tab w:val="left" w:pos="1505"/>
              </w:tabs>
              <w:rPr>
                <w:rFonts w:cs="Times New Roman"/>
                <w:color w:val="auto"/>
              </w:rPr>
            </w:pPr>
            <w:r w:rsidRPr="00AA3A0A">
              <w:rPr>
                <w:rFonts w:cs="Times New Roman"/>
                <w:color w:val="auto"/>
              </w:rPr>
              <w:t>&lt;0.001</w:t>
            </w:r>
          </w:p>
        </w:tc>
      </w:tr>
    </w:tbl>
    <w:p w14:paraId="35D47B60" w14:textId="4CB61855" w:rsidR="0070082A" w:rsidRPr="00AA3A0A" w:rsidRDefault="00EB2BBB" w:rsidP="00AA3A0A">
      <w:pPr>
        <w:rPr>
          <w:bCs/>
          <w:color w:val="auto"/>
          <w:szCs w:val="20"/>
        </w:rPr>
      </w:pPr>
      <w:r w:rsidRPr="00AA3A0A">
        <w:rPr>
          <w:color w:val="auto"/>
        </w:rPr>
        <w:t>All models adjusted for age, sex, smoking status, waist circumference, and BMI (Model 5 in main manuscript). Incident diabetes was treated as the competing event for MACE analyses, and incident MACE as the competing event for diabetes analyses. BMI, body mass index; CI, confidence interval; HR, subdistribution hazard ratio; MACE, major adverse cardiovascular events; VAT/SAT ratio, visceral-to-subcutaneous adipose tissue ratio.</w:t>
      </w:r>
      <w:bookmarkEnd w:id="21"/>
      <w:r w:rsidR="0070082A" w:rsidRPr="00AA3A0A">
        <w:rPr>
          <w:bCs/>
          <w:color w:val="auto"/>
          <w:szCs w:val="20"/>
        </w:rPr>
        <w:br/>
      </w:r>
    </w:p>
    <w:p w14:paraId="0609016D" w14:textId="2AF0595F" w:rsidR="0070082A" w:rsidRPr="00AA3A0A" w:rsidRDefault="0070082A" w:rsidP="00AA3A0A">
      <w:pPr>
        <w:rPr>
          <w:bCs/>
          <w:color w:val="auto"/>
        </w:rPr>
      </w:pPr>
      <w:bookmarkStart w:id="22" w:name="_Hlk231911606"/>
      <w:r w:rsidRPr="00AA3A0A">
        <w:rPr>
          <w:b/>
          <w:bCs/>
          <w:color w:val="auto"/>
        </w:rPr>
        <w:t xml:space="preserve">Supplemental Table </w:t>
      </w:r>
      <w:r w:rsidR="00E74D14" w:rsidRPr="00AA3A0A">
        <w:rPr>
          <w:b/>
          <w:bCs/>
          <w:color w:val="auto"/>
        </w:rPr>
        <w:t>8</w:t>
      </w:r>
      <w:r w:rsidRPr="00AA3A0A">
        <w:rPr>
          <w:b/>
          <w:bCs/>
          <w:color w:val="auto"/>
        </w:rPr>
        <w:t xml:space="preserve">: </w:t>
      </w:r>
      <w:r w:rsidR="00C93D79" w:rsidRPr="00AA3A0A">
        <w:rPr>
          <w:b/>
          <w:bCs/>
          <w:color w:val="auto"/>
        </w:rPr>
        <w:t xml:space="preserve">Lag-time </w:t>
      </w:r>
      <w:r w:rsidR="003F5CF9" w:rsidRPr="00AA3A0A">
        <w:rPr>
          <w:b/>
          <w:bCs/>
          <w:color w:val="auto"/>
        </w:rPr>
        <w:t xml:space="preserve">and </w:t>
      </w:r>
      <w:r w:rsidR="00C93D79" w:rsidRPr="00AA3A0A">
        <w:rPr>
          <w:b/>
          <w:bCs/>
          <w:color w:val="auto"/>
        </w:rPr>
        <w:t>minimum follow-up analyses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A3A0A" w:rsidRPr="00AA3A0A" w14:paraId="5E23C5D5" w14:textId="77777777" w:rsidTr="00C522EA">
        <w:trPr>
          <w:trHeight w:val="567"/>
        </w:trPr>
        <w:tc>
          <w:tcPr>
            <w:tcW w:w="1870" w:type="dxa"/>
            <w:tcBorders>
              <w:bottom w:val="single" w:sz="4" w:space="0" w:color="auto"/>
            </w:tcBorders>
            <w:vAlign w:val="center"/>
          </w:tcPr>
          <w:p w14:paraId="228861E1" w14:textId="77777777" w:rsidR="0070082A" w:rsidRPr="00AA3A0A" w:rsidRDefault="0070082A" w:rsidP="00AA3A0A">
            <w:pPr>
              <w:tabs>
                <w:tab w:val="left" w:pos="1505"/>
              </w:tabs>
              <w:rPr>
                <w:rFonts w:cs="Times New Roman"/>
                <w:color w:val="auto"/>
              </w:rPr>
            </w:pPr>
            <w:r w:rsidRPr="00AA3A0A">
              <w:rPr>
                <w:rFonts w:cs="Times New Roman"/>
                <w:color w:val="auto"/>
              </w:rPr>
              <w:t>Analysis</w:t>
            </w:r>
          </w:p>
        </w:tc>
        <w:tc>
          <w:tcPr>
            <w:tcW w:w="1870" w:type="dxa"/>
            <w:tcBorders>
              <w:bottom w:val="single" w:sz="4" w:space="0" w:color="auto"/>
            </w:tcBorders>
            <w:vAlign w:val="center"/>
          </w:tcPr>
          <w:p w14:paraId="651FBFD1" w14:textId="77777777" w:rsidR="0070082A" w:rsidRPr="00AA3A0A" w:rsidRDefault="0070082A" w:rsidP="00AA3A0A">
            <w:pPr>
              <w:tabs>
                <w:tab w:val="left" w:pos="1505"/>
              </w:tabs>
              <w:rPr>
                <w:rFonts w:cs="Times New Roman"/>
                <w:color w:val="auto"/>
              </w:rPr>
            </w:pPr>
            <w:r w:rsidRPr="00AA3A0A">
              <w:rPr>
                <w:rFonts w:cs="Times New Roman"/>
                <w:color w:val="auto"/>
              </w:rPr>
              <w:t>Events</w:t>
            </w:r>
          </w:p>
        </w:tc>
        <w:tc>
          <w:tcPr>
            <w:tcW w:w="1870" w:type="dxa"/>
            <w:tcBorders>
              <w:bottom w:val="single" w:sz="4" w:space="0" w:color="auto"/>
            </w:tcBorders>
            <w:vAlign w:val="center"/>
          </w:tcPr>
          <w:p w14:paraId="0E0E8EEB" w14:textId="77777777" w:rsidR="0070082A" w:rsidRPr="00AA3A0A" w:rsidRDefault="0070082A" w:rsidP="00AA3A0A">
            <w:pPr>
              <w:tabs>
                <w:tab w:val="left" w:pos="1505"/>
              </w:tabs>
              <w:rPr>
                <w:rFonts w:cs="Times New Roman"/>
                <w:color w:val="auto"/>
              </w:rPr>
            </w:pPr>
            <w:r w:rsidRPr="00AA3A0A">
              <w:rPr>
                <w:rFonts w:cs="Times New Roman"/>
                <w:color w:val="auto"/>
              </w:rPr>
              <w:t>HR (95% CI)</w:t>
            </w:r>
          </w:p>
        </w:tc>
        <w:tc>
          <w:tcPr>
            <w:tcW w:w="1870" w:type="dxa"/>
            <w:tcBorders>
              <w:bottom w:val="single" w:sz="4" w:space="0" w:color="auto"/>
            </w:tcBorders>
            <w:vAlign w:val="center"/>
          </w:tcPr>
          <w:p w14:paraId="5F8D869D" w14:textId="77777777" w:rsidR="0070082A" w:rsidRPr="00AA3A0A" w:rsidRDefault="0070082A" w:rsidP="00AA3A0A">
            <w:pPr>
              <w:tabs>
                <w:tab w:val="left" w:pos="1505"/>
              </w:tabs>
              <w:rPr>
                <w:rFonts w:cs="Times New Roman"/>
                <w:color w:val="auto"/>
              </w:rPr>
            </w:pPr>
            <w:r w:rsidRPr="00AA3A0A">
              <w:rPr>
                <w:rFonts w:cs="Times New Roman"/>
                <w:color w:val="auto"/>
              </w:rPr>
              <w:t>p-value</w:t>
            </w:r>
          </w:p>
        </w:tc>
        <w:tc>
          <w:tcPr>
            <w:tcW w:w="1870" w:type="dxa"/>
            <w:tcBorders>
              <w:bottom w:val="single" w:sz="4" w:space="0" w:color="auto"/>
            </w:tcBorders>
            <w:vAlign w:val="center"/>
          </w:tcPr>
          <w:p w14:paraId="53722C8B" w14:textId="77777777" w:rsidR="0070082A" w:rsidRPr="00AA3A0A" w:rsidRDefault="0070082A" w:rsidP="00AA3A0A">
            <w:pPr>
              <w:tabs>
                <w:tab w:val="left" w:pos="1505"/>
              </w:tabs>
              <w:rPr>
                <w:rFonts w:cs="Times New Roman"/>
                <w:color w:val="auto"/>
              </w:rPr>
            </w:pPr>
            <w:r w:rsidRPr="00AA3A0A">
              <w:rPr>
                <w:rFonts w:cs="Times New Roman"/>
                <w:color w:val="auto"/>
              </w:rPr>
              <w:t>C-index</w:t>
            </w:r>
          </w:p>
        </w:tc>
      </w:tr>
      <w:tr w:rsidR="00AA3A0A" w:rsidRPr="00AA3A0A" w14:paraId="3F686D39" w14:textId="77777777" w:rsidTr="00C522EA">
        <w:trPr>
          <w:trHeight w:val="567"/>
        </w:trPr>
        <w:tc>
          <w:tcPr>
            <w:tcW w:w="1870" w:type="dxa"/>
            <w:tcBorders>
              <w:top w:val="single" w:sz="4" w:space="0" w:color="auto"/>
              <w:bottom w:val="single" w:sz="4" w:space="0" w:color="auto"/>
            </w:tcBorders>
            <w:vAlign w:val="center"/>
          </w:tcPr>
          <w:p w14:paraId="1D696774" w14:textId="77777777" w:rsidR="0070082A" w:rsidRPr="00AA3A0A" w:rsidRDefault="0070082A" w:rsidP="00AA3A0A">
            <w:pPr>
              <w:tabs>
                <w:tab w:val="left" w:pos="1505"/>
              </w:tabs>
              <w:rPr>
                <w:rFonts w:cs="Times New Roman"/>
                <w:color w:val="auto"/>
              </w:rPr>
            </w:pPr>
            <w:r w:rsidRPr="00AA3A0A">
              <w:rPr>
                <w:rFonts w:cs="Times New Roman"/>
                <w:color w:val="auto"/>
              </w:rPr>
              <w:t>MACE</w:t>
            </w:r>
          </w:p>
        </w:tc>
        <w:tc>
          <w:tcPr>
            <w:tcW w:w="1870" w:type="dxa"/>
            <w:tcBorders>
              <w:top w:val="single" w:sz="4" w:space="0" w:color="auto"/>
              <w:bottom w:val="single" w:sz="4" w:space="0" w:color="auto"/>
            </w:tcBorders>
            <w:vAlign w:val="center"/>
          </w:tcPr>
          <w:p w14:paraId="6FB29645" w14:textId="77777777" w:rsidR="0070082A" w:rsidRPr="00AA3A0A" w:rsidRDefault="0070082A"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313BB9B2" w14:textId="77777777" w:rsidR="0070082A" w:rsidRPr="00AA3A0A" w:rsidRDefault="0070082A"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5B4FB967" w14:textId="77777777" w:rsidR="0070082A" w:rsidRPr="00AA3A0A" w:rsidRDefault="0070082A"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1C889929" w14:textId="77777777" w:rsidR="0070082A" w:rsidRPr="00AA3A0A" w:rsidRDefault="0070082A" w:rsidP="00AA3A0A">
            <w:pPr>
              <w:tabs>
                <w:tab w:val="left" w:pos="1505"/>
              </w:tabs>
              <w:rPr>
                <w:rFonts w:cs="Times New Roman"/>
                <w:color w:val="auto"/>
              </w:rPr>
            </w:pPr>
          </w:p>
        </w:tc>
      </w:tr>
      <w:tr w:rsidR="00AA3A0A" w:rsidRPr="00AA3A0A" w14:paraId="46146637" w14:textId="77777777" w:rsidTr="00C522EA">
        <w:trPr>
          <w:trHeight w:val="567"/>
        </w:trPr>
        <w:tc>
          <w:tcPr>
            <w:tcW w:w="1870" w:type="dxa"/>
            <w:tcBorders>
              <w:top w:val="single" w:sz="4" w:space="0" w:color="auto"/>
            </w:tcBorders>
            <w:vAlign w:val="center"/>
          </w:tcPr>
          <w:p w14:paraId="2432E772" w14:textId="45C647C9" w:rsidR="0070082A" w:rsidRPr="00AA3A0A" w:rsidRDefault="0070082A" w:rsidP="00AA3A0A">
            <w:pPr>
              <w:tabs>
                <w:tab w:val="left" w:pos="1505"/>
              </w:tabs>
              <w:rPr>
                <w:rFonts w:cs="Times New Roman"/>
                <w:color w:val="auto"/>
              </w:rPr>
            </w:pPr>
            <w:r w:rsidRPr="00AA3A0A">
              <w:rPr>
                <w:rFonts w:cs="Times New Roman"/>
                <w:color w:val="auto"/>
              </w:rPr>
              <w:t>Primary analysis</w:t>
            </w:r>
          </w:p>
        </w:tc>
        <w:tc>
          <w:tcPr>
            <w:tcW w:w="1870" w:type="dxa"/>
            <w:tcBorders>
              <w:top w:val="single" w:sz="4" w:space="0" w:color="auto"/>
            </w:tcBorders>
            <w:vAlign w:val="center"/>
          </w:tcPr>
          <w:p w14:paraId="4FE5BBAF" w14:textId="77777777" w:rsidR="0070082A" w:rsidRPr="00AA3A0A" w:rsidRDefault="0070082A" w:rsidP="00AA3A0A">
            <w:pPr>
              <w:tabs>
                <w:tab w:val="left" w:pos="1505"/>
              </w:tabs>
              <w:rPr>
                <w:rFonts w:cs="Times New Roman"/>
                <w:color w:val="auto"/>
              </w:rPr>
            </w:pPr>
            <w:r w:rsidRPr="00AA3A0A">
              <w:rPr>
                <w:rFonts w:cs="Times New Roman"/>
                <w:color w:val="auto"/>
              </w:rPr>
              <w:t>297/22040 (1.35%)</w:t>
            </w:r>
          </w:p>
        </w:tc>
        <w:tc>
          <w:tcPr>
            <w:tcW w:w="1870" w:type="dxa"/>
            <w:tcBorders>
              <w:top w:val="single" w:sz="4" w:space="0" w:color="auto"/>
            </w:tcBorders>
            <w:vAlign w:val="center"/>
          </w:tcPr>
          <w:p w14:paraId="3B5DF60D" w14:textId="77777777" w:rsidR="0070082A" w:rsidRPr="00AA3A0A" w:rsidRDefault="0070082A" w:rsidP="00AA3A0A">
            <w:pPr>
              <w:tabs>
                <w:tab w:val="left" w:pos="1505"/>
              </w:tabs>
              <w:rPr>
                <w:rFonts w:cs="Times New Roman"/>
                <w:color w:val="auto"/>
              </w:rPr>
            </w:pPr>
            <w:r w:rsidRPr="00AA3A0A">
              <w:rPr>
                <w:rFonts w:cs="Times New Roman"/>
                <w:color w:val="auto"/>
              </w:rPr>
              <w:t>1.30 (1.02-1.66)</w:t>
            </w:r>
          </w:p>
        </w:tc>
        <w:tc>
          <w:tcPr>
            <w:tcW w:w="1870" w:type="dxa"/>
            <w:tcBorders>
              <w:top w:val="single" w:sz="4" w:space="0" w:color="auto"/>
            </w:tcBorders>
            <w:vAlign w:val="center"/>
          </w:tcPr>
          <w:p w14:paraId="1EB52385" w14:textId="77777777" w:rsidR="0070082A" w:rsidRPr="00AA3A0A" w:rsidRDefault="0070082A" w:rsidP="00AA3A0A">
            <w:pPr>
              <w:tabs>
                <w:tab w:val="left" w:pos="1505"/>
              </w:tabs>
              <w:rPr>
                <w:rFonts w:cs="Times New Roman"/>
                <w:color w:val="auto"/>
              </w:rPr>
            </w:pPr>
            <w:r w:rsidRPr="00AA3A0A">
              <w:rPr>
                <w:rFonts w:cs="Times New Roman"/>
                <w:color w:val="auto"/>
              </w:rPr>
              <w:t>0.037</w:t>
            </w:r>
          </w:p>
        </w:tc>
        <w:tc>
          <w:tcPr>
            <w:tcW w:w="1870" w:type="dxa"/>
            <w:tcBorders>
              <w:top w:val="single" w:sz="4" w:space="0" w:color="auto"/>
            </w:tcBorders>
            <w:vAlign w:val="center"/>
          </w:tcPr>
          <w:p w14:paraId="26207425" w14:textId="77777777" w:rsidR="0070082A" w:rsidRPr="00AA3A0A" w:rsidRDefault="0070082A" w:rsidP="00AA3A0A">
            <w:pPr>
              <w:tabs>
                <w:tab w:val="left" w:pos="1505"/>
              </w:tabs>
              <w:rPr>
                <w:rFonts w:cs="Times New Roman"/>
                <w:color w:val="auto"/>
              </w:rPr>
            </w:pPr>
            <w:r w:rsidRPr="00AA3A0A">
              <w:rPr>
                <w:rFonts w:cs="Times New Roman"/>
                <w:color w:val="auto"/>
              </w:rPr>
              <w:t>0.694</w:t>
            </w:r>
          </w:p>
        </w:tc>
      </w:tr>
      <w:tr w:rsidR="00AA3A0A" w:rsidRPr="00AA3A0A" w14:paraId="63D7A7FD" w14:textId="77777777" w:rsidTr="00C522EA">
        <w:trPr>
          <w:trHeight w:val="567"/>
        </w:trPr>
        <w:tc>
          <w:tcPr>
            <w:tcW w:w="1870" w:type="dxa"/>
            <w:vAlign w:val="center"/>
          </w:tcPr>
          <w:p w14:paraId="17A21D5B" w14:textId="77777777" w:rsidR="0070082A" w:rsidRPr="00AA3A0A" w:rsidRDefault="0070082A" w:rsidP="00AA3A0A">
            <w:pPr>
              <w:tabs>
                <w:tab w:val="left" w:pos="1505"/>
              </w:tabs>
              <w:rPr>
                <w:rFonts w:cs="Times New Roman"/>
                <w:color w:val="auto"/>
              </w:rPr>
            </w:pPr>
            <w:r w:rsidRPr="00AA3A0A">
              <w:rPr>
                <w:rFonts w:cs="Times New Roman"/>
                <w:color w:val="auto"/>
              </w:rPr>
              <w:t>Lag 1 year</w:t>
            </w:r>
          </w:p>
        </w:tc>
        <w:tc>
          <w:tcPr>
            <w:tcW w:w="1870" w:type="dxa"/>
            <w:vAlign w:val="center"/>
          </w:tcPr>
          <w:p w14:paraId="414CE993" w14:textId="62BCA9BF" w:rsidR="0070082A" w:rsidRPr="00AA3A0A" w:rsidRDefault="0070082A" w:rsidP="00AA3A0A">
            <w:pPr>
              <w:tabs>
                <w:tab w:val="left" w:pos="1505"/>
              </w:tabs>
              <w:rPr>
                <w:rFonts w:cs="Times New Roman"/>
                <w:color w:val="auto"/>
              </w:rPr>
            </w:pPr>
            <w:r w:rsidRPr="00AA3A0A">
              <w:rPr>
                <w:rFonts w:cs="Times New Roman"/>
                <w:color w:val="auto"/>
              </w:rPr>
              <w:t>253/21996 (</w:t>
            </w:r>
            <w:r w:rsidR="00EB0F7C" w:rsidRPr="00AA3A0A">
              <w:rPr>
                <w:rFonts w:cs="Times New Roman"/>
                <w:color w:val="auto"/>
              </w:rPr>
              <w:t>1.15</w:t>
            </w:r>
            <w:r w:rsidRPr="00AA3A0A">
              <w:rPr>
                <w:rFonts w:cs="Times New Roman"/>
                <w:color w:val="auto"/>
              </w:rPr>
              <w:t>%)</w:t>
            </w:r>
          </w:p>
        </w:tc>
        <w:tc>
          <w:tcPr>
            <w:tcW w:w="1870" w:type="dxa"/>
            <w:vAlign w:val="center"/>
          </w:tcPr>
          <w:p w14:paraId="3EA98B1D" w14:textId="77777777" w:rsidR="0070082A" w:rsidRPr="00AA3A0A" w:rsidRDefault="0070082A" w:rsidP="00AA3A0A">
            <w:pPr>
              <w:tabs>
                <w:tab w:val="left" w:pos="1505"/>
              </w:tabs>
              <w:rPr>
                <w:rFonts w:cs="Times New Roman"/>
                <w:color w:val="auto"/>
              </w:rPr>
            </w:pPr>
            <w:r w:rsidRPr="00AA3A0A">
              <w:rPr>
                <w:rFonts w:cs="Times New Roman"/>
                <w:color w:val="auto"/>
              </w:rPr>
              <w:t>1.28 (0.99-1.68)</w:t>
            </w:r>
          </w:p>
        </w:tc>
        <w:tc>
          <w:tcPr>
            <w:tcW w:w="1870" w:type="dxa"/>
            <w:vAlign w:val="center"/>
          </w:tcPr>
          <w:p w14:paraId="094AA1CB" w14:textId="77777777" w:rsidR="0070082A" w:rsidRPr="00AA3A0A" w:rsidRDefault="0070082A" w:rsidP="00AA3A0A">
            <w:pPr>
              <w:tabs>
                <w:tab w:val="left" w:pos="1505"/>
              </w:tabs>
              <w:rPr>
                <w:rFonts w:cs="Times New Roman"/>
                <w:color w:val="auto"/>
              </w:rPr>
            </w:pPr>
            <w:r w:rsidRPr="00AA3A0A">
              <w:rPr>
                <w:rFonts w:cs="Times New Roman"/>
                <w:color w:val="auto"/>
              </w:rPr>
              <w:t>0.064</w:t>
            </w:r>
          </w:p>
        </w:tc>
        <w:tc>
          <w:tcPr>
            <w:tcW w:w="1870" w:type="dxa"/>
            <w:vAlign w:val="center"/>
          </w:tcPr>
          <w:p w14:paraId="0F2D9C73" w14:textId="77777777" w:rsidR="0070082A" w:rsidRPr="00AA3A0A" w:rsidRDefault="0070082A" w:rsidP="00AA3A0A">
            <w:pPr>
              <w:tabs>
                <w:tab w:val="left" w:pos="1505"/>
              </w:tabs>
              <w:rPr>
                <w:rFonts w:cs="Times New Roman"/>
                <w:color w:val="auto"/>
              </w:rPr>
            </w:pPr>
            <w:r w:rsidRPr="00AA3A0A">
              <w:rPr>
                <w:rFonts w:cs="Times New Roman"/>
                <w:color w:val="auto"/>
              </w:rPr>
              <w:t>0.698</w:t>
            </w:r>
          </w:p>
        </w:tc>
      </w:tr>
      <w:tr w:rsidR="00AA3A0A" w:rsidRPr="00AA3A0A" w14:paraId="4A957BB9" w14:textId="77777777" w:rsidTr="00C522EA">
        <w:trPr>
          <w:trHeight w:val="567"/>
        </w:trPr>
        <w:tc>
          <w:tcPr>
            <w:tcW w:w="1870" w:type="dxa"/>
            <w:vAlign w:val="center"/>
          </w:tcPr>
          <w:p w14:paraId="6354884C" w14:textId="77777777" w:rsidR="0070082A" w:rsidRPr="00AA3A0A" w:rsidRDefault="0070082A" w:rsidP="00AA3A0A">
            <w:pPr>
              <w:tabs>
                <w:tab w:val="left" w:pos="1505"/>
              </w:tabs>
              <w:rPr>
                <w:rFonts w:cs="Times New Roman"/>
                <w:color w:val="auto"/>
              </w:rPr>
            </w:pPr>
            <w:r w:rsidRPr="00AA3A0A">
              <w:rPr>
                <w:rFonts w:cs="Times New Roman"/>
                <w:color w:val="auto"/>
              </w:rPr>
              <w:t>Lag 2 years</w:t>
            </w:r>
          </w:p>
        </w:tc>
        <w:tc>
          <w:tcPr>
            <w:tcW w:w="1870" w:type="dxa"/>
            <w:vAlign w:val="center"/>
          </w:tcPr>
          <w:p w14:paraId="3CFDC152" w14:textId="335E4A83" w:rsidR="0070082A" w:rsidRPr="00AA3A0A" w:rsidRDefault="0070082A" w:rsidP="00AA3A0A">
            <w:pPr>
              <w:tabs>
                <w:tab w:val="left" w:pos="1505"/>
              </w:tabs>
              <w:rPr>
                <w:rFonts w:cs="Times New Roman"/>
                <w:color w:val="auto"/>
              </w:rPr>
            </w:pPr>
            <w:r w:rsidRPr="00AA3A0A">
              <w:rPr>
                <w:rFonts w:cs="Times New Roman"/>
                <w:color w:val="auto"/>
              </w:rPr>
              <w:t>183/21926 (</w:t>
            </w:r>
            <w:r w:rsidR="00EB0F7C" w:rsidRPr="00AA3A0A">
              <w:rPr>
                <w:rFonts w:cs="Times New Roman"/>
                <w:color w:val="auto"/>
              </w:rPr>
              <w:t>0.83</w:t>
            </w:r>
            <w:r w:rsidRPr="00AA3A0A">
              <w:rPr>
                <w:rFonts w:cs="Times New Roman"/>
                <w:color w:val="auto"/>
              </w:rPr>
              <w:t>%)</w:t>
            </w:r>
          </w:p>
        </w:tc>
        <w:tc>
          <w:tcPr>
            <w:tcW w:w="1870" w:type="dxa"/>
            <w:vAlign w:val="center"/>
          </w:tcPr>
          <w:p w14:paraId="6DEE4E56" w14:textId="77777777" w:rsidR="0070082A" w:rsidRPr="00AA3A0A" w:rsidRDefault="0070082A" w:rsidP="00AA3A0A">
            <w:pPr>
              <w:tabs>
                <w:tab w:val="left" w:pos="1505"/>
              </w:tabs>
              <w:rPr>
                <w:rFonts w:cs="Times New Roman"/>
                <w:color w:val="auto"/>
              </w:rPr>
            </w:pPr>
            <w:r w:rsidRPr="00AA3A0A">
              <w:rPr>
                <w:rFonts w:cs="Times New Roman"/>
                <w:color w:val="auto"/>
              </w:rPr>
              <w:t>1.21 (0.89-1.65)</w:t>
            </w:r>
          </w:p>
        </w:tc>
        <w:tc>
          <w:tcPr>
            <w:tcW w:w="1870" w:type="dxa"/>
            <w:vAlign w:val="center"/>
          </w:tcPr>
          <w:p w14:paraId="6A403A7E" w14:textId="77777777" w:rsidR="0070082A" w:rsidRPr="00AA3A0A" w:rsidRDefault="0070082A" w:rsidP="00AA3A0A">
            <w:pPr>
              <w:tabs>
                <w:tab w:val="left" w:pos="1505"/>
              </w:tabs>
              <w:rPr>
                <w:rFonts w:cs="Times New Roman"/>
                <w:color w:val="auto"/>
              </w:rPr>
            </w:pPr>
            <w:r w:rsidRPr="00AA3A0A">
              <w:rPr>
                <w:rFonts w:cs="Times New Roman"/>
                <w:color w:val="auto"/>
              </w:rPr>
              <w:t>0.226</w:t>
            </w:r>
          </w:p>
        </w:tc>
        <w:tc>
          <w:tcPr>
            <w:tcW w:w="1870" w:type="dxa"/>
            <w:vAlign w:val="center"/>
          </w:tcPr>
          <w:p w14:paraId="3D10DA5A" w14:textId="77777777" w:rsidR="0070082A" w:rsidRPr="00AA3A0A" w:rsidRDefault="0070082A" w:rsidP="00AA3A0A">
            <w:pPr>
              <w:tabs>
                <w:tab w:val="left" w:pos="1505"/>
              </w:tabs>
              <w:rPr>
                <w:rFonts w:cs="Times New Roman"/>
                <w:color w:val="auto"/>
              </w:rPr>
            </w:pPr>
            <w:r w:rsidRPr="00AA3A0A">
              <w:rPr>
                <w:rFonts w:cs="Times New Roman"/>
                <w:color w:val="auto"/>
              </w:rPr>
              <w:t>0.690</w:t>
            </w:r>
          </w:p>
        </w:tc>
      </w:tr>
      <w:tr w:rsidR="00AA3A0A" w:rsidRPr="00AA3A0A" w14:paraId="2F3D3A99" w14:textId="77777777" w:rsidTr="00C522EA">
        <w:trPr>
          <w:trHeight w:val="567"/>
        </w:trPr>
        <w:tc>
          <w:tcPr>
            <w:tcW w:w="1870" w:type="dxa"/>
            <w:vAlign w:val="center"/>
          </w:tcPr>
          <w:p w14:paraId="4BB0678F" w14:textId="5D8F1E35" w:rsidR="00EF49D0" w:rsidRPr="00AA3A0A" w:rsidRDefault="00EF49D0" w:rsidP="00AA3A0A">
            <w:pPr>
              <w:tabs>
                <w:tab w:val="left" w:pos="1505"/>
              </w:tabs>
              <w:rPr>
                <w:rFonts w:cs="Times New Roman"/>
                <w:color w:val="auto"/>
              </w:rPr>
            </w:pPr>
            <w:r w:rsidRPr="00AA3A0A">
              <w:rPr>
                <w:rFonts w:cs="Times New Roman"/>
                <w:color w:val="auto"/>
              </w:rPr>
              <w:t>Min follow-up ≥1 year</w:t>
            </w:r>
          </w:p>
        </w:tc>
        <w:tc>
          <w:tcPr>
            <w:tcW w:w="1870" w:type="dxa"/>
            <w:vAlign w:val="center"/>
          </w:tcPr>
          <w:p w14:paraId="4981B7A9" w14:textId="2ABBC6AB" w:rsidR="00EF49D0" w:rsidRPr="00AA3A0A" w:rsidRDefault="00C662E3" w:rsidP="00AA3A0A">
            <w:pPr>
              <w:tabs>
                <w:tab w:val="left" w:pos="1505"/>
              </w:tabs>
              <w:rPr>
                <w:rFonts w:cs="Times New Roman"/>
                <w:color w:val="auto"/>
              </w:rPr>
            </w:pPr>
            <w:r w:rsidRPr="00AA3A0A">
              <w:rPr>
                <w:rFonts w:cs="Times New Roman"/>
                <w:color w:val="auto"/>
              </w:rPr>
              <w:t>253/20825 (</w:t>
            </w:r>
            <w:r w:rsidR="00EB0F7C" w:rsidRPr="00AA3A0A">
              <w:rPr>
                <w:rFonts w:cs="Times New Roman"/>
                <w:color w:val="auto"/>
              </w:rPr>
              <w:t>1.21</w:t>
            </w:r>
            <w:r w:rsidRPr="00AA3A0A">
              <w:rPr>
                <w:rFonts w:cs="Times New Roman"/>
                <w:color w:val="auto"/>
              </w:rPr>
              <w:t>%)</w:t>
            </w:r>
          </w:p>
        </w:tc>
        <w:tc>
          <w:tcPr>
            <w:tcW w:w="1870" w:type="dxa"/>
            <w:vAlign w:val="center"/>
          </w:tcPr>
          <w:p w14:paraId="106F98A7" w14:textId="07B766C2" w:rsidR="00EF49D0" w:rsidRPr="00AA3A0A" w:rsidRDefault="00C662E3" w:rsidP="00AA3A0A">
            <w:pPr>
              <w:tabs>
                <w:tab w:val="left" w:pos="1505"/>
              </w:tabs>
              <w:rPr>
                <w:rFonts w:cs="Times New Roman"/>
                <w:color w:val="auto"/>
              </w:rPr>
            </w:pPr>
            <w:r w:rsidRPr="00AA3A0A">
              <w:rPr>
                <w:rFonts w:cs="Times New Roman"/>
                <w:color w:val="auto"/>
              </w:rPr>
              <w:t>1.28 (0.99-1.68)</w:t>
            </w:r>
          </w:p>
        </w:tc>
        <w:tc>
          <w:tcPr>
            <w:tcW w:w="1870" w:type="dxa"/>
            <w:vAlign w:val="center"/>
          </w:tcPr>
          <w:p w14:paraId="243FF25F" w14:textId="4118F74C" w:rsidR="00EF49D0" w:rsidRPr="00AA3A0A" w:rsidRDefault="00C662E3" w:rsidP="00AA3A0A">
            <w:pPr>
              <w:tabs>
                <w:tab w:val="left" w:pos="1505"/>
              </w:tabs>
              <w:rPr>
                <w:rFonts w:cs="Times New Roman"/>
                <w:color w:val="auto"/>
              </w:rPr>
            </w:pPr>
            <w:r w:rsidRPr="00AA3A0A">
              <w:rPr>
                <w:rFonts w:cs="Times New Roman"/>
                <w:color w:val="auto"/>
              </w:rPr>
              <w:t>0.064</w:t>
            </w:r>
          </w:p>
        </w:tc>
        <w:tc>
          <w:tcPr>
            <w:tcW w:w="1870" w:type="dxa"/>
            <w:vAlign w:val="center"/>
          </w:tcPr>
          <w:p w14:paraId="4441E6BA" w14:textId="6B592E42" w:rsidR="00EF49D0" w:rsidRPr="00AA3A0A" w:rsidRDefault="00C662E3" w:rsidP="00AA3A0A">
            <w:pPr>
              <w:tabs>
                <w:tab w:val="left" w:pos="1505"/>
              </w:tabs>
              <w:rPr>
                <w:rFonts w:cs="Times New Roman"/>
                <w:color w:val="auto"/>
              </w:rPr>
            </w:pPr>
            <w:r w:rsidRPr="00AA3A0A">
              <w:rPr>
                <w:rFonts w:cs="Times New Roman"/>
                <w:color w:val="auto"/>
              </w:rPr>
              <w:t>0.698</w:t>
            </w:r>
          </w:p>
        </w:tc>
      </w:tr>
      <w:tr w:rsidR="00AA3A0A" w:rsidRPr="00AA3A0A" w14:paraId="2184F717" w14:textId="77777777" w:rsidTr="00C522EA">
        <w:trPr>
          <w:trHeight w:val="567"/>
        </w:trPr>
        <w:tc>
          <w:tcPr>
            <w:tcW w:w="1870" w:type="dxa"/>
            <w:tcBorders>
              <w:bottom w:val="single" w:sz="4" w:space="0" w:color="auto"/>
            </w:tcBorders>
            <w:vAlign w:val="center"/>
          </w:tcPr>
          <w:p w14:paraId="5AFDCEEE" w14:textId="0082CD11" w:rsidR="00C662E3" w:rsidRPr="00AA3A0A" w:rsidRDefault="00C662E3" w:rsidP="00AA3A0A">
            <w:pPr>
              <w:tabs>
                <w:tab w:val="left" w:pos="1505"/>
              </w:tabs>
              <w:rPr>
                <w:rFonts w:cs="Times New Roman"/>
                <w:color w:val="auto"/>
              </w:rPr>
            </w:pPr>
            <w:r w:rsidRPr="00AA3A0A">
              <w:rPr>
                <w:rFonts w:cs="Times New Roman"/>
                <w:color w:val="auto"/>
              </w:rPr>
              <w:t>Min follow-up ≥2 years</w:t>
            </w:r>
          </w:p>
        </w:tc>
        <w:tc>
          <w:tcPr>
            <w:tcW w:w="1870" w:type="dxa"/>
            <w:tcBorders>
              <w:bottom w:val="single" w:sz="4" w:space="0" w:color="auto"/>
            </w:tcBorders>
            <w:vAlign w:val="center"/>
          </w:tcPr>
          <w:p w14:paraId="55F86803" w14:textId="55726FED" w:rsidR="00C662E3" w:rsidRPr="00AA3A0A" w:rsidRDefault="00C662E3" w:rsidP="00AA3A0A">
            <w:pPr>
              <w:tabs>
                <w:tab w:val="left" w:pos="1505"/>
              </w:tabs>
              <w:rPr>
                <w:rFonts w:cs="Times New Roman"/>
                <w:color w:val="auto"/>
              </w:rPr>
            </w:pPr>
            <w:r w:rsidRPr="00AA3A0A">
              <w:rPr>
                <w:rFonts w:cs="Times New Roman"/>
                <w:color w:val="auto"/>
              </w:rPr>
              <w:t>183/20485 (</w:t>
            </w:r>
            <w:r w:rsidR="00EB0F7C" w:rsidRPr="00AA3A0A">
              <w:rPr>
                <w:rFonts w:cs="Times New Roman"/>
                <w:color w:val="auto"/>
              </w:rPr>
              <w:t>0.89</w:t>
            </w:r>
            <w:r w:rsidRPr="00AA3A0A">
              <w:rPr>
                <w:rFonts w:cs="Times New Roman"/>
                <w:color w:val="auto"/>
              </w:rPr>
              <w:t>%)</w:t>
            </w:r>
          </w:p>
        </w:tc>
        <w:tc>
          <w:tcPr>
            <w:tcW w:w="1870" w:type="dxa"/>
            <w:tcBorders>
              <w:bottom w:val="single" w:sz="4" w:space="0" w:color="auto"/>
            </w:tcBorders>
            <w:vAlign w:val="center"/>
          </w:tcPr>
          <w:p w14:paraId="35BB15FB" w14:textId="75786C6E" w:rsidR="00C662E3" w:rsidRPr="00AA3A0A" w:rsidRDefault="00C662E3" w:rsidP="00AA3A0A">
            <w:pPr>
              <w:tabs>
                <w:tab w:val="left" w:pos="1505"/>
              </w:tabs>
              <w:rPr>
                <w:rFonts w:cs="Times New Roman"/>
                <w:color w:val="auto"/>
              </w:rPr>
            </w:pPr>
            <w:r w:rsidRPr="00AA3A0A">
              <w:rPr>
                <w:rFonts w:cs="Times New Roman"/>
                <w:color w:val="auto"/>
              </w:rPr>
              <w:t>1.21 (0.89-1.65)</w:t>
            </w:r>
          </w:p>
        </w:tc>
        <w:tc>
          <w:tcPr>
            <w:tcW w:w="1870" w:type="dxa"/>
            <w:tcBorders>
              <w:bottom w:val="single" w:sz="4" w:space="0" w:color="auto"/>
            </w:tcBorders>
            <w:vAlign w:val="center"/>
          </w:tcPr>
          <w:p w14:paraId="6546FE52" w14:textId="1230A39D" w:rsidR="00C662E3" w:rsidRPr="00AA3A0A" w:rsidRDefault="00C662E3" w:rsidP="00AA3A0A">
            <w:pPr>
              <w:tabs>
                <w:tab w:val="left" w:pos="1505"/>
              </w:tabs>
              <w:rPr>
                <w:rFonts w:cs="Times New Roman"/>
                <w:color w:val="auto"/>
              </w:rPr>
            </w:pPr>
            <w:r w:rsidRPr="00AA3A0A">
              <w:rPr>
                <w:rFonts w:cs="Times New Roman"/>
                <w:color w:val="auto"/>
              </w:rPr>
              <w:t>0.226</w:t>
            </w:r>
          </w:p>
        </w:tc>
        <w:tc>
          <w:tcPr>
            <w:tcW w:w="1870" w:type="dxa"/>
            <w:tcBorders>
              <w:bottom w:val="single" w:sz="4" w:space="0" w:color="auto"/>
            </w:tcBorders>
            <w:vAlign w:val="center"/>
          </w:tcPr>
          <w:p w14:paraId="6F977C35" w14:textId="07C5AB29" w:rsidR="00C662E3" w:rsidRPr="00AA3A0A" w:rsidRDefault="00C662E3" w:rsidP="00AA3A0A">
            <w:pPr>
              <w:tabs>
                <w:tab w:val="left" w:pos="1505"/>
              </w:tabs>
              <w:rPr>
                <w:rFonts w:cs="Times New Roman"/>
                <w:color w:val="auto"/>
              </w:rPr>
            </w:pPr>
            <w:r w:rsidRPr="00AA3A0A">
              <w:rPr>
                <w:rFonts w:cs="Times New Roman"/>
                <w:color w:val="auto"/>
              </w:rPr>
              <w:t>0.690</w:t>
            </w:r>
          </w:p>
        </w:tc>
      </w:tr>
      <w:tr w:rsidR="00AA3A0A" w:rsidRPr="00AA3A0A" w14:paraId="57AD5349" w14:textId="77777777" w:rsidTr="00C522EA">
        <w:trPr>
          <w:trHeight w:val="567"/>
        </w:trPr>
        <w:tc>
          <w:tcPr>
            <w:tcW w:w="1870" w:type="dxa"/>
            <w:tcBorders>
              <w:top w:val="single" w:sz="4" w:space="0" w:color="auto"/>
              <w:bottom w:val="single" w:sz="4" w:space="0" w:color="auto"/>
            </w:tcBorders>
            <w:vAlign w:val="center"/>
          </w:tcPr>
          <w:p w14:paraId="63B8378E" w14:textId="62BCB8C4" w:rsidR="00C662E3" w:rsidRPr="00AA3A0A" w:rsidRDefault="00C662E3" w:rsidP="00AA3A0A">
            <w:pPr>
              <w:tabs>
                <w:tab w:val="left" w:pos="1505"/>
              </w:tabs>
              <w:rPr>
                <w:rFonts w:cs="Times New Roman"/>
                <w:color w:val="auto"/>
              </w:rPr>
            </w:pPr>
            <w:r w:rsidRPr="00AA3A0A">
              <w:rPr>
                <w:rFonts w:cs="Times New Roman"/>
                <w:color w:val="auto"/>
              </w:rPr>
              <w:t>Diabetes</w:t>
            </w:r>
          </w:p>
        </w:tc>
        <w:tc>
          <w:tcPr>
            <w:tcW w:w="1870" w:type="dxa"/>
            <w:tcBorders>
              <w:top w:val="single" w:sz="4" w:space="0" w:color="auto"/>
              <w:bottom w:val="single" w:sz="4" w:space="0" w:color="auto"/>
            </w:tcBorders>
            <w:vAlign w:val="center"/>
          </w:tcPr>
          <w:p w14:paraId="2D382A23" w14:textId="77777777" w:rsidR="00C662E3" w:rsidRPr="00AA3A0A" w:rsidRDefault="00C662E3"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5EB55B9A" w14:textId="77777777" w:rsidR="00C662E3" w:rsidRPr="00AA3A0A" w:rsidRDefault="00C662E3"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6E880972" w14:textId="77777777" w:rsidR="00C662E3" w:rsidRPr="00AA3A0A" w:rsidRDefault="00C662E3"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73DF46D5" w14:textId="77777777" w:rsidR="00C662E3" w:rsidRPr="00AA3A0A" w:rsidRDefault="00C662E3" w:rsidP="00AA3A0A">
            <w:pPr>
              <w:tabs>
                <w:tab w:val="left" w:pos="1505"/>
              </w:tabs>
              <w:rPr>
                <w:rFonts w:cs="Times New Roman"/>
                <w:color w:val="auto"/>
              </w:rPr>
            </w:pPr>
          </w:p>
        </w:tc>
      </w:tr>
      <w:tr w:rsidR="00AA3A0A" w:rsidRPr="00AA3A0A" w14:paraId="408A0DBB" w14:textId="77777777" w:rsidTr="00C522EA">
        <w:trPr>
          <w:trHeight w:val="567"/>
        </w:trPr>
        <w:tc>
          <w:tcPr>
            <w:tcW w:w="1870" w:type="dxa"/>
            <w:tcBorders>
              <w:top w:val="single" w:sz="4" w:space="0" w:color="auto"/>
            </w:tcBorders>
            <w:vAlign w:val="center"/>
          </w:tcPr>
          <w:p w14:paraId="2F6105BE" w14:textId="7D0933BB" w:rsidR="00C662E3" w:rsidRPr="00AA3A0A" w:rsidRDefault="00C662E3" w:rsidP="00AA3A0A">
            <w:pPr>
              <w:tabs>
                <w:tab w:val="left" w:pos="1505"/>
              </w:tabs>
              <w:rPr>
                <w:rFonts w:cs="Times New Roman"/>
                <w:color w:val="auto"/>
              </w:rPr>
            </w:pPr>
            <w:r w:rsidRPr="00AA3A0A">
              <w:rPr>
                <w:rFonts w:cs="Times New Roman"/>
                <w:color w:val="auto"/>
              </w:rPr>
              <w:t>Primary analysis</w:t>
            </w:r>
          </w:p>
        </w:tc>
        <w:tc>
          <w:tcPr>
            <w:tcW w:w="1870" w:type="dxa"/>
            <w:tcBorders>
              <w:top w:val="single" w:sz="4" w:space="0" w:color="auto"/>
            </w:tcBorders>
            <w:vAlign w:val="center"/>
          </w:tcPr>
          <w:p w14:paraId="382604EB" w14:textId="77777777" w:rsidR="00C662E3" w:rsidRPr="00AA3A0A" w:rsidRDefault="00C662E3" w:rsidP="00AA3A0A">
            <w:pPr>
              <w:tabs>
                <w:tab w:val="left" w:pos="1505"/>
              </w:tabs>
              <w:rPr>
                <w:rFonts w:cs="Times New Roman"/>
                <w:color w:val="auto"/>
              </w:rPr>
            </w:pPr>
            <w:r w:rsidRPr="00AA3A0A">
              <w:rPr>
                <w:rFonts w:cs="Times New Roman"/>
                <w:color w:val="auto"/>
              </w:rPr>
              <w:t>251/22040 (1.14%)</w:t>
            </w:r>
          </w:p>
        </w:tc>
        <w:tc>
          <w:tcPr>
            <w:tcW w:w="1870" w:type="dxa"/>
            <w:tcBorders>
              <w:top w:val="single" w:sz="4" w:space="0" w:color="auto"/>
            </w:tcBorders>
            <w:vAlign w:val="center"/>
          </w:tcPr>
          <w:p w14:paraId="25977C5F" w14:textId="77777777" w:rsidR="00C662E3" w:rsidRPr="00AA3A0A" w:rsidRDefault="00C662E3" w:rsidP="00AA3A0A">
            <w:pPr>
              <w:tabs>
                <w:tab w:val="left" w:pos="1505"/>
              </w:tabs>
              <w:rPr>
                <w:rFonts w:cs="Times New Roman"/>
                <w:color w:val="auto"/>
              </w:rPr>
            </w:pPr>
            <w:r w:rsidRPr="00AA3A0A">
              <w:rPr>
                <w:rFonts w:cs="Times New Roman"/>
                <w:color w:val="auto"/>
              </w:rPr>
              <w:t>1.77 (1.34-2.33)</w:t>
            </w:r>
          </w:p>
        </w:tc>
        <w:tc>
          <w:tcPr>
            <w:tcW w:w="1870" w:type="dxa"/>
            <w:tcBorders>
              <w:top w:val="single" w:sz="4" w:space="0" w:color="auto"/>
            </w:tcBorders>
            <w:vAlign w:val="center"/>
          </w:tcPr>
          <w:p w14:paraId="3F8B098D" w14:textId="77777777" w:rsidR="00C662E3" w:rsidRPr="00AA3A0A" w:rsidRDefault="00C662E3" w:rsidP="00AA3A0A">
            <w:pPr>
              <w:tabs>
                <w:tab w:val="left" w:pos="1505"/>
              </w:tabs>
              <w:rPr>
                <w:rFonts w:cs="Times New Roman"/>
                <w:color w:val="auto"/>
              </w:rPr>
            </w:pPr>
            <w:r w:rsidRPr="00AA3A0A">
              <w:rPr>
                <w:rFonts w:cs="Times New Roman"/>
                <w:color w:val="auto"/>
              </w:rPr>
              <w:t>&lt;0.001</w:t>
            </w:r>
          </w:p>
        </w:tc>
        <w:tc>
          <w:tcPr>
            <w:tcW w:w="1870" w:type="dxa"/>
            <w:tcBorders>
              <w:top w:val="single" w:sz="4" w:space="0" w:color="auto"/>
            </w:tcBorders>
            <w:vAlign w:val="center"/>
          </w:tcPr>
          <w:p w14:paraId="53FA332C" w14:textId="77777777" w:rsidR="00C662E3" w:rsidRPr="00AA3A0A" w:rsidRDefault="00C662E3" w:rsidP="00AA3A0A">
            <w:pPr>
              <w:tabs>
                <w:tab w:val="left" w:pos="1505"/>
              </w:tabs>
              <w:rPr>
                <w:rFonts w:cs="Times New Roman"/>
                <w:color w:val="auto"/>
              </w:rPr>
            </w:pPr>
            <w:r w:rsidRPr="00AA3A0A">
              <w:rPr>
                <w:rFonts w:cs="Times New Roman"/>
                <w:color w:val="auto"/>
              </w:rPr>
              <w:t>0.723</w:t>
            </w:r>
          </w:p>
        </w:tc>
      </w:tr>
      <w:tr w:rsidR="00AA3A0A" w:rsidRPr="00AA3A0A" w14:paraId="20B9EFB0" w14:textId="77777777" w:rsidTr="00C522EA">
        <w:trPr>
          <w:trHeight w:val="567"/>
        </w:trPr>
        <w:tc>
          <w:tcPr>
            <w:tcW w:w="1870" w:type="dxa"/>
            <w:vAlign w:val="center"/>
          </w:tcPr>
          <w:p w14:paraId="0B3D843F" w14:textId="651288CA" w:rsidR="00C662E3" w:rsidRPr="00AA3A0A" w:rsidRDefault="00C662E3" w:rsidP="00AA3A0A">
            <w:pPr>
              <w:tabs>
                <w:tab w:val="left" w:pos="1505"/>
              </w:tabs>
              <w:rPr>
                <w:rFonts w:cs="Times New Roman"/>
                <w:color w:val="auto"/>
              </w:rPr>
            </w:pPr>
            <w:r w:rsidRPr="00AA3A0A">
              <w:rPr>
                <w:rFonts w:cs="Times New Roman"/>
                <w:color w:val="auto"/>
              </w:rPr>
              <w:t>Lag 1 year</w:t>
            </w:r>
          </w:p>
        </w:tc>
        <w:tc>
          <w:tcPr>
            <w:tcW w:w="1870" w:type="dxa"/>
            <w:vAlign w:val="center"/>
          </w:tcPr>
          <w:p w14:paraId="52071909" w14:textId="6268D6E3" w:rsidR="00C662E3" w:rsidRPr="00AA3A0A" w:rsidRDefault="00C662E3" w:rsidP="00AA3A0A">
            <w:pPr>
              <w:tabs>
                <w:tab w:val="left" w:pos="1505"/>
              </w:tabs>
              <w:rPr>
                <w:rFonts w:cs="Times New Roman"/>
                <w:color w:val="auto"/>
              </w:rPr>
            </w:pPr>
            <w:r w:rsidRPr="00AA3A0A">
              <w:rPr>
                <w:rFonts w:cs="Times New Roman"/>
                <w:color w:val="auto"/>
              </w:rPr>
              <w:t>191/21980 (</w:t>
            </w:r>
            <w:r w:rsidR="00341B1D" w:rsidRPr="00AA3A0A">
              <w:rPr>
                <w:rFonts w:cs="Times New Roman"/>
                <w:color w:val="auto"/>
              </w:rPr>
              <w:t>0</w:t>
            </w:r>
            <w:r w:rsidR="00EB0F7C" w:rsidRPr="00AA3A0A">
              <w:rPr>
                <w:rFonts w:cs="Times New Roman"/>
                <w:color w:val="auto"/>
              </w:rPr>
              <w:t>.87</w:t>
            </w:r>
            <w:r w:rsidRPr="00AA3A0A">
              <w:rPr>
                <w:rFonts w:cs="Times New Roman"/>
                <w:color w:val="auto"/>
              </w:rPr>
              <w:t>%)</w:t>
            </w:r>
          </w:p>
        </w:tc>
        <w:tc>
          <w:tcPr>
            <w:tcW w:w="1870" w:type="dxa"/>
            <w:vAlign w:val="center"/>
          </w:tcPr>
          <w:p w14:paraId="7558584A" w14:textId="77777777" w:rsidR="00C662E3" w:rsidRPr="00AA3A0A" w:rsidRDefault="00C662E3" w:rsidP="00AA3A0A">
            <w:pPr>
              <w:tabs>
                <w:tab w:val="left" w:pos="1505"/>
              </w:tabs>
              <w:rPr>
                <w:rFonts w:cs="Times New Roman"/>
                <w:color w:val="auto"/>
              </w:rPr>
            </w:pPr>
            <w:r w:rsidRPr="00AA3A0A">
              <w:rPr>
                <w:rFonts w:cs="Times New Roman"/>
                <w:color w:val="auto"/>
              </w:rPr>
              <w:t>1.82 (1.22-2.86)</w:t>
            </w:r>
          </w:p>
        </w:tc>
        <w:tc>
          <w:tcPr>
            <w:tcW w:w="1870" w:type="dxa"/>
            <w:vAlign w:val="center"/>
          </w:tcPr>
          <w:p w14:paraId="59400FE8" w14:textId="77777777" w:rsidR="00C662E3" w:rsidRPr="00AA3A0A" w:rsidRDefault="00C662E3" w:rsidP="00AA3A0A">
            <w:pPr>
              <w:tabs>
                <w:tab w:val="left" w:pos="1505"/>
              </w:tabs>
              <w:rPr>
                <w:rFonts w:cs="Times New Roman"/>
                <w:color w:val="auto"/>
              </w:rPr>
            </w:pPr>
            <w:r w:rsidRPr="00AA3A0A">
              <w:rPr>
                <w:rFonts w:cs="Times New Roman"/>
                <w:color w:val="auto"/>
              </w:rPr>
              <w:t>&lt;0.001</w:t>
            </w:r>
          </w:p>
        </w:tc>
        <w:tc>
          <w:tcPr>
            <w:tcW w:w="1870" w:type="dxa"/>
            <w:vAlign w:val="center"/>
          </w:tcPr>
          <w:p w14:paraId="09AF2F65" w14:textId="77777777" w:rsidR="00C662E3" w:rsidRPr="00AA3A0A" w:rsidRDefault="00C662E3" w:rsidP="00AA3A0A">
            <w:pPr>
              <w:tabs>
                <w:tab w:val="left" w:pos="1505"/>
              </w:tabs>
              <w:rPr>
                <w:rFonts w:cs="Times New Roman"/>
                <w:color w:val="auto"/>
              </w:rPr>
            </w:pPr>
            <w:r w:rsidRPr="00AA3A0A">
              <w:rPr>
                <w:rFonts w:cs="Times New Roman"/>
                <w:color w:val="auto"/>
              </w:rPr>
              <w:t>0.741</w:t>
            </w:r>
          </w:p>
        </w:tc>
      </w:tr>
      <w:tr w:rsidR="00AA3A0A" w:rsidRPr="00AA3A0A" w14:paraId="26D20AE2" w14:textId="77777777" w:rsidTr="00C522EA">
        <w:trPr>
          <w:trHeight w:val="567"/>
        </w:trPr>
        <w:tc>
          <w:tcPr>
            <w:tcW w:w="1870" w:type="dxa"/>
            <w:vAlign w:val="center"/>
          </w:tcPr>
          <w:p w14:paraId="182CFD0B" w14:textId="77777777" w:rsidR="00C662E3" w:rsidRPr="00AA3A0A" w:rsidRDefault="00C662E3" w:rsidP="00AA3A0A">
            <w:pPr>
              <w:tabs>
                <w:tab w:val="left" w:pos="1505"/>
              </w:tabs>
              <w:rPr>
                <w:rFonts w:cs="Times New Roman"/>
                <w:color w:val="auto"/>
              </w:rPr>
            </w:pPr>
            <w:r w:rsidRPr="00AA3A0A">
              <w:rPr>
                <w:rFonts w:cs="Times New Roman"/>
                <w:color w:val="auto"/>
              </w:rPr>
              <w:t>Lag 2 years</w:t>
            </w:r>
          </w:p>
        </w:tc>
        <w:tc>
          <w:tcPr>
            <w:tcW w:w="1870" w:type="dxa"/>
            <w:vAlign w:val="center"/>
          </w:tcPr>
          <w:p w14:paraId="10F45B20" w14:textId="564C2D00" w:rsidR="00C662E3" w:rsidRPr="00AA3A0A" w:rsidRDefault="00C662E3" w:rsidP="00AA3A0A">
            <w:pPr>
              <w:tabs>
                <w:tab w:val="left" w:pos="1505"/>
              </w:tabs>
              <w:rPr>
                <w:rFonts w:cs="Times New Roman"/>
                <w:color w:val="auto"/>
              </w:rPr>
            </w:pPr>
            <w:r w:rsidRPr="00AA3A0A">
              <w:rPr>
                <w:rFonts w:cs="Times New Roman"/>
                <w:color w:val="auto"/>
              </w:rPr>
              <w:t>144/21933 (</w:t>
            </w:r>
            <w:r w:rsidR="00EB0F7C" w:rsidRPr="00AA3A0A">
              <w:rPr>
                <w:rFonts w:cs="Times New Roman"/>
                <w:color w:val="auto"/>
              </w:rPr>
              <w:t>0.67</w:t>
            </w:r>
            <w:r w:rsidRPr="00AA3A0A">
              <w:rPr>
                <w:rFonts w:cs="Times New Roman"/>
                <w:color w:val="auto"/>
              </w:rPr>
              <w:t>%)</w:t>
            </w:r>
          </w:p>
        </w:tc>
        <w:tc>
          <w:tcPr>
            <w:tcW w:w="1870" w:type="dxa"/>
            <w:vAlign w:val="center"/>
          </w:tcPr>
          <w:p w14:paraId="0958A316" w14:textId="77777777" w:rsidR="00C662E3" w:rsidRPr="00AA3A0A" w:rsidRDefault="00C662E3" w:rsidP="00AA3A0A">
            <w:pPr>
              <w:tabs>
                <w:tab w:val="left" w:pos="1505"/>
              </w:tabs>
              <w:rPr>
                <w:rFonts w:cs="Times New Roman"/>
                <w:color w:val="auto"/>
              </w:rPr>
            </w:pPr>
            <w:r w:rsidRPr="00AA3A0A">
              <w:rPr>
                <w:rFonts w:cs="Times New Roman"/>
                <w:color w:val="auto"/>
              </w:rPr>
              <w:t>2.44 (1.65-3.59)</w:t>
            </w:r>
          </w:p>
        </w:tc>
        <w:tc>
          <w:tcPr>
            <w:tcW w:w="1870" w:type="dxa"/>
            <w:vAlign w:val="center"/>
          </w:tcPr>
          <w:p w14:paraId="287528E8" w14:textId="77777777" w:rsidR="00C662E3" w:rsidRPr="00AA3A0A" w:rsidRDefault="00C662E3" w:rsidP="00AA3A0A">
            <w:pPr>
              <w:tabs>
                <w:tab w:val="left" w:pos="1505"/>
              </w:tabs>
              <w:rPr>
                <w:rFonts w:cs="Times New Roman"/>
                <w:color w:val="auto"/>
              </w:rPr>
            </w:pPr>
            <w:r w:rsidRPr="00AA3A0A">
              <w:rPr>
                <w:rFonts w:cs="Times New Roman"/>
                <w:color w:val="auto"/>
              </w:rPr>
              <w:t>&lt;0.001</w:t>
            </w:r>
          </w:p>
        </w:tc>
        <w:tc>
          <w:tcPr>
            <w:tcW w:w="1870" w:type="dxa"/>
            <w:vAlign w:val="center"/>
          </w:tcPr>
          <w:p w14:paraId="31AF22AD" w14:textId="77777777" w:rsidR="00C662E3" w:rsidRPr="00AA3A0A" w:rsidRDefault="00C662E3" w:rsidP="00AA3A0A">
            <w:pPr>
              <w:tabs>
                <w:tab w:val="left" w:pos="1505"/>
              </w:tabs>
              <w:rPr>
                <w:rFonts w:cs="Times New Roman"/>
                <w:color w:val="auto"/>
              </w:rPr>
            </w:pPr>
            <w:r w:rsidRPr="00AA3A0A">
              <w:rPr>
                <w:rFonts w:cs="Times New Roman"/>
                <w:color w:val="auto"/>
              </w:rPr>
              <w:t>0.768</w:t>
            </w:r>
          </w:p>
        </w:tc>
      </w:tr>
      <w:tr w:rsidR="00AA3A0A" w:rsidRPr="00AA3A0A" w14:paraId="12111F0F" w14:textId="77777777" w:rsidTr="00C522EA">
        <w:trPr>
          <w:trHeight w:val="567"/>
        </w:trPr>
        <w:tc>
          <w:tcPr>
            <w:tcW w:w="1870" w:type="dxa"/>
            <w:vAlign w:val="center"/>
          </w:tcPr>
          <w:p w14:paraId="2E797BFC" w14:textId="0BF15B77" w:rsidR="00C662E3" w:rsidRPr="00AA3A0A" w:rsidRDefault="00C662E3" w:rsidP="00AA3A0A">
            <w:pPr>
              <w:tabs>
                <w:tab w:val="left" w:pos="1505"/>
              </w:tabs>
              <w:rPr>
                <w:rFonts w:cs="Times New Roman"/>
                <w:color w:val="auto"/>
              </w:rPr>
            </w:pPr>
            <w:r w:rsidRPr="00AA3A0A">
              <w:rPr>
                <w:rFonts w:cs="Times New Roman"/>
                <w:color w:val="auto"/>
              </w:rPr>
              <w:t>Min follow-up ≥1 year</w:t>
            </w:r>
          </w:p>
        </w:tc>
        <w:tc>
          <w:tcPr>
            <w:tcW w:w="1870" w:type="dxa"/>
            <w:vAlign w:val="center"/>
          </w:tcPr>
          <w:p w14:paraId="05964D84" w14:textId="30E2AA4C" w:rsidR="00C662E3" w:rsidRPr="00AA3A0A" w:rsidRDefault="00C662E3" w:rsidP="00AA3A0A">
            <w:pPr>
              <w:tabs>
                <w:tab w:val="left" w:pos="1505"/>
              </w:tabs>
              <w:rPr>
                <w:rFonts w:cs="Times New Roman"/>
                <w:color w:val="auto"/>
              </w:rPr>
            </w:pPr>
            <w:r w:rsidRPr="00AA3A0A">
              <w:rPr>
                <w:rFonts w:cs="Times New Roman"/>
                <w:color w:val="auto"/>
              </w:rPr>
              <w:t>191/20802 (</w:t>
            </w:r>
            <w:r w:rsidR="00EB0F7C" w:rsidRPr="00AA3A0A">
              <w:rPr>
                <w:rFonts w:cs="Times New Roman"/>
                <w:color w:val="auto"/>
              </w:rPr>
              <w:t>0.92</w:t>
            </w:r>
            <w:r w:rsidRPr="00AA3A0A">
              <w:rPr>
                <w:rFonts w:cs="Times New Roman"/>
                <w:color w:val="auto"/>
              </w:rPr>
              <w:t>%)</w:t>
            </w:r>
          </w:p>
        </w:tc>
        <w:tc>
          <w:tcPr>
            <w:tcW w:w="1870" w:type="dxa"/>
            <w:vAlign w:val="center"/>
          </w:tcPr>
          <w:p w14:paraId="722861B2" w14:textId="70B6D5D4" w:rsidR="00C662E3" w:rsidRPr="00AA3A0A" w:rsidRDefault="00C662E3" w:rsidP="00AA3A0A">
            <w:pPr>
              <w:tabs>
                <w:tab w:val="left" w:pos="1505"/>
              </w:tabs>
              <w:rPr>
                <w:rFonts w:cs="Times New Roman"/>
                <w:color w:val="auto"/>
              </w:rPr>
            </w:pPr>
            <w:r w:rsidRPr="00AA3A0A">
              <w:rPr>
                <w:rFonts w:cs="Times New Roman"/>
                <w:color w:val="auto"/>
              </w:rPr>
              <w:t>1.82 (1.22-2.86)</w:t>
            </w:r>
          </w:p>
        </w:tc>
        <w:tc>
          <w:tcPr>
            <w:tcW w:w="1870" w:type="dxa"/>
            <w:vAlign w:val="center"/>
          </w:tcPr>
          <w:p w14:paraId="1238D1F8" w14:textId="2A065055" w:rsidR="00C662E3" w:rsidRPr="00AA3A0A" w:rsidRDefault="00C662E3" w:rsidP="00AA3A0A">
            <w:pPr>
              <w:tabs>
                <w:tab w:val="left" w:pos="1505"/>
              </w:tabs>
              <w:rPr>
                <w:rFonts w:cs="Times New Roman"/>
                <w:color w:val="auto"/>
              </w:rPr>
            </w:pPr>
            <w:r w:rsidRPr="00AA3A0A">
              <w:rPr>
                <w:rFonts w:cs="Times New Roman"/>
                <w:color w:val="auto"/>
              </w:rPr>
              <w:t>&lt;0.001</w:t>
            </w:r>
          </w:p>
        </w:tc>
        <w:tc>
          <w:tcPr>
            <w:tcW w:w="1870" w:type="dxa"/>
            <w:vAlign w:val="center"/>
          </w:tcPr>
          <w:p w14:paraId="28DBC494" w14:textId="3F59E268" w:rsidR="00C662E3" w:rsidRPr="00AA3A0A" w:rsidRDefault="00C662E3" w:rsidP="00AA3A0A">
            <w:pPr>
              <w:tabs>
                <w:tab w:val="left" w:pos="1505"/>
              </w:tabs>
              <w:rPr>
                <w:rFonts w:cs="Times New Roman"/>
                <w:color w:val="auto"/>
              </w:rPr>
            </w:pPr>
            <w:r w:rsidRPr="00AA3A0A">
              <w:rPr>
                <w:rFonts w:cs="Times New Roman"/>
                <w:color w:val="auto"/>
              </w:rPr>
              <w:t>0.741</w:t>
            </w:r>
          </w:p>
        </w:tc>
      </w:tr>
      <w:tr w:rsidR="00AA3A0A" w:rsidRPr="00AA3A0A" w14:paraId="3D94CF89" w14:textId="77777777" w:rsidTr="00C522EA">
        <w:trPr>
          <w:trHeight w:val="567"/>
        </w:trPr>
        <w:tc>
          <w:tcPr>
            <w:tcW w:w="1870" w:type="dxa"/>
            <w:vAlign w:val="center"/>
          </w:tcPr>
          <w:p w14:paraId="35E14C41" w14:textId="7F755E25" w:rsidR="00C662E3" w:rsidRPr="00AA3A0A" w:rsidRDefault="00C662E3" w:rsidP="00AA3A0A">
            <w:pPr>
              <w:tabs>
                <w:tab w:val="left" w:pos="1505"/>
              </w:tabs>
              <w:rPr>
                <w:rFonts w:cs="Times New Roman"/>
                <w:color w:val="auto"/>
              </w:rPr>
            </w:pPr>
            <w:r w:rsidRPr="00AA3A0A">
              <w:rPr>
                <w:rFonts w:cs="Times New Roman"/>
                <w:color w:val="auto"/>
              </w:rPr>
              <w:t>Min follow-up ≥2 years</w:t>
            </w:r>
          </w:p>
        </w:tc>
        <w:tc>
          <w:tcPr>
            <w:tcW w:w="1870" w:type="dxa"/>
            <w:vAlign w:val="center"/>
          </w:tcPr>
          <w:p w14:paraId="1F37303C" w14:textId="3C656A1E" w:rsidR="00C662E3" w:rsidRPr="00AA3A0A" w:rsidRDefault="00C662E3" w:rsidP="00AA3A0A">
            <w:pPr>
              <w:tabs>
                <w:tab w:val="left" w:pos="1505"/>
              </w:tabs>
              <w:rPr>
                <w:rFonts w:cs="Times New Roman"/>
                <w:color w:val="auto"/>
              </w:rPr>
            </w:pPr>
            <w:r w:rsidRPr="00AA3A0A">
              <w:rPr>
                <w:rFonts w:cs="Times New Roman"/>
                <w:color w:val="auto"/>
              </w:rPr>
              <w:t>144/20478 (</w:t>
            </w:r>
            <w:r w:rsidR="00EB0F7C" w:rsidRPr="00AA3A0A">
              <w:rPr>
                <w:rFonts w:cs="Times New Roman"/>
                <w:color w:val="auto"/>
              </w:rPr>
              <w:t>0.70</w:t>
            </w:r>
            <w:r w:rsidRPr="00AA3A0A">
              <w:rPr>
                <w:rFonts w:cs="Times New Roman"/>
                <w:color w:val="auto"/>
              </w:rPr>
              <w:t>%)</w:t>
            </w:r>
          </w:p>
        </w:tc>
        <w:tc>
          <w:tcPr>
            <w:tcW w:w="1870" w:type="dxa"/>
            <w:vAlign w:val="center"/>
          </w:tcPr>
          <w:p w14:paraId="23422060" w14:textId="4D44CC87" w:rsidR="00C662E3" w:rsidRPr="00AA3A0A" w:rsidRDefault="00C662E3" w:rsidP="00AA3A0A">
            <w:pPr>
              <w:tabs>
                <w:tab w:val="left" w:pos="1505"/>
              </w:tabs>
              <w:rPr>
                <w:rFonts w:cs="Times New Roman"/>
                <w:color w:val="auto"/>
              </w:rPr>
            </w:pPr>
            <w:r w:rsidRPr="00AA3A0A">
              <w:rPr>
                <w:rFonts w:cs="Times New Roman"/>
                <w:color w:val="auto"/>
              </w:rPr>
              <w:t>2.44 (1.65-3.59)</w:t>
            </w:r>
          </w:p>
        </w:tc>
        <w:tc>
          <w:tcPr>
            <w:tcW w:w="1870" w:type="dxa"/>
            <w:vAlign w:val="center"/>
          </w:tcPr>
          <w:p w14:paraId="3AE0CDA7" w14:textId="0A27E846" w:rsidR="00C662E3" w:rsidRPr="00AA3A0A" w:rsidRDefault="00C662E3" w:rsidP="00AA3A0A">
            <w:pPr>
              <w:tabs>
                <w:tab w:val="left" w:pos="1505"/>
              </w:tabs>
              <w:rPr>
                <w:rFonts w:cs="Times New Roman"/>
                <w:color w:val="auto"/>
              </w:rPr>
            </w:pPr>
            <w:r w:rsidRPr="00AA3A0A">
              <w:rPr>
                <w:rFonts w:cs="Times New Roman"/>
                <w:color w:val="auto"/>
              </w:rPr>
              <w:t>&lt;0.001</w:t>
            </w:r>
          </w:p>
        </w:tc>
        <w:tc>
          <w:tcPr>
            <w:tcW w:w="1870" w:type="dxa"/>
            <w:vAlign w:val="center"/>
          </w:tcPr>
          <w:p w14:paraId="5D3E6425" w14:textId="1136AE3E" w:rsidR="00C662E3" w:rsidRPr="00AA3A0A" w:rsidRDefault="00C662E3" w:rsidP="00AA3A0A">
            <w:pPr>
              <w:tabs>
                <w:tab w:val="left" w:pos="1505"/>
              </w:tabs>
              <w:rPr>
                <w:rFonts w:cs="Times New Roman"/>
                <w:color w:val="auto"/>
              </w:rPr>
            </w:pPr>
            <w:r w:rsidRPr="00AA3A0A">
              <w:rPr>
                <w:rFonts w:cs="Times New Roman"/>
                <w:color w:val="auto"/>
              </w:rPr>
              <w:t>0.768</w:t>
            </w:r>
          </w:p>
        </w:tc>
      </w:tr>
    </w:tbl>
    <w:p w14:paraId="07D1AD10" w14:textId="697F3A76" w:rsidR="00E74D14" w:rsidRPr="00AA3A0A" w:rsidRDefault="00EB2BBB" w:rsidP="00AA3A0A">
      <w:pPr>
        <w:tabs>
          <w:tab w:val="left" w:pos="1505"/>
        </w:tabs>
        <w:rPr>
          <w:rFonts w:cs="Times New Roman"/>
          <w:color w:val="auto"/>
          <w:szCs w:val="20"/>
        </w:rPr>
      </w:pPr>
      <w:r w:rsidRPr="00AA3A0A">
        <w:rPr>
          <w:rFonts w:cs="Times New Roman"/>
          <w:color w:val="auto"/>
          <w:szCs w:val="20"/>
        </w:rPr>
        <w:t>All models adjusted for age, sex, smoking status, waist circumference, and BMI (Model 5 in main manuscript). Lag-time analyses excluded participants who experienced an outcome event within the first 1 or 2 years of follow-up. Minimum follow-up analyses restricted the cohort to participants with a total follow-up of ≥1 or ≥2 years regardless of event status. BMI, body mass index; CI, confidence interval; C-index, Harrell's concordance statistic, a measure of model discrimination (range 0.5–1.0); HR, hazard ratio; MACE, major adverse cardiovascular events; VAT/SAT ratio, visceral-to-subcutaneous adipose tissue ratio.</w:t>
      </w:r>
    </w:p>
    <w:bookmarkEnd w:id="22"/>
    <w:p w14:paraId="3044F6D3" w14:textId="77777777" w:rsidR="00E74D14" w:rsidRPr="00AA3A0A" w:rsidRDefault="00E74D14" w:rsidP="00AA3A0A">
      <w:pPr>
        <w:tabs>
          <w:tab w:val="left" w:pos="1505"/>
        </w:tabs>
        <w:rPr>
          <w:rFonts w:cs="Times New Roman"/>
          <w:color w:val="auto"/>
          <w:szCs w:val="20"/>
        </w:rPr>
      </w:pPr>
    </w:p>
    <w:p w14:paraId="28298854" w14:textId="28B9CF37" w:rsidR="00904FEE" w:rsidRPr="00AA3A0A" w:rsidRDefault="00904FEE" w:rsidP="00AA3A0A">
      <w:pPr>
        <w:rPr>
          <w:bCs/>
          <w:color w:val="auto"/>
        </w:rPr>
      </w:pPr>
      <w:r w:rsidRPr="00AA3A0A">
        <w:rPr>
          <w:b/>
          <w:bCs/>
          <w:color w:val="auto"/>
        </w:rPr>
        <w:t xml:space="preserve">Supplemental Table </w:t>
      </w:r>
      <w:r w:rsidR="00E74D14" w:rsidRPr="00AA3A0A">
        <w:rPr>
          <w:b/>
          <w:bCs/>
          <w:color w:val="auto"/>
        </w:rPr>
        <w:t>9</w:t>
      </w:r>
      <w:r w:rsidRPr="00AA3A0A">
        <w:rPr>
          <w:b/>
          <w:bCs/>
          <w:color w:val="auto"/>
        </w:rPr>
        <w:t xml:space="preserve">: </w:t>
      </w:r>
      <w:r w:rsidR="003F5CF9" w:rsidRPr="00AA3A0A">
        <w:rPr>
          <w:b/>
          <w:bCs/>
          <w:color w:val="auto"/>
        </w:rPr>
        <w:t>Adjustment for race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AA3A0A" w:rsidRPr="00AA3A0A" w14:paraId="30BE6A2E" w14:textId="77777777" w:rsidTr="00C522EA">
        <w:trPr>
          <w:trHeight w:val="567"/>
        </w:trPr>
        <w:tc>
          <w:tcPr>
            <w:tcW w:w="1870" w:type="dxa"/>
            <w:tcBorders>
              <w:top w:val="single" w:sz="4" w:space="0" w:color="auto"/>
              <w:bottom w:val="single" w:sz="4" w:space="0" w:color="auto"/>
            </w:tcBorders>
            <w:vAlign w:val="center"/>
          </w:tcPr>
          <w:p w14:paraId="5C5FC865" w14:textId="77777777" w:rsidR="00904FEE" w:rsidRPr="00AA3A0A" w:rsidRDefault="00904FEE" w:rsidP="00AA3A0A">
            <w:pPr>
              <w:tabs>
                <w:tab w:val="left" w:pos="1505"/>
              </w:tabs>
              <w:rPr>
                <w:rFonts w:cs="Times New Roman"/>
                <w:color w:val="auto"/>
              </w:rPr>
            </w:pPr>
            <w:r w:rsidRPr="00AA3A0A">
              <w:rPr>
                <w:rFonts w:cs="Times New Roman"/>
                <w:color w:val="auto"/>
              </w:rPr>
              <w:t>Analysis</w:t>
            </w:r>
          </w:p>
        </w:tc>
        <w:tc>
          <w:tcPr>
            <w:tcW w:w="1870" w:type="dxa"/>
            <w:tcBorders>
              <w:top w:val="single" w:sz="4" w:space="0" w:color="auto"/>
              <w:bottom w:val="single" w:sz="4" w:space="0" w:color="auto"/>
            </w:tcBorders>
            <w:vAlign w:val="center"/>
          </w:tcPr>
          <w:p w14:paraId="6197A846" w14:textId="77777777" w:rsidR="00904FEE" w:rsidRPr="00AA3A0A" w:rsidRDefault="00904FEE" w:rsidP="00AA3A0A">
            <w:pPr>
              <w:tabs>
                <w:tab w:val="left" w:pos="1505"/>
              </w:tabs>
              <w:rPr>
                <w:rFonts w:cs="Times New Roman"/>
                <w:color w:val="auto"/>
              </w:rPr>
            </w:pPr>
            <w:r w:rsidRPr="00AA3A0A">
              <w:rPr>
                <w:rFonts w:cs="Times New Roman"/>
                <w:color w:val="auto"/>
              </w:rPr>
              <w:t>Events</w:t>
            </w:r>
          </w:p>
        </w:tc>
        <w:tc>
          <w:tcPr>
            <w:tcW w:w="1870" w:type="dxa"/>
            <w:tcBorders>
              <w:top w:val="single" w:sz="4" w:space="0" w:color="auto"/>
              <w:bottom w:val="single" w:sz="4" w:space="0" w:color="auto"/>
            </w:tcBorders>
            <w:vAlign w:val="center"/>
          </w:tcPr>
          <w:p w14:paraId="121F809D" w14:textId="77777777" w:rsidR="00904FEE" w:rsidRPr="00AA3A0A" w:rsidRDefault="00904FEE" w:rsidP="00AA3A0A">
            <w:pPr>
              <w:tabs>
                <w:tab w:val="left" w:pos="1505"/>
              </w:tabs>
              <w:rPr>
                <w:rFonts w:cs="Times New Roman"/>
                <w:color w:val="auto"/>
              </w:rPr>
            </w:pPr>
            <w:r w:rsidRPr="00AA3A0A">
              <w:rPr>
                <w:rFonts w:cs="Times New Roman"/>
                <w:color w:val="auto"/>
              </w:rPr>
              <w:t>HR (95% CI)</w:t>
            </w:r>
          </w:p>
        </w:tc>
        <w:tc>
          <w:tcPr>
            <w:tcW w:w="1870" w:type="dxa"/>
            <w:tcBorders>
              <w:top w:val="single" w:sz="4" w:space="0" w:color="auto"/>
              <w:bottom w:val="single" w:sz="4" w:space="0" w:color="auto"/>
            </w:tcBorders>
            <w:vAlign w:val="center"/>
          </w:tcPr>
          <w:p w14:paraId="5D95D230" w14:textId="77777777" w:rsidR="00904FEE" w:rsidRPr="00AA3A0A" w:rsidRDefault="00904FEE" w:rsidP="00AA3A0A">
            <w:pPr>
              <w:tabs>
                <w:tab w:val="left" w:pos="1505"/>
              </w:tabs>
              <w:rPr>
                <w:rFonts w:cs="Times New Roman"/>
                <w:color w:val="auto"/>
              </w:rPr>
            </w:pPr>
            <w:r w:rsidRPr="00AA3A0A">
              <w:rPr>
                <w:rFonts w:cs="Times New Roman"/>
                <w:color w:val="auto"/>
              </w:rPr>
              <w:t>p-value</w:t>
            </w:r>
          </w:p>
        </w:tc>
        <w:tc>
          <w:tcPr>
            <w:tcW w:w="1870" w:type="dxa"/>
            <w:tcBorders>
              <w:top w:val="single" w:sz="4" w:space="0" w:color="auto"/>
              <w:bottom w:val="single" w:sz="4" w:space="0" w:color="auto"/>
            </w:tcBorders>
            <w:vAlign w:val="center"/>
          </w:tcPr>
          <w:p w14:paraId="57AD5C65" w14:textId="77777777" w:rsidR="00904FEE" w:rsidRPr="00AA3A0A" w:rsidRDefault="00904FEE" w:rsidP="00AA3A0A">
            <w:pPr>
              <w:tabs>
                <w:tab w:val="left" w:pos="1505"/>
              </w:tabs>
              <w:rPr>
                <w:rFonts w:cs="Times New Roman"/>
                <w:color w:val="auto"/>
              </w:rPr>
            </w:pPr>
            <w:r w:rsidRPr="00AA3A0A">
              <w:rPr>
                <w:rFonts w:cs="Times New Roman"/>
                <w:color w:val="auto"/>
              </w:rPr>
              <w:t>C-index</w:t>
            </w:r>
          </w:p>
        </w:tc>
      </w:tr>
      <w:tr w:rsidR="00AA3A0A" w:rsidRPr="00AA3A0A" w14:paraId="65CA40EC" w14:textId="77777777" w:rsidTr="00C522EA">
        <w:trPr>
          <w:trHeight w:val="567"/>
        </w:trPr>
        <w:tc>
          <w:tcPr>
            <w:tcW w:w="1870" w:type="dxa"/>
            <w:tcBorders>
              <w:top w:val="single" w:sz="4" w:space="0" w:color="auto"/>
              <w:bottom w:val="single" w:sz="4" w:space="0" w:color="auto"/>
            </w:tcBorders>
            <w:vAlign w:val="center"/>
          </w:tcPr>
          <w:p w14:paraId="13FC383C" w14:textId="77777777" w:rsidR="00904FEE" w:rsidRPr="00AA3A0A" w:rsidRDefault="00904FEE" w:rsidP="00AA3A0A">
            <w:pPr>
              <w:tabs>
                <w:tab w:val="left" w:pos="1505"/>
              </w:tabs>
              <w:rPr>
                <w:rFonts w:cs="Times New Roman"/>
                <w:color w:val="auto"/>
              </w:rPr>
            </w:pPr>
            <w:r w:rsidRPr="00AA3A0A">
              <w:rPr>
                <w:rFonts w:cs="Times New Roman"/>
                <w:color w:val="auto"/>
              </w:rPr>
              <w:lastRenderedPageBreak/>
              <w:t>MACE</w:t>
            </w:r>
          </w:p>
        </w:tc>
        <w:tc>
          <w:tcPr>
            <w:tcW w:w="1870" w:type="dxa"/>
            <w:tcBorders>
              <w:top w:val="single" w:sz="4" w:space="0" w:color="auto"/>
              <w:bottom w:val="single" w:sz="4" w:space="0" w:color="auto"/>
            </w:tcBorders>
            <w:vAlign w:val="center"/>
          </w:tcPr>
          <w:p w14:paraId="4E062140" w14:textId="77777777" w:rsidR="00904FEE" w:rsidRPr="00AA3A0A" w:rsidRDefault="00904FEE"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5C366AB7" w14:textId="77777777" w:rsidR="00904FEE" w:rsidRPr="00AA3A0A" w:rsidRDefault="00904FEE"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2EA8DFD9" w14:textId="77777777" w:rsidR="00904FEE" w:rsidRPr="00AA3A0A" w:rsidRDefault="00904FEE"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1FA05ADB" w14:textId="77777777" w:rsidR="00904FEE" w:rsidRPr="00AA3A0A" w:rsidRDefault="00904FEE" w:rsidP="00AA3A0A">
            <w:pPr>
              <w:tabs>
                <w:tab w:val="left" w:pos="1505"/>
              </w:tabs>
              <w:rPr>
                <w:rFonts w:cs="Times New Roman"/>
                <w:color w:val="auto"/>
              </w:rPr>
            </w:pPr>
          </w:p>
        </w:tc>
      </w:tr>
      <w:tr w:rsidR="00AA3A0A" w:rsidRPr="00AA3A0A" w14:paraId="23A9CC84" w14:textId="77777777" w:rsidTr="00C522EA">
        <w:trPr>
          <w:trHeight w:val="567"/>
        </w:trPr>
        <w:tc>
          <w:tcPr>
            <w:tcW w:w="1870" w:type="dxa"/>
            <w:tcBorders>
              <w:top w:val="single" w:sz="4" w:space="0" w:color="auto"/>
            </w:tcBorders>
            <w:vAlign w:val="center"/>
          </w:tcPr>
          <w:p w14:paraId="1B2994DF" w14:textId="09ED869F" w:rsidR="00904FEE" w:rsidRPr="00AA3A0A" w:rsidRDefault="00904FEE" w:rsidP="00AA3A0A">
            <w:pPr>
              <w:tabs>
                <w:tab w:val="left" w:pos="1505"/>
              </w:tabs>
              <w:rPr>
                <w:rFonts w:cs="Times New Roman"/>
                <w:color w:val="auto"/>
              </w:rPr>
            </w:pPr>
            <w:r w:rsidRPr="00AA3A0A">
              <w:rPr>
                <w:rFonts w:cs="Times New Roman"/>
                <w:color w:val="auto"/>
              </w:rPr>
              <w:t>Primary analysis</w:t>
            </w:r>
          </w:p>
        </w:tc>
        <w:tc>
          <w:tcPr>
            <w:tcW w:w="1870" w:type="dxa"/>
            <w:tcBorders>
              <w:top w:val="single" w:sz="4" w:space="0" w:color="auto"/>
            </w:tcBorders>
            <w:vAlign w:val="center"/>
          </w:tcPr>
          <w:p w14:paraId="25410182" w14:textId="77777777" w:rsidR="00904FEE" w:rsidRPr="00AA3A0A" w:rsidRDefault="00904FEE" w:rsidP="00AA3A0A">
            <w:pPr>
              <w:tabs>
                <w:tab w:val="left" w:pos="1505"/>
              </w:tabs>
              <w:rPr>
                <w:rFonts w:cs="Times New Roman"/>
                <w:color w:val="auto"/>
              </w:rPr>
            </w:pPr>
            <w:r w:rsidRPr="00AA3A0A">
              <w:rPr>
                <w:rFonts w:cs="Times New Roman"/>
                <w:color w:val="auto"/>
              </w:rPr>
              <w:t>297/22040 (1.35%)</w:t>
            </w:r>
          </w:p>
        </w:tc>
        <w:tc>
          <w:tcPr>
            <w:tcW w:w="1870" w:type="dxa"/>
            <w:tcBorders>
              <w:top w:val="single" w:sz="4" w:space="0" w:color="auto"/>
            </w:tcBorders>
            <w:vAlign w:val="center"/>
          </w:tcPr>
          <w:p w14:paraId="49E3B18A" w14:textId="77777777" w:rsidR="00904FEE" w:rsidRPr="00AA3A0A" w:rsidRDefault="00904FEE" w:rsidP="00AA3A0A">
            <w:pPr>
              <w:tabs>
                <w:tab w:val="left" w:pos="1505"/>
              </w:tabs>
              <w:rPr>
                <w:rFonts w:cs="Times New Roman"/>
                <w:color w:val="auto"/>
              </w:rPr>
            </w:pPr>
            <w:r w:rsidRPr="00AA3A0A">
              <w:rPr>
                <w:rFonts w:cs="Times New Roman"/>
                <w:color w:val="auto"/>
              </w:rPr>
              <w:t>1.30 (1.02-1.66)</w:t>
            </w:r>
          </w:p>
        </w:tc>
        <w:tc>
          <w:tcPr>
            <w:tcW w:w="1870" w:type="dxa"/>
            <w:tcBorders>
              <w:top w:val="single" w:sz="4" w:space="0" w:color="auto"/>
            </w:tcBorders>
            <w:vAlign w:val="center"/>
          </w:tcPr>
          <w:p w14:paraId="3F1EE8C1" w14:textId="77777777" w:rsidR="00904FEE" w:rsidRPr="00AA3A0A" w:rsidRDefault="00904FEE" w:rsidP="00AA3A0A">
            <w:pPr>
              <w:tabs>
                <w:tab w:val="left" w:pos="1505"/>
              </w:tabs>
              <w:rPr>
                <w:rFonts w:cs="Times New Roman"/>
                <w:color w:val="auto"/>
              </w:rPr>
            </w:pPr>
            <w:r w:rsidRPr="00AA3A0A">
              <w:rPr>
                <w:rFonts w:cs="Times New Roman"/>
                <w:color w:val="auto"/>
              </w:rPr>
              <w:t>0.037</w:t>
            </w:r>
          </w:p>
        </w:tc>
        <w:tc>
          <w:tcPr>
            <w:tcW w:w="1870" w:type="dxa"/>
            <w:tcBorders>
              <w:top w:val="single" w:sz="4" w:space="0" w:color="auto"/>
            </w:tcBorders>
            <w:vAlign w:val="center"/>
          </w:tcPr>
          <w:p w14:paraId="1FD403FD" w14:textId="77777777" w:rsidR="00904FEE" w:rsidRPr="00AA3A0A" w:rsidRDefault="00904FEE" w:rsidP="00AA3A0A">
            <w:pPr>
              <w:tabs>
                <w:tab w:val="left" w:pos="1505"/>
              </w:tabs>
              <w:rPr>
                <w:rFonts w:cs="Times New Roman"/>
                <w:color w:val="auto"/>
              </w:rPr>
            </w:pPr>
            <w:r w:rsidRPr="00AA3A0A">
              <w:rPr>
                <w:rFonts w:cs="Times New Roman"/>
                <w:color w:val="auto"/>
              </w:rPr>
              <w:t>0.694</w:t>
            </w:r>
          </w:p>
        </w:tc>
      </w:tr>
      <w:tr w:rsidR="00AA3A0A" w:rsidRPr="00AA3A0A" w14:paraId="757EC7A5" w14:textId="77777777" w:rsidTr="00C522EA">
        <w:trPr>
          <w:trHeight w:val="567"/>
        </w:trPr>
        <w:tc>
          <w:tcPr>
            <w:tcW w:w="1870" w:type="dxa"/>
            <w:tcBorders>
              <w:bottom w:val="single" w:sz="4" w:space="0" w:color="auto"/>
            </w:tcBorders>
            <w:vAlign w:val="center"/>
          </w:tcPr>
          <w:p w14:paraId="4417A1FE" w14:textId="0D315F74" w:rsidR="00904FEE" w:rsidRPr="00AA3A0A" w:rsidRDefault="00904FEE" w:rsidP="00AA3A0A">
            <w:pPr>
              <w:tabs>
                <w:tab w:val="left" w:pos="1505"/>
              </w:tabs>
              <w:rPr>
                <w:rFonts w:cs="Times New Roman"/>
                <w:color w:val="auto"/>
              </w:rPr>
            </w:pPr>
            <w:r w:rsidRPr="00AA3A0A">
              <w:rPr>
                <w:rFonts w:cs="Times New Roman"/>
                <w:color w:val="auto"/>
              </w:rPr>
              <w:t>Adjusted for race</w:t>
            </w:r>
          </w:p>
        </w:tc>
        <w:tc>
          <w:tcPr>
            <w:tcW w:w="1870" w:type="dxa"/>
            <w:tcBorders>
              <w:bottom w:val="single" w:sz="4" w:space="0" w:color="auto"/>
            </w:tcBorders>
            <w:vAlign w:val="center"/>
          </w:tcPr>
          <w:p w14:paraId="59AE7666" w14:textId="758F9944" w:rsidR="00904FEE" w:rsidRPr="00AA3A0A" w:rsidRDefault="00904FEE" w:rsidP="00AA3A0A">
            <w:pPr>
              <w:tabs>
                <w:tab w:val="left" w:pos="1505"/>
              </w:tabs>
              <w:rPr>
                <w:rFonts w:cs="Times New Roman"/>
                <w:color w:val="auto"/>
              </w:rPr>
            </w:pPr>
            <w:r w:rsidRPr="00AA3A0A">
              <w:rPr>
                <w:rFonts w:cs="Times New Roman"/>
                <w:color w:val="auto"/>
              </w:rPr>
              <w:t>297/21980 (</w:t>
            </w:r>
            <w:r w:rsidR="00341B1D" w:rsidRPr="00AA3A0A">
              <w:rPr>
                <w:rFonts w:cs="Times New Roman"/>
                <w:color w:val="auto"/>
              </w:rPr>
              <w:t>1.35</w:t>
            </w:r>
            <w:r w:rsidRPr="00AA3A0A">
              <w:rPr>
                <w:rFonts w:cs="Times New Roman"/>
                <w:color w:val="auto"/>
              </w:rPr>
              <w:t>%)</w:t>
            </w:r>
          </w:p>
        </w:tc>
        <w:tc>
          <w:tcPr>
            <w:tcW w:w="1870" w:type="dxa"/>
            <w:tcBorders>
              <w:bottom w:val="single" w:sz="4" w:space="0" w:color="auto"/>
            </w:tcBorders>
            <w:vAlign w:val="center"/>
          </w:tcPr>
          <w:p w14:paraId="1500FAD4" w14:textId="3F343DE5" w:rsidR="00904FEE" w:rsidRPr="00AA3A0A" w:rsidRDefault="00904FEE" w:rsidP="00AA3A0A">
            <w:pPr>
              <w:tabs>
                <w:tab w:val="left" w:pos="1505"/>
              </w:tabs>
              <w:rPr>
                <w:rFonts w:cs="Times New Roman"/>
                <w:color w:val="auto"/>
              </w:rPr>
            </w:pPr>
            <w:r w:rsidRPr="00AA3A0A">
              <w:rPr>
                <w:rFonts w:cs="Times New Roman"/>
                <w:color w:val="auto"/>
              </w:rPr>
              <w:t>1.30 (1.01-1.66)</w:t>
            </w:r>
          </w:p>
        </w:tc>
        <w:tc>
          <w:tcPr>
            <w:tcW w:w="1870" w:type="dxa"/>
            <w:tcBorders>
              <w:bottom w:val="single" w:sz="4" w:space="0" w:color="auto"/>
            </w:tcBorders>
            <w:vAlign w:val="center"/>
          </w:tcPr>
          <w:p w14:paraId="61A34D56" w14:textId="3E1F6D86" w:rsidR="00904FEE" w:rsidRPr="00AA3A0A" w:rsidRDefault="00904FEE" w:rsidP="00AA3A0A">
            <w:pPr>
              <w:tabs>
                <w:tab w:val="left" w:pos="1505"/>
              </w:tabs>
              <w:rPr>
                <w:rFonts w:cs="Times New Roman"/>
                <w:color w:val="auto"/>
              </w:rPr>
            </w:pPr>
            <w:r w:rsidRPr="00AA3A0A">
              <w:rPr>
                <w:rFonts w:cs="Times New Roman"/>
                <w:color w:val="auto"/>
              </w:rPr>
              <w:t>0.038</w:t>
            </w:r>
          </w:p>
        </w:tc>
        <w:tc>
          <w:tcPr>
            <w:tcW w:w="1870" w:type="dxa"/>
            <w:tcBorders>
              <w:bottom w:val="single" w:sz="4" w:space="0" w:color="auto"/>
            </w:tcBorders>
            <w:vAlign w:val="center"/>
          </w:tcPr>
          <w:p w14:paraId="50DAD088" w14:textId="770B5494" w:rsidR="00904FEE" w:rsidRPr="00AA3A0A" w:rsidRDefault="00904FEE" w:rsidP="00AA3A0A">
            <w:pPr>
              <w:tabs>
                <w:tab w:val="left" w:pos="1505"/>
              </w:tabs>
              <w:rPr>
                <w:rFonts w:cs="Times New Roman"/>
                <w:color w:val="auto"/>
              </w:rPr>
            </w:pPr>
            <w:r w:rsidRPr="00AA3A0A">
              <w:rPr>
                <w:rFonts w:cs="Times New Roman"/>
                <w:color w:val="auto"/>
              </w:rPr>
              <w:t>0.694</w:t>
            </w:r>
          </w:p>
        </w:tc>
      </w:tr>
      <w:tr w:rsidR="00AA3A0A" w:rsidRPr="00AA3A0A" w14:paraId="6F70B8B8" w14:textId="77777777" w:rsidTr="00C522EA">
        <w:trPr>
          <w:trHeight w:val="567"/>
        </w:trPr>
        <w:tc>
          <w:tcPr>
            <w:tcW w:w="1870" w:type="dxa"/>
            <w:tcBorders>
              <w:top w:val="single" w:sz="4" w:space="0" w:color="auto"/>
              <w:bottom w:val="single" w:sz="4" w:space="0" w:color="auto"/>
            </w:tcBorders>
            <w:vAlign w:val="center"/>
          </w:tcPr>
          <w:p w14:paraId="1BBE07C5" w14:textId="78522E91" w:rsidR="00904FEE" w:rsidRPr="00AA3A0A" w:rsidRDefault="00904FEE" w:rsidP="00AA3A0A">
            <w:pPr>
              <w:tabs>
                <w:tab w:val="left" w:pos="1505"/>
              </w:tabs>
              <w:rPr>
                <w:rFonts w:cs="Times New Roman"/>
                <w:color w:val="auto"/>
              </w:rPr>
            </w:pPr>
            <w:r w:rsidRPr="00AA3A0A">
              <w:rPr>
                <w:rFonts w:cs="Times New Roman"/>
                <w:color w:val="auto"/>
              </w:rPr>
              <w:t>Diabetes</w:t>
            </w:r>
          </w:p>
        </w:tc>
        <w:tc>
          <w:tcPr>
            <w:tcW w:w="1870" w:type="dxa"/>
            <w:tcBorders>
              <w:top w:val="single" w:sz="4" w:space="0" w:color="auto"/>
              <w:bottom w:val="single" w:sz="4" w:space="0" w:color="auto"/>
            </w:tcBorders>
            <w:vAlign w:val="center"/>
          </w:tcPr>
          <w:p w14:paraId="643CC9BC" w14:textId="77777777" w:rsidR="00904FEE" w:rsidRPr="00AA3A0A" w:rsidRDefault="00904FEE"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0B1421D8" w14:textId="77777777" w:rsidR="00904FEE" w:rsidRPr="00AA3A0A" w:rsidRDefault="00904FEE"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1E630834" w14:textId="77777777" w:rsidR="00904FEE" w:rsidRPr="00AA3A0A" w:rsidRDefault="00904FEE" w:rsidP="00AA3A0A">
            <w:pPr>
              <w:tabs>
                <w:tab w:val="left" w:pos="1505"/>
              </w:tabs>
              <w:rPr>
                <w:rFonts w:cs="Times New Roman"/>
                <w:color w:val="auto"/>
              </w:rPr>
            </w:pPr>
          </w:p>
        </w:tc>
        <w:tc>
          <w:tcPr>
            <w:tcW w:w="1870" w:type="dxa"/>
            <w:tcBorders>
              <w:top w:val="single" w:sz="4" w:space="0" w:color="auto"/>
              <w:bottom w:val="single" w:sz="4" w:space="0" w:color="auto"/>
            </w:tcBorders>
            <w:vAlign w:val="center"/>
          </w:tcPr>
          <w:p w14:paraId="583E7739" w14:textId="77777777" w:rsidR="00904FEE" w:rsidRPr="00AA3A0A" w:rsidRDefault="00904FEE" w:rsidP="00AA3A0A">
            <w:pPr>
              <w:tabs>
                <w:tab w:val="left" w:pos="1505"/>
              </w:tabs>
              <w:rPr>
                <w:rFonts w:cs="Times New Roman"/>
                <w:color w:val="auto"/>
              </w:rPr>
            </w:pPr>
          </w:p>
        </w:tc>
      </w:tr>
      <w:tr w:rsidR="00AA3A0A" w:rsidRPr="00AA3A0A" w14:paraId="783B1355" w14:textId="77777777" w:rsidTr="00C522EA">
        <w:trPr>
          <w:trHeight w:val="567"/>
        </w:trPr>
        <w:tc>
          <w:tcPr>
            <w:tcW w:w="1870" w:type="dxa"/>
            <w:tcBorders>
              <w:top w:val="single" w:sz="4" w:space="0" w:color="auto"/>
            </w:tcBorders>
            <w:vAlign w:val="center"/>
          </w:tcPr>
          <w:p w14:paraId="526B6414" w14:textId="03D16259" w:rsidR="00904FEE" w:rsidRPr="00AA3A0A" w:rsidRDefault="00904FEE" w:rsidP="00AA3A0A">
            <w:pPr>
              <w:tabs>
                <w:tab w:val="left" w:pos="1505"/>
              </w:tabs>
              <w:rPr>
                <w:rFonts w:cs="Times New Roman"/>
                <w:color w:val="auto"/>
              </w:rPr>
            </w:pPr>
            <w:r w:rsidRPr="00AA3A0A">
              <w:rPr>
                <w:rFonts w:cs="Times New Roman"/>
                <w:color w:val="auto"/>
              </w:rPr>
              <w:t>Primary analysis</w:t>
            </w:r>
          </w:p>
        </w:tc>
        <w:tc>
          <w:tcPr>
            <w:tcW w:w="1870" w:type="dxa"/>
            <w:tcBorders>
              <w:top w:val="single" w:sz="4" w:space="0" w:color="auto"/>
            </w:tcBorders>
            <w:vAlign w:val="center"/>
          </w:tcPr>
          <w:p w14:paraId="7CEB2934" w14:textId="77777777" w:rsidR="00904FEE" w:rsidRPr="00AA3A0A" w:rsidRDefault="00904FEE" w:rsidP="00AA3A0A">
            <w:pPr>
              <w:tabs>
                <w:tab w:val="left" w:pos="1505"/>
              </w:tabs>
              <w:rPr>
                <w:rFonts w:cs="Times New Roman"/>
                <w:color w:val="auto"/>
              </w:rPr>
            </w:pPr>
            <w:r w:rsidRPr="00AA3A0A">
              <w:rPr>
                <w:rFonts w:cs="Times New Roman"/>
                <w:color w:val="auto"/>
              </w:rPr>
              <w:t>251/22040 (1.14%)</w:t>
            </w:r>
          </w:p>
        </w:tc>
        <w:tc>
          <w:tcPr>
            <w:tcW w:w="1870" w:type="dxa"/>
            <w:tcBorders>
              <w:top w:val="single" w:sz="4" w:space="0" w:color="auto"/>
            </w:tcBorders>
            <w:vAlign w:val="center"/>
          </w:tcPr>
          <w:p w14:paraId="6498BD34" w14:textId="77777777" w:rsidR="00904FEE" w:rsidRPr="00AA3A0A" w:rsidRDefault="00904FEE" w:rsidP="00AA3A0A">
            <w:pPr>
              <w:tabs>
                <w:tab w:val="left" w:pos="1505"/>
              </w:tabs>
              <w:rPr>
                <w:rFonts w:cs="Times New Roman"/>
                <w:color w:val="auto"/>
              </w:rPr>
            </w:pPr>
            <w:r w:rsidRPr="00AA3A0A">
              <w:rPr>
                <w:rFonts w:cs="Times New Roman"/>
                <w:color w:val="auto"/>
              </w:rPr>
              <w:t>1.77 (1.34-2.33)</w:t>
            </w:r>
          </w:p>
        </w:tc>
        <w:tc>
          <w:tcPr>
            <w:tcW w:w="1870" w:type="dxa"/>
            <w:tcBorders>
              <w:top w:val="single" w:sz="4" w:space="0" w:color="auto"/>
            </w:tcBorders>
            <w:vAlign w:val="center"/>
          </w:tcPr>
          <w:p w14:paraId="529F63E8" w14:textId="77777777" w:rsidR="00904FEE" w:rsidRPr="00AA3A0A" w:rsidRDefault="00904FEE" w:rsidP="00AA3A0A">
            <w:pPr>
              <w:tabs>
                <w:tab w:val="left" w:pos="1505"/>
              </w:tabs>
              <w:rPr>
                <w:rFonts w:cs="Times New Roman"/>
                <w:color w:val="auto"/>
              </w:rPr>
            </w:pPr>
            <w:r w:rsidRPr="00AA3A0A">
              <w:rPr>
                <w:rFonts w:cs="Times New Roman"/>
                <w:color w:val="auto"/>
              </w:rPr>
              <w:t>&lt;0.001</w:t>
            </w:r>
          </w:p>
        </w:tc>
        <w:tc>
          <w:tcPr>
            <w:tcW w:w="1870" w:type="dxa"/>
            <w:tcBorders>
              <w:top w:val="single" w:sz="4" w:space="0" w:color="auto"/>
            </w:tcBorders>
            <w:vAlign w:val="center"/>
          </w:tcPr>
          <w:p w14:paraId="47C8AA53" w14:textId="77777777" w:rsidR="00904FEE" w:rsidRPr="00AA3A0A" w:rsidRDefault="00904FEE" w:rsidP="00AA3A0A">
            <w:pPr>
              <w:tabs>
                <w:tab w:val="left" w:pos="1505"/>
              </w:tabs>
              <w:rPr>
                <w:rFonts w:cs="Times New Roman"/>
                <w:color w:val="auto"/>
              </w:rPr>
            </w:pPr>
            <w:r w:rsidRPr="00AA3A0A">
              <w:rPr>
                <w:rFonts w:cs="Times New Roman"/>
                <w:color w:val="auto"/>
              </w:rPr>
              <w:t>0.723</w:t>
            </w:r>
          </w:p>
        </w:tc>
      </w:tr>
      <w:tr w:rsidR="00AA3A0A" w:rsidRPr="00AA3A0A" w14:paraId="00C9F6F9" w14:textId="77777777" w:rsidTr="00C522EA">
        <w:trPr>
          <w:trHeight w:val="567"/>
        </w:trPr>
        <w:tc>
          <w:tcPr>
            <w:tcW w:w="1870" w:type="dxa"/>
            <w:vAlign w:val="center"/>
          </w:tcPr>
          <w:p w14:paraId="0D619446" w14:textId="12B69294" w:rsidR="00904FEE" w:rsidRPr="00AA3A0A" w:rsidRDefault="00904FEE" w:rsidP="00AA3A0A">
            <w:pPr>
              <w:tabs>
                <w:tab w:val="left" w:pos="1505"/>
              </w:tabs>
              <w:rPr>
                <w:rFonts w:cs="Times New Roman"/>
                <w:color w:val="auto"/>
              </w:rPr>
            </w:pPr>
            <w:r w:rsidRPr="00AA3A0A">
              <w:rPr>
                <w:rFonts w:cs="Times New Roman"/>
                <w:color w:val="auto"/>
              </w:rPr>
              <w:t>Adjusted for race</w:t>
            </w:r>
          </w:p>
        </w:tc>
        <w:tc>
          <w:tcPr>
            <w:tcW w:w="1870" w:type="dxa"/>
            <w:vAlign w:val="center"/>
          </w:tcPr>
          <w:p w14:paraId="73820696" w14:textId="2605DFA3" w:rsidR="00904FEE" w:rsidRPr="00AA3A0A" w:rsidRDefault="00904FEE" w:rsidP="00AA3A0A">
            <w:pPr>
              <w:tabs>
                <w:tab w:val="left" w:pos="1505"/>
              </w:tabs>
              <w:rPr>
                <w:rFonts w:cs="Times New Roman"/>
                <w:color w:val="auto"/>
              </w:rPr>
            </w:pPr>
            <w:r w:rsidRPr="00AA3A0A">
              <w:rPr>
                <w:rFonts w:cs="Times New Roman"/>
                <w:color w:val="auto"/>
              </w:rPr>
              <w:t>250/21980 (</w:t>
            </w:r>
            <w:r w:rsidR="00341B1D" w:rsidRPr="00AA3A0A">
              <w:rPr>
                <w:rFonts w:cs="Times New Roman"/>
                <w:color w:val="auto"/>
              </w:rPr>
              <w:t>1.14</w:t>
            </w:r>
            <w:r w:rsidRPr="00AA3A0A">
              <w:rPr>
                <w:rFonts w:cs="Times New Roman"/>
                <w:color w:val="auto"/>
              </w:rPr>
              <w:t>%)</w:t>
            </w:r>
          </w:p>
        </w:tc>
        <w:tc>
          <w:tcPr>
            <w:tcW w:w="1870" w:type="dxa"/>
            <w:vAlign w:val="center"/>
          </w:tcPr>
          <w:p w14:paraId="5E439B6E" w14:textId="0908F1EA" w:rsidR="00904FEE" w:rsidRPr="00AA3A0A" w:rsidRDefault="00904FEE" w:rsidP="00AA3A0A">
            <w:pPr>
              <w:tabs>
                <w:tab w:val="left" w:pos="1505"/>
              </w:tabs>
              <w:rPr>
                <w:rFonts w:cs="Times New Roman"/>
                <w:color w:val="auto"/>
              </w:rPr>
            </w:pPr>
            <w:r w:rsidRPr="00AA3A0A">
              <w:rPr>
                <w:rFonts w:cs="Times New Roman"/>
                <w:color w:val="auto"/>
              </w:rPr>
              <w:t>1.80 (1.37-2.38)</w:t>
            </w:r>
          </w:p>
        </w:tc>
        <w:tc>
          <w:tcPr>
            <w:tcW w:w="1870" w:type="dxa"/>
            <w:vAlign w:val="center"/>
          </w:tcPr>
          <w:p w14:paraId="62AEBD60" w14:textId="67683497" w:rsidR="00904FEE" w:rsidRPr="00AA3A0A" w:rsidRDefault="00904FEE" w:rsidP="00AA3A0A">
            <w:pPr>
              <w:tabs>
                <w:tab w:val="left" w:pos="1505"/>
              </w:tabs>
              <w:rPr>
                <w:rFonts w:cs="Times New Roman"/>
                <w:color w:val="auto"/>
              </w:rPr>
            </w:pPr>
            <w:r w:rsidRPr="00AA3A0A">
              <w:rPr>
                <w:rFonts w:cs="Times New Roman"/>
                <w:color w:val="auto"/>
              </w:rPr>
              <w:t>&lt;0.001</w:t>
            </w:r>
          </w:p>
        </w:tc>
        <w:tc>
          <w:tcPr>
            <w:tcW w:w="1870" w:type="dxa"/>
            <w:vAlign w:val="center"/>
          </w:tcPr>
          <w:p w14:paraId="64A3F3B9" w14:textId="755A1D3F" w:rsidR="00904FEE" w:rsidRPr="00AA3A0A" w:rsidRDefault="00904FEE" w:rsidP="00AA3A0A">
            <w:pPr>
              <w:tabs>
                <w:tab w:val="left" w:pos="1505"/>
              </w:tabs>
              <w:rPr>
                <w:rFonts w:cs="Times New Roman"/>
                <w:color w:val="auto"/>
              </w:rPr>
            </w:pPr>
            <w:r w:rsidRPr="00AA3A0A">
              <w:rPr>
                <w:rFonts w:cs="Times New Roman"/>
                <w:color w:val="auto"/>
              </w:rPr>
              <w:t>0.733</w:t>
            </w:r>
          </w:p>
        </w:tc>
      </w:tr>
    </w:tbl>
    <w:p w14:paraId="71CF9508" w14:textId="47704AE2" w:rsidR="003F73BC" w:rsidRPr="00AA3A0A" w:rsidRDefault="00933ED2" w:rsidP="00AA3A0A">
      <w:pPr>
        <w:tabs>
          <w:tab w:val="left" w:pos="1505"/>
        </w:tabs>
        <w:rPr>
          <w:rFonts w:cs="Times New Roman"/>
          <w:color w:val="auto"/>
        </w:rPr>
      </w:pPr>
      <w:r w:rsidRPr="00AA3A0A">
        <w:rPr>
          <w:rFonts w:cs="Times New Roman"/>
          <w:color w:val="auto"/>
          <w:szCs w:val="20"/>
        </w:rPr>
        <w:t>All models adjusted for age, sex, smoking status, waist circumference, and BMI (Model 5 in main manuscript). Race</w:t>
      </w:r>
      <w:r w:rsidR="00C75972" w:rsidRPr="00AA3A0A">
        <w:rPr>
          <w:rFonts w:cs="Times New Roman"/>
          <w:color w:val="auto"/>
          <w:szCs w:val="20"/>
        </w:rPr>
        <w:t>-</w:t>
      </w:r>
      <w:r w:rsidRPr="00AA3A0A">
        <w:rPr>
          <w:rFonts w:cs="Times New Roman"/>
          <w:color w:val="auto"/>
          <w:szCs w:val="20"/>
        </w:rPr>
        <w:t>adjust</w:t>
      </w:r>
      <w:r w:rsidR="00C75972" w:rsidRPr="00AA3A0A">
        <w:rPr>
          <w:rFonts w:cs="Times New Roman"/>
          <w:color w:val="auto"/>
          <w:szCs w:val="20"/>
        </w:rPr>
        <w:t xml:space="preserve">ed </w:t>
      </w:r>
      <w:r w:rsidRPr="00AA3A0A">
        <w:rPr>
          <w:rFonts w:cs="Times New Roman"/>
          <w:color w:val="auto"/>
          <w:szCs w:val="20"/>
        </w:rPr>
        <w:t>model additionally includes self-reported race (white vs. non-white)</w:t>
      </w:r>
      <w:r w:rsidR="00C75972" w:rsidRPr="00AA3A0A">
        <w:rPr>
          <w:rFonts w:cs="Times New Roman"/>
          <w:color w:val="auto"/>
          <w:szCs w:val="20"/>
        </w:rPr>
        <w:t xml:space="preserve">, which </w:t>
      </w:r>
      <w:r w:rsidRPr="00AA3A0A">
        <w:rPr>
          <w:rFonts w:cs="Times New Roman"/>
          <w:color w:val="auto"/>
          <w:szCs w:val="20"/>
        </w:rPr>
        <w:t>was available for 21,980 of 22,040 participants (99.7%). BMI, body mass index; CI, confidence interval; C-index, Harrell's concordance statistic, a measure of model discrimination (range 0.5–1.0); HR, hazard ratio; MACE, major adverse cardiovascular events; VAT/SAT ratio, visceral-to-subcutaneous adipose tissue ratio.</w:t>
      </w:r>
    </w:p>
    <w:p w14:paraId="1F7794D1" w14:textId="16A85E99" w:rsidR="009A466C" w:rsidRPr="00AA3A0A" w:rsidRDefault="007E04A7" w:rsidP="00AA3A0A">
      <w:pPr>
        <w:pStyle w:val="Heading2"/>
        <w:rPr>
          <w:rFonts w:cs="Times New Roman"/>
          <w:color w:val="auto"/>
          <w:lang w:val="en-GB"/>
        </w:rPr>
      </w:pPr>
      <w:bookmarkStart w:id="23" w:name="_Toc231931593"/>
      <w:r w:rsidRPr="00AA3A0A">
        <w:rPr>
          <w:rFonts w:cs="Times New Roman"/>
          <w:color w:val="auto"/>
          <w:lang w:val="en-GB"/>
        </w:rPr>
        <w:t>IV</w:t>
      </w:r>
      <w:r w:rsidRPr="00AA3A0A">
        <w:rPr>
          <w:rFonts w:cs="Times New Roman"/>
          <w:color w:val="auto"/>
          <w:lang w:val="en-GB"/>
        </w:rPr>
        <w:tab/>
      </w:r>
      <w:r w:rsidR="009A466C" w:rsidRPr="00AA3A0A">
        <w:rPr>
          <w:rFonts w:cs="Times New Roman"/>
          <w:color w:val="auto"/>
          <w:lang w:val="en-GB"/>
        </w:rPr>
        <w:t>SUPPLEMENTAL FIGURES</w:t>
      </w:r>
      <w:bookmarkEnd w:id="23"/>
    </w:p>
    <w:p w14:paraId="4193435D" w14:textId="77777777" w:rsidR="00263E89" w:rsidRPr="00AA3A0A" w:rsidRDefault="00263E89" w:rsidP="00AA3A0A">
      <w:pPr>
        <w:rPr>
          <w:color w:val="auto"/>
          <w:lang w:val="en-GB"/>
        </w:rPr>
      </w:pPr>
    </w:p>
    <w:p w14:paraId="202587CA" w14:textId="2167058A" w:rsidR="00263E89" w:rsidRPr="00AA3A0A" w:rsidRDefault="00263E89" w:rsidP="00AA3A0A">
      <w:pPr>
        <w:rPr>
          <w:color w:val="auto"/>
          <w:lang w:val="en-GB"/>
        </w:rPr>
      </w:pPr>
      <w:r w:rsidRPr="00AA3A0A">
        <w:rPr>
          <w:noProof/>
          <w:color w:val="auto"/>
          <w:lang w:val="en-IN" w:eastAsia="en-IN"/>
        </w:rPr>
        <w:lastRenderedPageBreak/>
        <w:drawing>
          <wp:inline distT="0" distB="0" distL="0" distR="0" wp14:anchorId="084C53A8" wp14:editId="16047B79">
            <wp:extent cx="4665785" cy="6739699"/>
            <wp:effectExtent l="0" t="0" r="0" b="4445"/>
            <wp:docPr id="79875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8577" name="Picture 7987585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4256" cy="6795270"/>
                    </a:xfrm>
                    <a:prstGeom prst="rect">
                      <a:avLst/>
                    </a:prstGeom>
                  </pic:spPr>
                </pic:pic>
              </a:graphicData>
            </a:graphic>
          </wp:inline>
        </w:drawing>
      </w:r>
    </w:p>
    <w:p w14:paraId="268DE519" w14:textId="5E2713E6" w:rsidR="00731839" w:rsidRPr="00AA3A0A" w:rsidRDefault="009A466C" w:rsidP="00AA3A0A">
      <w:pPr>
        <w:rPr>
          <w:bCs/>
          <w:color w:val="auto"/>
          <w:lang w:val="en-GB"/>
        </w:rPr>
      </w:pPr>
      <w:r w:rsidRPr="00AA3A0A">
        <w:rPr>
          <w:b/>
          <w:bCs/>
          <w:color w:val="auto"/>
          <w:lang w:val="en-GB"/>
        </w:rPr>
        <w:t xml:space="preserve">Supplemental Figure </w:t>
      </w:r>
      <w:r w:rsidR="00CD0668" w:rsidRPr="00AA3A0A">
        <w:rPr>
          <w:b/>
          <w:bCs/>
          <w:color w:val="auto"/>
          <w:lang w:val="en-GB"/>
        </w:rPr>
        <w:t>1</w:t>
      </w:r>
      <w:r w:rsidRPr="00AA3A0A">
        <w:rPr>
          <w:b/>
          <w:bCs/>
          <w:color w:val="auto"/>
          <w:lang w:val="en-GB"/>
        </w:rPr>
        <w:t xml:space="preserve">: </w:t>
      </w:r>
      <w:r w:rsidR="007B0AF8" w:rsidRPr="00AA3A0A">
        <w:rPr>
          <w:b/>
          <w:bCs/>
          <w:color w:val="auto"/>
          <w:lang w:val="en-GB"/>
        </w:rPr>
        <w:t>Participant flowchart</w:t>
      </w:r>
      <w:r w:rsidRPr="00AA3A0A">
        <w:rPr>
          <w:b/>
          <w:bCs/>
          <w:color w:val="auto"/>
          <w:lang w:val="en-GB"/>
        </w:rPr>
        <w:t xml:space="preserve"> – </w:t>
      </w:r>
      <w:r w:rsidR="00432713" w:rsidRPr="00AA3A0A">
        <w:rPr>
          <w:b/>
          <w:bCs/>
          <w:color w:val="auto"/>
          <w:lang w:val="en-GB"/>
        </w:rPr>
        <w:t>NAKO</w:t>
      </w:r>
    </w:p>
    <w:p w14:paraId="482231DC" w14:textId="77777777" w:rsidR="00263E89" w:rsidRPr="00AA3A0A" w:rsidRDefault="00432713" w:rsidP="00AA3A0A">
      <w:pPr>
        <w:rPr>
          <w:rFonts w:ascii="Arial" w:hAnsi="Arial" w:cs="Arial"/>
          <w:color w:val="auto"/>
          <w:lang w:val="en-GB"/>
        </w:rPr>
      </w:pPr>
      <w:r w:rsidRPr="00AA3A0A">
        <w:rPr>
          <w:rFonts w:cs="Times New Roman"/>
          <w:color w:val="auto"/>
          <w:lang w:val="en-GB"/>
        </w:rPr>
        <w:t>Flowchart demonstrating participant selection and exclusion criteria in the NAKO cohort. 3D BC, three-dimensional body composition; BMI, body mass index; MACE, major adverse cardiovascular events; MRI, magnetic resonance imaging; NAKO, German National Cohort; SAT subcutaneous adipose tissue; VAT, visceral adipose tissue.</w:t>
      </w:r>
      <w:r w:rsidRPr="00AA3A0A">
        <w:rPr>
          <w:rFonts w:ascii="Arial" w:hAnsi="Arial" w:cs="Arial"/>
          <w:color w:val="auto"/>
          <w:lang w:val="en-GB"/>
        </w:rPr>
        <w:t xml:space="preserve"> </w:t>
      </w:r>
    </w:p>
    <w:p w14:paraId="68713070" w14:textId="77777777" w:rsidR="00C662E3" w:rsidRPr="00AA3A0A" w:rsidRDefault="00C662E3" w:rsidP="00AA3A0A">
      <w:pPr>
        <w:rPr>
          <w:rFonts w:ascii="Arial" w:hAnsi="Arial" w:cs="Arial"/>
          <w:color w:val="auto"/>
          <w:lang w:val="en-GB"/>
        </w:rPr>
      </w:pPr>
    </w:p>
    <w:p w14:paraId="09B11E18" w14:textId="05E81E72" w:rsidR="00D70620" w:rsidRPr="00AA3A0A" w:rsidRDefault="00686F51" w:rsidP="00AA3A0A">
      <w:pPr>
        <w:rPr>
          <w:b/>
          <w:bCs/>
          <w:color w:val="auto"/>
          <w:lang w:val="en-GB"/>
        </w:rPr>
      </w:pPr>
      <w:bookmarkStart w:id="24" w:name="_Hlk231977577"/>
      <w:r w:rsidRPr="00AA3A0A">
        <w:rPr>
          <w:b/>
          <w:bCs/>
          <w:noProof/>
          <w:color w:val="auto"/>
          <w:lang w:val="en-IN" w:eastAsia="en-IN"/>
        </w:rPr>
        <w:lastRenderedPageBreak/>
        <w:drawing>
          <wp:inline distT="0" distB="0" distL="0" distR="0" wp14:anchorId="34E4BA21" wp14:editId="3FDE3D7D">
            <wp:extent cx="551180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511800" cy="4953000"/>
                    </a:xfrm>
                    <a:prstGeom prst="rect">
                      <a:avLst/>
                    </a:prstGeom>
                  </pic:spPr>
                </pic:pic>
              </a:graphicData>
            </a:graphic>
          </wp:inline>
        </w:drawing>
      </w:r>
    </w:p>
    <w:p w14:paraId="6FC35CE3" w14:textId="6313CD20" w:rsidR="002D36FA" w:rsidRPr="00AA3A0A" w:rsidRDefault="00BE4A20" w:rsidP="00AA3A0A">
      <w:pPr>
        <w:rPr>
          <w:bCs/>
          <w:color w:val="auto"/>
          <w:lang w:val="en-GB"/>
        </w:rPr>
      </w:pPr>
      <w:r w:rsidRPr="00AA3A0A">
        <w:rPr>
          <w:b/>
          <w:bCs/>
          <w:color w:val="auto"/>
          <w:lang w:val="en-GB"/>
        </w:rPr>
        <w:t xml:space="preserve">Supplemental Figure 2: </w:t>
      </w:r>
      <w:r w:rsidR="00AA0B4C" w:rsidRPr="00AA3A0A">
        <w:rPr>
          <w:b/>
          <w:bCs/>
          <w:color w:val="auto"/>
          <w:lang w:val="en-GB"/>
        </w:rPr>
        <w:t xml:space="preserve">Association of VAT/SAT ratio and incident MACE and diabetes across metabolic phenotypes. </w:t>
      </w:r>
    </w:p>
    <w:p w14:paraId="69C70B83" w14:textId="5441E45B" w:rsidR="00CD0668" w:rsidRPr="00AA3A0A" w:rsidRDefault="00300918" w:rsidP="00AA3A0A">
      <w:pPr>
        <w:rPr>
          <w:color w:val="auto"/>
          <w:lang w:val="en-GB"/>
        </w:rPr>
      </w:pPr>
      <w:r w:rsidRPr="00AA3A0A">
        <w:rPr>
          <w:color w:val="auto"/>
          <w:lang w:val="en-GB"/>
        </w:rPr>
        <w:t>Forest plots show hazard ratios from fully adjusted Cox proportional hazards models for (</w:t>
      </w:r>
      <w:r w:rsidRPr="00AA3A0A">
        <w:rPr>
          <w:b/>
          <w:color w:val="auto"/>
          <w:lang w:val="en-GB"/>
        </w:rPr>
        <w:t>a</w:t>
      </w:r>
      <w:r w:rsidRPr="00AA3A0A">
        <w:rPr>
          <w:color w:val="auto"/>
          <w:lang w:val="en-GB"/>
        </w:rPr>
        <w:t>) incident MACE and (</w:t>
      </w:r>
      <w:r w:rsidRPr="00AA3A0A">
        <w:rPr>
          <w:b/>
          <w:color w:val="auto"/>
          <w:lang w:val="en-GB"/>
        </w:rPr>
        <w:t>b</w:t>
      </w:r>
      <w:r w:rsidRPr="00AA3A0A">
        <w:rPr>
          <w:color w:val="auto"/>
          <w:lang w:val="en-GB"/>
        </w:rPr>
        <w:t>) incident diabetes across all four metabolic phenotypes. All models were adjusted for age, sex, smoking status, waist circumference, and BMI (Model 5 in main manuscript). For incident diabetes analyses, participants with prevalent diabetes at baseline were excluded from MUN (n=1,971) and MUO (n=670). BMI, body mass index; HR, hazard ratio; MACE, major adverse cardiovascular events; MHN, metabolically healthy non-obese; MHO, metabolically healthy obese; MUN, metabolically unhealthy non-obese; MUO, metabolically unhealthy obese; SAT, subcutaneous adipose tissue; VAT, visceral adipose tissue.</w:t>
      </w:r>
      <w:bookmarkEnd w:id="24"/>
    </w:p>
    <w:p w14:paraId="38CE269D" w14:textId="7464820C" w:rsidR="00BE4A20" w:rsidRPr="00AA3A0A" w:rsidRDefault="00686F51" w:rsidP="00AA3A0A">
      <w:pPr>
        <w:rPr>
          <w:rFonts w:ascii="Arial" w:hAnsi="Arial" w:cs="Arial"/>
          <w:color w:val="auto"/>
          <w:lang w:val="en-GB"/>
        </w:rPr>
      </w:pPr>
      <w:bookmarkStart w:id="25" w:name="_Hlk231980611"/>
      <w:r w:rsidRPr="00AA3A0A">
        <w:rPr>
          <w:rFonts w:ascii="Arial" w:hAnsi="Arial" w:cs="Arial"/>
          <w:noProof/>
          <w:color w:val="auto"/>
          <w:lang w:val="en-IN" w:eastAsia="en-IN"/>
        </w:rPr>
        <w:lastRenderedPageBreak/>
        <w:drawing>
          <wp:inline distT="0" distB="0" distL="0" distR="0" wp14:anchorId="4EDDF3AE" wp14:editId="5522A75C">
            <wp:extent cx="5575300" cy="491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575300" cy="4914900"/>
                    </a:xfrm>
                    <a:prstGeom prst="rect">
                      <a:avLst/>
                    </a:prstGeom>
                  </pic:spPr>
                </pic:pic>
              </a:graphicData>
            </a:graphic>
          </wp:inline>
        </w:drawing>
      </w:r>
    </w:p>
    <w:p w14:paraId="0412E6AE" w14:textId="47A88542" w:rsidR="002D36FA" w:rsidRPr="00AA3A0A" w:rsidRDefault="00BE4A20" w:rsidP="00AA3A0A">
      <w:pPr>
        <w:rPr>
          <w:bCs/>
          <w:color w:val="auto"/>
          <w:lang w:val="en-GB"/>
        </w:rPr>
      </w:pPr>
      <w:r w:rsidRPr="00AA3A0A">
        <w:rPr>
          <w:b/>
          <w:bCs/>
          <w:color w:val="auto"/>
          <w:lang w:val="en-GB"/>
        </w:rPr>
        <w:t xml:space="preserve">Supplemental Figure 3: </w:t>
      </w:r>
      <w:r w:rsidR="000A0E11" w:rsidRPr="00AA3A0A">
        <w:rPr>
          <w:b/>
          <w:bCs/>
          <w:color w:val="auto"/>
          <w:lang w:val="en-GB"/>
        </w:rPr>
        <w:t xml:space="preserve"> A</w:t>
      </w:r>
      <w:r w:rsidR="00697C29" w:rsidRPr="00AA3A0A">
        <w:rPr>
          <w:b/>
          <w:bCs/>
          <w:color w:val="auto"/>
          <w:lang w:val="en-GB"/>
        </w:rPr>
        <w:t>ssociations of VAT/SAT ratio and incident MACE and diabetes</w:t>
      </w:r>
      <w:r w:rsidR="000A0E11" w:rsidRPr="00AA3A0A">
        <w:rPr>
          <w:b/>
          <w:bCs/>
          <w:color w:val="auto"/>
          <w:lang w:val="en-GB"/>
        </w:rPr>
        <w:t xml:space="preserve"> stratified by sex. </w:t>
      </w:r>
    </w:p>
    <w:p w14:paraId="20C15EA6" w14:textId="7E655BE5" w:rsidR="00BE4A20" w:rsidRPr="00AA3A0A" w:rsidRDefault="00697C29" w:rsidP="00AA3A0A">
      <w:pPr>
        <w:rPr>
          <w:rFonts w:eastAsia="Times New Roman" w:cs="Times New Roman"/>
          <w:b/>
          <w:color w:val="auto"/>
          <w:lang w:val="en-GB"/>
        </w:rPr>
      </w:pPr>
      <w:r w:rsidRPr="00AA3A0A">
        <w:rPr>
          <w:color w:val="auto"/>
        </w:rPr>
        <w:t>Forest plots show hazard ratios from fully adjusted Cox proportional hazards models for (</w:t>
      </w:r>
      <w:r w:rsidRPr="00AA3A0A">
        <w:rPr>
          <w:b/>
          <w:bCs/>
          <w:color w:val="auto"/>
        </w:rPr>
        <w:t>a</w:t>
      </w:r>
      <w:r w:rsidRPr="00AA3A0A">
        <w:rPr>
          <w:color w:val="auto"/>
        </w:rPr>
        <w:t>) incident MACE and (</w:t>
      </w:r>
      <w:r w:rsidRPr="00AA3A0A">
        <w:rPr>
          <w:b/>
          <w:bCs/>
          <w:color w:val="auto"/>
        </w:rPr>
        <w:t>b</w:t>
      </w:r>
      <w:r w:rsidRPr="00AA3A0A">
        <w:rPr>
          <w:color w:val="auto"/>
        </w:rPr>
        <w:t>) incident diabetes in metabolically healthy non-obese individuals, stratified by sex. Models were adjusted for age, smoking status, waist circumference, and BMI</w:t>
      </w:r>
      <w:r w:rsidR="000A0E11" w:rsidRPr="00AA3A0A">
        <w:rPr>
          <w:color w:val="auto"/>
        </w:rPr>
        <w:t xml:space="preserve"> (Model 5 in main manuscript)</w:t>
      </w:r>
      <w:r w:rsidRPr="00AA3A0A">
        <w:rPr>
          <w:color w:val="auto"/>
        </w:rPr>
        <w:t>. BMI, body mass index; HR, hazard ratio; MACE, major adverse cardiovascular events; SAT, subcutaneous adipose tissue; VAT, visceral adipose tissue.</w:t>
      </w:r>
    </w:p>
    <w:bookmarkEnd w:id="25"/>
    <w:p w14:paraId="2A4BC344" w14:textId="77777777" w:rsidR="00BE4A20" w:rsidRPr="00AA3A0A" w:rsidRDefault="00BE4A20" w:rsidP="00AA3A0A">
      <w:pPr>
        <w:rPr>
          <w:rFonts w:ascii="Arial" w:hAnsi="Arial" w:cs="Arial"/>
          <w:color w:val="auto"/>
          <w:lang w:val="en-GB"/>
        </w:rPr>
      </w:pPr>
    </w:p>
    <w:p w14:paraId="458F1962" w14:textId="77777777" w:rsidR="00BE4A20" w:rsidRPr="00AA3A0A" w:rsidRDefault="00BE4A20" w:rsidP="00AA3A0A">
      <w:pPr>
        <w:rPr>
          <w:rFonts w:ascii="Arial" w:hAnsi="Arial" w:cs="Arial"/>
          <w:color w:val="auto"/>
          <w:lang w:val="en-GB"/>
        </w:rPr>
      </w:pPr>
    </w:p>
    <w:p w14:paraId="0A57E68E" w14:textId="3590C344" w:rsidR="00D70620" w:rsidRPr="00AA3A0A" w:rsidRDefault="00686F51" w:rsidP="00AA3A0A">
      <w:pPr>
        <w:rPr>
          <w:rFonts w:ascii="Arial" w:hAnsi="Arial" w:cs="Arial"/>
          <w:color w:val="auto"/>
          <w:lang w:val="en-GB"/>
        </w:rPr>
      </w:pPr>
      <w:r w:rsidRPr="00AA3A0A">
        <w:rPr>
          <w:rFonts w:ascii="Arial" w:hAnsi="Arial" w:cs="Arial"/>
          <w:noProof/>
          <w:color w:val="auto"/>
          <w:lang w:val="en-IN" w:eastAsia="en-IN"/>
        </w:rPr>
        <w:lastRenderedPageBreak/>
        <w:drawing>
          <wp:inline distT="0" distB="0" distL="0" distR="0" wp14:anchorId="0D9FC85F" wp14:editId="532A46BF">
            <wp:extent cx="5549900" cy="497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549900" cy="4978400"/>
                    </a:xfrm>
                    <a:prstGeom prst="rect">
                      <a:avLst/>
                    </a:prstGeom>
                  </pic:spPr>
                </pic:pic>
              </a:graphicData>
            </a:graphic>
          </wp:inline>
        </w:drawing>
      </w:r>
    </w:p>
    <w:p w14:paraId="78EA8ADD" w14:textId="77777777" w:rsidR="000A0E11" w:rsidRPr="00AA3A0A" w:rsidRDefault="00DB4418" w:rsidP="00AA3A0A">
      <w:pPr>
        <w:rPr>
          <w:rFonts w:eastAsia="Times New Roman" w:cs="Times New Roman"/>
          <w:color w:val="auto"/>
          <w:kern w:val="0"/>
          <w:szCs w:val="20"/>
          <w:lang w:val="aa-ET" w:eastAsia="en-GB"/>
          <w14:ligatures w14:val="none"/>
        </w:rPr>
      </w:pPr>
      <w:r w:rsidRPr="00AA3A0A">
        <w:rPr>
          <w:b/>
          <w:bCs/>
          <w:color w:val="auto"/>
          <w:lang w:val="en-GB"/>
        </w:rPr>
        <w:t xml:space="preserve">Supplemental Figure 4: </w:t>
      </w:r>
      <w:r w:rsidR="000A0E11" w:rsidRPr="00AA3A0A">
        <w:rPr>
          <w:rFonts w:eastAsia="Times New Roman" w:cs="Times New Roman"/>
          <w:b/>
          <w:bCs/>
          <w:color w:val="auto"/>
          <w:kern w:val="0"/>
          <w:szCs w:val="20"/>
          <w:lang w:val="aa-ET" w:eastAsia="en-GB"/>
          <w14:ligatures w14:val="none"/>
        </w:rPr>
        <w:t>Association of VAT/SAT ratio with incident MACE and diabetes stratified by age.</w:t>
      </w:r>
      <w:r w:rsidR="000A0E11" w:rsidRPr="00AA3A0A">
        <w:rPr>
          <w:rFonts w:eastAsia="Times New Roman" w:cs="Times New Roman" w:hint="eastAsia"/>
          <w:color w:val="auto"/>
          <w:kern w:val="0"/>
          <w:szCs w:val="20"/>
          <w:lang w:val="aa-ET" w:eastAsia="en-GB"/>
          <w14:ligatures w14:val="none"/>
        </w:rPr>
        <w:t> </w:t>
      </w:r>
    </w:p>
    <w:p w14:paraId="7BB5E3FA" w14:textId="58DE48F4" w:rsidR="000A0E11" w:rsidRPr="00AA3A0A" w:rsidRDefault="000A0E11" w:rsidP="00AA3A0A">
      <w:pPr>
        <w:rPr>
          <w:rFonts w:eastAsia="Times New Roman" w:cs="Times New Roman"/>
          <w:color w:val="auto"/>
          <w:kern w:val="0"/>
          <w:sz w:val="24"/>
          <w:lang w:val="aa-ET" w:eastAsia="en-GB"/>
          <w14:ligatures w14:val="none"/>
        </w:rPr>
      </w:pPr>
      <w:r w:rsidRPr="00AA3A0A">
        <w:rPr>
          <w:rFonts w:eastAsia="Times New Roman" w:cs="Times New Roman"/>
          <w:color w:val="auto"/>
          <w:kern w:val="0"/>
          <w:szCs w:val="20"/>
          <w:lang w:val="aa-ET" w:eastAsia="en-GB"/>
          <w14:ligatures w14:val="none"/>
        </w:rPr>
        <w:t>Forest plots show hazard ratios from fully adjusted Cox proportional hazards models for (</w:t>
      </w:r>
      <w:r w:rsidRPr="00AA3A0A">
        <w:rPr>
          <w:rFonts w:eastAsia="Times New Roman" w:cs="Times New Roman"/>
          <w:b/>
          <w:bCs/>
          <w:color w:val="auto"/>
          <w:kern w:val="0"/>
          <w:szCs w:val="20"/>
          <w:lang w:val="aa-ET" w:eastAsia="en-GB"/>
          <w14:ligatures w14:val="none"/>
        </w:rPr>
        <w:t>a</w:t>
      </w:r>
      <w:r w:rsidRPr="00AA3A0A">
        <w:rPr>
          <w:rFonts w:eastAsia="Times New Roman" w:cs="Times New Roman"/>
          <w:color w:val="auto"/>
          <w:kern w:val="0"/>
          <w:szCs w:val="20"/>
          <w:lang w:val="aa-ET" w:eastAsia="en-GB"/>
          <w14:ligatures w14:val="none"/>
        </w:rPr>
        <w:t>) incident MACE and (</w:t>
      </w:r>
      <w:r w:rsidRPr="00AA3A0A">
        <w:rPr>
          <w:rFonts w:eastAsia="Times New Roman" w:cs="Times New Roman"/>
          <w:b/>
          <w:bCs/>
          <w:color w:val="auto"/>
          <w:kern w:val="0"/>
          <w:szCs w:val="20"/>
          <w:lang w:val="aa-ET" w:eastAsia="en-GB"/>
          <w14:ligatures w14:val="none"/>
        </w:rPr>
        <w:t>b</w:t>
      </w:r>
      <w:r w:rsidRPr="00AA3A0A">
        <w:rPr>
          <w:rFonts w:eastAsia="Times New Roman" w:cs="Times New Roman"/>
          <w:color w:val="auto"/>
          <w:kern w:val="0"/>
          <w:szCs w:val="20"/>
          <w:lang w:val="aa-ET" w:eastAsia="en-GB"/>
          <w14:ligatures w14:val="none"/>
        </w:rPr>
        <w:t xml:space="preserve">) incident diabetes </w:t>
      </w:r>
      <w:r w:rsidRPr="00AA3A0A">
        <w:rPr>
          <w:rFonts w:eastAsia="Times New Roman" w:cs="Times New Roman"/>
          <w:color w:val="auto"/>
          <w:kern w:val="0"/>
          <w:szCs w:val="20"/>
          <w:lang w:eastAsia="en-GB"/>
          <w14:ligatures w14:val="none"/>
        </w:rPr>
        <w:t xml:space="preserve">in metabolically healthy non-obese individuals </w:t>
      </w:r>
      <w:r w:rsidRPr="00AA3A0A">
        <w:rPr>
          <w:rFonts w:eastAsia="Times New Roman" w:cs="Times New Roman"/>
          <w:color w:val="auto"/>
          <w:kern w:val="0"/>
          <w:szCs w:val="20"/>
          <w:lang w:val="aa-ET" w:eastAsia="en-GB"/>
          <w14:ligatures w14:val="none"/>
        </w:rPr>
        <w:t>stratified by age group (&lt;60 years and ≥60 years). All models were adjusted for age, sex, smoking status, waist circumference, and BMI (Model 5 in main manuscript). BMI, body mass index; HR, hazard ratio; MACE, major adverse cardiovascular events; SAT, subcutaneous adipose tissue; VAT, visceral adipose tissue.</w:t>
      </w:r>
    </w:p>
    <w:p w14:paraId="518DCABB" w14:textId="0BF7F512" w:rsidR="00DB4418" w:rsidRPr="00AA3A0A" w:rsidRDefault="00DB4418" w:rsidP="00AA3A0A">
      <w:pPr>
        <w:rPr>
          <w:rFonts w:eastAsia="Times New Roman" w:cs="Times New Roman"/>
          <w:b/>
          <w:color w:val="auto"/>
          <w:lang w:val="aa-ET"/>
        </w:rPr>
      </w:pPr>
    </w:p>
    <w:p w14:paraId="7ABF2547" w14:textId="120615BF" w:rsidR="00DB4418" w:rsidRPr="00AA3A0A" w:rsidRDefault="00DB4418" w:rsidP="00AA3A0A">
      <w:pPr>
        <w:rPr>
          <w:rFonts w:ascii="Arial" w:hAnsi="Arial" w:cs="Arial"/>
          <w:color w:val="auto"/>
          <w:lang w:val="en-GB"/>
        </w:rPr>
      </w:pPr>
    </w:p>
    <w:p w14:paraId="4559A886" w14:textId="767A99ED" w:rsidR="00DB4418" w:rsidRPr="00AA3A0A" w:rsidRDefault="00DB4418" w:rsidP="00AA3A0A">
      <w:pPr>
        <w:pStyle w:val="Heading2"/>
        <w:rPr>
          <w:rFonts w:ascii="Arial" w:hAnsi="Arial" w:cs="Arial"/>
          <w:color w:val="auto"/>
          <w:lang w:val="en-GB"/>
        </w:rPr>
      </w:pPr>
      <w:bookmarkStart w:id="26" w:name="_GoBack"/>
      <w:bookmarkEnd w:id="26"/>
    </w:p>
    <w:p w14:paraId="1EA99AD2" w14:textId="7CA9BEFB" w:rsidR="009A466C" w:rsidRPr="00AA3A0A" w:rsidRDefault="007E04A7" w:rsidP="00AA3A0A">
      <w:pPr>
        <w:pStyle w:val="Heading2"/>
        <w:rPr>
          <w:rFonts w:cs="Times New Roman"/>
          <w:color w:val="auto"/>
          <w:lang w:val="en-GB"/>
        </w:rPr>
      </w:pPr>
      <w:bookmarkStart w:id="27" w:name="_Toc231931594"/>
      <w:r w:rsidRPr="00AA3A0A">
        <w:rPr>
          <w:rFonts w:cs="Times New Roman"/>
          <w:color w:val="auto"/>
          <w:lang w:val="en-GB"/>
        </w:rPr>
        <w:t>V</w:t>
      </w:r>
      <w:r w:rsidRPr="00AA3A0A">
        <w:rPr>
          <w:rFonts w:cs="Times New Roman"/>
          <w:color w:val="auto"/>
          <w:lang w:val="en-GB"/>
        </w:rPr>
        <w:tab/>
        <w:t>SUPPLEMENTAL REFERENCES</w:t>
      </w:r>
      <w:bookmarkEnd w:id="27"/>
    </w:p>
    <w:p w14:paraId="6E357603" w14:textId="77777777" w:rsidR="00387D5E" w:rsidRPr="00AA3A0A" w:rsidRDefault="00387D5E" w:rsidP="00AA3A0A">
      <w:pPr>
        <w:rPr>
          <w:rFonts w:cs="Times New Roman"/>
          <w:color w:val="auto"/>
          <w:lang w:val="en-GB"/>
        </w:rPr>
      </w:pPr>
    </w:p>
    <w:p w14:paraId="449D8463" w14:textId="6A9A6428" w:rsidR="00CA5FDA" w:rsidRPr="00AA3A0A" w:rsidRDefault="00CA5FDA" w:rsidP="00AA3A0A">
      <w:pPr>
        <w:pStyle w:val="EndNoteBibliography"/>
        <w:rPr>
          <w:rFonts w:ascii="Times New Roman" w:hAnsi="Times New Roman" w:cs="Times New Roman"/>
          <w:noProof/>
          <w:color w:val="auto"/>
          <w:sz w:val="20"/>
          <w:szCs w:val="20"/>
        </w:rPr>
      </w:pPr>
      <w:r w:rsidRPr="00AA3A0A">
        <w:rPr>
          <w:rFonts w:ascii="Times New Roman" w:hAnsi="Times New Roman" w:cs="Times New Roman"/>
          <w:noProof/>
          <w:color w:val="auto"/>
          <w:sz w:val="20"/>
          <w:szCs w:val="20"/>
        </w:rPr>
        <w:t>1.</w:t>
      </w:r>
      <w:r w:rsidRPr="00AA3A0A">
        <w:rPr>
          <w:rFonts w:ascii="Times New Roman" w:hAnsi="Times New Roman" w:cs="Times New Roman"/>
          <w:noProof/>
          <w:color w:val="auto"/>
          <w:sz w:val="20"/>
          <w:szCs w:val="20"/>
        </w:rPr>
        <w:tab/>
        <w:t>Peters A, German National Cohort C, Peters A, et al. Framework and baseline examination of the German National Cohort (NAKO). Eur J Epidemiol. 2022;37(10):1107-24.</w:t>
      </w:r>
    </w:p>
    <w:p w14:paraId="68BFCB4B" w14:textId="77777777" w:rsidR="00CA5FDA" w:rsidRPr="00AA3A0A" w:rsidRDefault="00CA5FDA" w:rsidP="00AA3A0A">
      <w:pPr>
        <w:pStyle w:val="EndNoteBibliography"/>
        <w:rPr>
          <w:rFonts w:ascii="Times New Roman" w:hAnsi="Times New Roman" w:cs="Times New Roman"/>
          <w:noProof/>
          <w:color w:val="auto"/>
          <w:sz w:val="20"/>
          <w:szCs w:val="20"/>
        </w:rPr>
      </w:pPr>
      <w:r w:rsidRPr="00AA3A0A">
        <w:rPr>
          <w:rFonts w:ascii="Times New Roman" w:hAnsi="Times New Roman" w:cs="Times New Roman"/>
          <w:noProof/>
          <w:color w:val="auto"/>
          <w:sz w:val="20"/>
          <w:szCs w:val="20"/>
        </w:rPr>
        <w:t>2.</w:t>
      </w:r>
      <w:r w:rsidRPr="00AA3A0A">
        <w:rPr>
          <w:rFonts w:ascii="Times New Roman" w:hAnsi="Times New Roman" w:cs="Times New Roman"/>
          <w:noProof/>
          <w:color w:val="auto"/>
          <w:sz w:val="20"/>
          <w:szCs w:val="20"/>
        </w:rPr>
        <w:tab/>
        <w:t>German National Cohort C. The German National Cohort: aims, study design and organization. Eur J Epidemiol. 2014;29(5):371-82.</w:t>
      </w:r>
    </w:p>
    <w:p w14:paraId="58167D75" w14:textId="77777777" w:rsidR="00CA5FDA" w:rsidRPr="00AA3A0A" w:rsidRDefault="00CA5FDA" w:rsidP="00AA3A0A">
      <w:pPr>
        <w:pStyle w:val="EndNoteBibliography"/>
        <w:rPr>
          <w:rFonts w:ascii="Times New Roman" w:hAnsi="Times New Roman" w:cs="Times New Roman"/>
          <w:noProof/>
          <w:color w:val="auto"/>
          <w:sz w:val="20"/>
          <w:szCs w:val="20"/>
        </w:rPr>
      </w:pPr>
      <w:r w:rsidRPr="00AA3A0A">
        <w:rPr>
          <w:rFonts w:ascii="Times New Roman" w:hAnsi="Times New Roman" w:cs="Times New Roman"/>
          <w:noProof/>
          <w:color w:val="auto"/>
          <w:sz w:val="20"/>
          <w:szCs w:val="20"/>
        </w:rPr>
        <w:t>3.</w:t>
      </w:r>
      <w:r w:rsidRPr="00AA3A0A">
        <w:rPr>
          <w:rFonts w:ascii="Times New Roman" w:hAnsi="Times New Roman" w:cs="Times New Roman"/>
          <w:noProof/>
          <w:color w:val="auto"/>
          <w:sz w:val="20"/>
          <w:szCs w:val="20"/>
        </w:rPr>
        <w:tab/>
        <w:t>Bamberg F, Kauczor HU, Weckbach S, et al. Whole-Body MR Imaging in the German National Cohort: Rationale, Design, and Technical Background. Radiology. 2015;277(1):206-20.</w:t>
      </w:r>
    </w:p>
    <w:p w14:paraId="2EE09939" w14:textId="77777777" w:rsidR="00CA5FDA" w:rsidRPr="00AA3A0A" w:rsidRDefault="00CA5FDA" w:rsidP="00AA3A0A">
      <w:pPr>
        <w:pStyle w:val="EndNoteBibliography"/>
        <w:rPr>
          <w:rFonts w:ascii="Times New Roman" w:hAnsi="Times New Roman" w:cs="Times New Roman"/>
          <w:noProof/>
          <w:color w:val="auto"/>
          <w:sz w:val="20"/>
          <w:szCs w:val="20"/>
        </w:rPr>
      </w:pPr>
      <w:r w:rsidRPr="00AA3A0A">
        <w:rPr>
          <w:rFonts w:ascii="Times New Roman" w:hAnsi="Times New Roman" w:cs="Times New Roman"/>
          <w:noProof/>
          <w:color w:val="auto"/>
          <w:sz w:val="20"/>
          <w:szCs w:val="20"/>
        </w:rPr>
        <w:t>4.</w:t>
      </w:r>
      <w:r w:rsidRPr="00AA3A0A">
        <w:rPr>
          <w:rFonts w:ascii="Times New Roman" w:hAnsi="Times New Roman" w:cs="Times New Roman"/>
          <w:noProof/>
          <w:color w:val="auto"/>
          <w:sz w:val="20"/>
          <w:szCs w:val="20"/>
        </w:rPr>
        <w:tab/>
        <w:t>Lumish HS, O'Reilly M, Reilly MP. Sex Differences in Genomic Drivers of Adipose Distribution and Related Cardiometabolic Disorders: Opportunities for Precision Medicine. Arterioscler Thromb Vasc Biol. 2020;40(1):45-60.</w:t>
      </w:r>
    </w:p>
    <w:p w14:paraId="6769FBAF" w14:textId="77777777" w:rsidR="00CA5FDA" w:rsidRPr="00AA3A0A" w:rsidRDefault="00CA5FDA" w:rsidP="00AA3A0A">
      <w:pPr>
        <w:pStyle w:val="EndNoteBibliography"/>
        <w:rPr>
          <w:rFonts w:ascii="Times New Roman" w:hAnsi="Times New Roman" w:cs="Times New Roman"/>
          <w:noProof/>
          <w:color w:val="auto"/>
          <w:sz w:val="20"/>
          <w:szCs w:val="20"/>
        </w:rPr>
      </w:pPr>
      <w:r w:rsidRPr="00AA3A0A">
        <w:rPr>
          <w:rFonts w:ascii="Times New Roman" w:hAnsi="Times New Roman" w:cs="Times New Roman"/>
          <w:noProof/>
          <w:color w:val="auto"/>
          <w:sz w:val="20"/>
          <w:szCs w:val="20"/>
        </w:rPr>
        <w:lastRenderedPageBreak/>
        <w:t>5.</w:t>
      </w:r>
      <w:r w:rsidRPr="00AA3A0A">
        <w:rPr>
          <w:rFonts w:ascii="Times New Roman" w:hAnsi="Times New Roman" w:cs="Times New Roman"/>
          <w:noProof/>
          <w:color w:val="auto"/>
          <w:sz w:val="20"/>
          <w:szCs w:val="20"/>
        </w:rPr>
        <w:tab/>
        <w:t>Vatcheva KP, Lee M, McCormick JB, Rahbar MH. Multicollinearity in Regression Analyses Conducted in Epidemiologic Studies. Epidemiology (Sunnyvale). 2016;6(2).</w:t>
      </w:r>
    </w:p>
    <w:p w14:paraId="4F591AEE" w14:textId="7C4B2A15" w:rsidR="00560FCD" w:rsidRPr="00AA3A0A" w:rsidRDefault="00560FCD" w:rsidP="00AA3A0A">
      <w:pPr>
        <w:rPr>
          <w:rFonts w:ascii="Arial" w:hAnsi="Arial" w:cs="Arial"/>
          <w:color w:val="auto"/>
          <w:lang w:val="en-GB"/>
        </w:rPr>
      </w:pPr>
    </w:p>
    <w:sectPr w:rsidR="00560FCD" w:rsidRPr="00AA3A0A" w:rsidSect="00AA3A0A">
      <w:footerReference w:type="even"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AEBD8" w14:textId="77777777" w:rsidR="00B2076C" w:rsidRDefault="00B2076C">
      <w:r>
        <w:separator/>
      </w:r>
    </w:p>
  </w:endnote>
  <w:endnote w:type="continuationSeparator" w:id="0">
    <w:p w14:paraId="3937F9C0" w14:textId="77777777" w:rsidR="00B2076C" w:rsidRDefault="00B20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78857281"/>
      <w:docPartObj>
        <w:docPartGallery w:val="Page Numbers (Bottom of Page)"/>
        <w:docPartUnique/>
      </w:docPartObj>
    </w:sdtPr>
    <w:sdtEndPr>
      <w:rPr>
        <w:rStyle w:val="PageNumber"/>
      </w:rPr>
    </w:sdtEndPr>
    <w:sdtContent>
      <w:p w14:paraId="75139D7B" w14:textId="77777777" w:rsidR="00D50C7A" w:rsidRDefault="00F47D1F" w:rsidP="007F79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8D5FFD" w14:textId="77777777" w:rsidR="00D50C7A" w:rsidRDefault="00D50C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15632553"/>
      <w:docPartObj>
        <w:docPartGallery w:val="Page Numbers (Bottom of Page)"/>
        <w:docPartUnique/>
      </w:docPartObj>
    </w:sdtPr>
    <w:sdtEndPr>
      <w:rPr>
        <w:rStyle w:val="PageNumber"/>
      </w:rPr>
    </w:sdtEndPr>
    <w:sdtContent>
      <w:p w14:paraId="1A0951FC" w14:textId="77777777" w:rsidR="00D50C7A" w:rsidRDefault="00F47D1F" w:rsidP="007F79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45227">
          <w:rPr>
            <w:rStyle w:val="PageNumber"/>
            <w:noProof/>
          </w:rPr>
          <w:t>15</w:t>
        </w:r>
        <w:r>
          <w:rPr>
            <w:rStyle w:val="PageNumber"/>
          </w:rPr>
          <w:fldChar w:fldCharType="end"/>
        </w:r>
      </w:p>
    </w:sdtContent>
  </w:sdt>
  <w:p w14:paraId="729AFA59" w14:textId="77777777" w:rsidR="00D50C7A" w:rsidRDefault="00D50C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0D1DE" w14:textId="77777777" w:rsidR="00B2076C" w:rsidRDefault="00B2076C">
      <w:r>
        <w:separator/>
      </w:r>
    </w:p>
  </w:footnote>
  <w:footnote w:type="continuationSeparator" w:id="0">
    <w:p w14:paraId="7CADC41E" w14:textId="77777777" w:rsidR="00B2076C" w:rsidRDefault="00B207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xd9txan9tzdketez3v9a98sawesettrtw2&quot;&gt;My EndNote Library&lt;record-ids&gt;&lt;item&gt;67&lt;/item&gt;&lt;item&gt;68&lt;/item&gt;&lt;/record-ids&gt;&lt;/item&gt;&lt;/Libraries&gt;"/>
  </w:docVars>
  <w:rsids>
    <w:rsidRoot w:val="009A466C"/>
    <w:rsid w:val="000030A2"/>
    <w:rsid w:val="00004C44"/>
    <w:rsid w:val="000071FB"/>
    <w:rsid w:val="000133CF"/>
    <w:rsid w:val="00023F38"/>
    <w:rsid w:val="00025A99"/>
    <w:rsid w:val="00032DF4"/>
    <w:rsid w:val="00046FF4"/>
    <w:rsid w:val="00055256"/>
    <w:rsid w:val="00056DD6"/>
    <w:rsid w:val="0005769C"/>
    <w:rsid w:val="000739B2"/>
    <w:rsid w:val="00080C83"/>
    <w:rsid w:val="000813F6"/>
    <w:rsid w:val="00085214"/>
    <w:rsid w:val="00095F30"/>
    <w:rsid w:val="0009680B"/>
    <w:rsid w:val="000A0E11"/>
    <w:rsid w:val="000A69BF"/>
    <w:rsid w:val="000A708F"/>
    <w:rsid w:val="000C3335"/>
    <w:rsid w:val="000C3C3F"/>
    <w:rsid w:val="000C3E11"/>
    <w:rsid w:val="000D0148"/>
    <w:rsid w:val="000D109D"/>
    <w:rsid w:val="000D30AF"/>
    <w:rsid w:val="000E053F"/>
    <w:rsid w:val="000E0BF2"/>
    <w:rsid w:val="000F3913"/>
    <w:rsid w:val="00102823"/>
    <w:rsid w:val="00107A7E"/>
    <w:rsid w:val="001208E3"/>
    <w:rsid w:val="00121FA9"/>
    <w:rsid w:val="00126D09"/>
    <w:rsid w:val="0013329B"/>
    <w:rsid w:val="00133F0E"/>
    <w:rsid w:val="00140202"/>
    <w:rsid w:val="0014204F"/>
    <w:rsid w:val="0014322F"/>
    <w:rsid w:val="00146546"/>
    <w:rsid w:val="00150039"/>
    <w:rsid w:val="00150545"/>
    <w:rsid w:val="00153810"/>
    <w:rsid w:val="00154DA4"/>
    <w:rsid w:val="001575D6"/>
    <w:rsid w:val="00161148"/>
    <w:rsid w:val="0016189C"/>
    <w:rsid w:val="00161EBA"/>
    <w:rsid w:val="001623AE"/>
    <w:rsid w:val="00170E9B"/>
    <w:rsid w:val="00171A23"/>
    <w:rsid w:val="00177794"/>
    <w:rsid w:val="00184B9E"/>
    <w:rsid w:val="001905FA"/>
    <w:rsid w:val="00192655"/>
    <w:rsid w:val="00193BF2"/>
    <w:rsid w:val="00194302"/>
    <w:rsid w:val="001B77E2"/>
    <w:rsid w:val="001C6A24"/>
    <w:rsid w:val="001D6F64"/>
    <w:rsid w:val="001E5E33"/>
    <w:rsid w:val="002042D7"/>
    <w:rsid w:val="002146DB"/>
    <w:rsid w:val="002254AA"/>
    <w:rsid w:val="002265AC"/>
    <w:rsid w:val="00230B9D"/>
    <w:rsid w:val="00250CFB"/>
    <w:rsid w:val="00254246"/>
    <w:rsid w:val="002602E2"/>
    <w:rsid w:val="002604BF"/>
    <w:rsid w:val="0026151E"/>
    <w:rsid w:val="00263E89"/>
    <w:rsid w:val="0026454D"/>
    <w:rsid w:val="0026640F"/>
    <w:rsid w:val="00266528"/>
    <w:rsid w:val="00272BFE"/>
    <w:rsid w:val="00272D63"/>
    <w:rsid w:val="00273A1F"/>
    <w:rsid w:val="00277333"/>
    <w:rsid w:val="002875EE"/>
    <w:rsid w:val="002901B0"/>
    <w:rsid w:val="00297BE2"/>
    <w:rsid w:val="002C47EE"/>
    <w:rsid w:val="002D3440"/>
    <w:rsid w:val="002D36FA"/>
    <w:rsid w:val="002E6509"/>
    <w:rsid w:val="002E7317"/>
    <w:rsid w:val="002F7017"/>
    <w:rsid w:val="00300918"/>
    <w:rsid w:val="0031477D"/>
    <w:rsid w:val="00321982"/>
    <w:rsid w:val="0032230E"/>
    <w:rsid w:val="00325253"/>
    <w:rsid w:val="00325B33"/>
    <w:rsid w:val="00325BB8"/>
    <w:rsid w:val="00330BD0"/>
    <w:rsid w:val="00331273"/>
    <w:rsid w:val="00333646"/>
    <w:rsid w:val="00333E3F"/>
    <w:rsid w:val="003357F1"/>
    <w:rsid w:val="00336825"/>
    <w:rsid w:val="003376C6"/>
    <w:rsid w:val="00341B1D"/>
    <w:rsid w:val="00345D4A"/>
    <w:rsid w:val="00353B9F"/>
    <w:rsid w:val="003559DF"/>
    <w:rsid w:val="0035730A"/>
    <w:rsid w:val="00370BE3"/>
    <w:rsid w:val="0037112D"/>
    <w:rsid w:val="00371366"/>
    <w:rsid w:val="00387D5E"/>
    <w:rsid w:val="00392BE1"/>
    <w:rsid w:val="003967D8"/>
    <w:rsid w:val="003A5A98"/>
    <w:rsid w:val="003B13E7"/>
    <w:rsid w:val="003B4B13"/>
    <w:rsid w:val="003B4F41"/>
    <w:rsid w:val="003B6951"/>
    <w:rsid w:val="003C2C2A"/>
    <w:rsid w:val="003C3445"/>
    <w:rsid w:val="003C6D78"/>
    <w:rsid w:val="003D49E4"/>
    <w:rsid w:val="003D6E8F"/>
    <w:rsid w:val="003E2D02"/>
    <w:rsid w:val="003E31CB"/>
    <w:rsid w:val="003E77E5"/>
    <w:rsid w:val="003E78CF"/>
    <w:rsid w:val="003F0472"/>
    <w:rsid w:val="003F0E6E"/>
    <w:rsid w:val="003F4B4F"/>
    <w:rsid w:val="003F5CF9"/>
    <w:rsid w:val="003F73BC"/>
    <w:rsid w:val="0040524A"/>
    <w:rsid w:val="00420AD6"/>
    <w:rsid w:val="004223F0"/>
    <w:rsid w:val="004228DD"/>
    <w:rsid w:val="00426E75"/>
    <w:rsid w:val="00431AEB"/>
    <w:rsid w:val="00432713"/>
    <w:rsid w:val="00435EB6"/>
    <w:rsid w:val="00435F34"/>
    <w:rsid w:val="0046514B"/>
    <w:rsid w:val="00471C06"/>
    <w:rsid w:val="00471D63"/>
    <w:rsid w:val="00474E2B"/>
    <w:rsid w:val="004821DC"/>
    <w:rsid w:val="00484168"/>
    <w:rsid w:val="00492C8E"/>
    <w:rsid w:val="00496B15"/>
    <w:rsid w:val="004A4861"/>
    <w:rsid w:val="004B16BE"/>
    <w:rsid w:val="004B62BA"/>
    <w:rsid w:val="004B6A11"/>
    <w:rsid w:val="004E5F47"/>
    <w:rsid w:val="004E713B"/>
    <w:rsid w:val="004F6723"/>
    <w:rsid w:val="00500230"/>
    <w:rsid w:val="0052727F"/>
    <w:rsid w:val="00530E60"/>
    <w:rsid w:val="00532137"/>
    <w:rsid w:val="005445B3"/>
    <w:rsid w:val="00557E1D"/>
    <w:rsid w:val="00560FCD"/>
    <w:rsid w:val="005634AB"/>
    <w:rsid w:val="00564591"/>
    <w:rsid w:val="0056488A"/>
    <w:rsid w:val="00564CA0"/>
    <w:rsid w:val="0056543D"/>
    <w:rsid w:val="0057086E"/>
    <w:rsid w:val="0057337B"/>
    <w:rsid w:val="0057747F"/>
    <w:rsid w:val="00587460"/>
    <w:rsid w:val="00592E76"/>
    <w:rsid w:val="005A08BA"/>
    <w:rsid w:val="005A5113"/>
    <w:rsid w:val="005B1E5B"/>
    <w:rsid w:val="005B7021"/>
    <w:rsid w:val="005D1B9E"/>
    <w:rsid w:val="005D4B23"/>
    <w:rsid w:val="005E2510"/>
    <w:rsid w:val="005E695D"/>
    <w:rsid w:val="005F3AD3"/>
    <w:rsid w:val="005F6CBB"/>
    <w:rsid w:val="006006EB"/>
    <w:rsid w:val="006031EA"/>
    <w:rsid w:val="00610AAD"/>
    <w:rsid w:val="00611A6B"/>
    <w:rsid w:val="00614DD0"/>
    <w:rsid w:val="006178C6"/>
    <w:rsid w:val="0062115B"/>
    <w:rsid w:val="00623259"/>
    <w:rsid w:val="00627AA2"/>
    <w:rsid w:val="00633451"/>
    <w:rsid w:val="0063773F"/>
    <w:rsid w:val="00640930"/>
    <w:rsid w:val="00647D63"/>
    <w:rsid w:val="00656453"/>
    <w:rsid w:val="00664B6B"/>
    <w:rsid w:val="00664FEA"/>
    <w:rsid w:val="0067189C"/>
    <w:rsid w:val="006723B1"/>
    <w:rsid w:val="00672DE9"/>
    <w:rsid w:val="00674A86"/>
    <w:rsid w:val="00675325"/>
    <w:rsid w:val="00677B37"/>
    <w:rsid w:val="006829CC"/>
    <w:rsid w:val="00683648"/>
    <w:rsid w:val="00686F51"/>
    <w:rsid w:val="006873E9"/>
    <w:rsid w:val="006900A6"/>
    <w:rsid w:val="00697C29"/>
    <w:rsid w:val="006A66BF"/>
    <w:rsid w:val="006B5B4F"/>
    <w:rsid w:val="006C7BD3"/>
    <w:rsid w:val="006D17B7"/>
    <w:rsid w:val="006D4303"/>
    <w:rsid w:val="006E2D21"/>
    <w:rsid w:val="006F2CEA"/>
    <w:rsid w:val="006F5E55"/>
    <w:rsid w:val="006F721C"/>
    <w:rsid w:val="0070082A"/>
    <w:rsid w:val="007028ED"/>
    <w:rsid w:val="007064CF"/>
    <w:rsid w:val="00714FA2"/>
    <w:rsid w:val="00715CD7"/>
    <w:rsid w:val="00725249"/>
    <w:rsid w:val="00726015"/>
    <w:rsid w:val="007272D5"/>
    <w:rsid w:val="007307DF"/>
    <w:rsid w:val="00731839"/>
    <w:rsid w:val="00732968"/>
    <w:rsid w:val="007440AB"/>
    <w:rsid w:val="007509C3"/>
    <w:rsid w:val="00752AD9"/>
    <w:rsid w:val="00765279"/>
    <w:rsid w:val="00770347"/>
    <w:rsid w:val="00770F98"/>
    <w:rsid w:val="00774F43"/>
    <w:rsid w:val="00777152"/>
    <w:rsid w:val="007771C7"/>
    <w:rsid w:val="00782D07"/>
    <w:rsid w:val="00786BDF"/>
    <w:rsid w:val="00793A07"/>
    <w:rsid w:val="007944AD"/>
    <w:rsid w:val="007956FE"/>
    <w:rsid w:val="007957C6"/>
    <w:rsid w:val="007A01CF"/>
    <w:rsid w:val="007A44AB"/>
    <w:rsid w:val="007A456E"/>
    <w:rsid w:val="007A6A96"/>
    <w:rsid w:val="007B0AF8"/>
    <w:rsid w:val="007B2D7F"/>
    <w:rsid w:val="007C5F88"/>
    <w:rsid w:val="007D04E2"/>
    <w:rsid w:val="007D1FF2"/>
    <w:rsid w:val="007D39CF"/>
    <w:rsid w:val="007E04A7"/>
    <w:rsid w:val="007E07DB"/>
    <w:rsid w:val="007F0839"/>
    <w:rsid w:val="007F0F1C"/>
    <w:rsid w:val="007F1EBB"/>
    <w:rsid w:val="007F2C9D"/>
    <w:rsid w:val="007F2F50"/>
    <w:rsid w:val="00800D4C"/>
    <w:rsid w:val="00804FD1"/>
    <w:rsid w:val="00806DCA"/>
    <w:rsid w:val="00810040"/>
    <w:rsid w:val="00813E7E"/>
    <w:rsid w:val="00822072"/>
    <w:rsid w:val="00832DE1"/>
    <w:rsid w:val="00832E09"/>
    <w:rsid w:val="00836F07"/>
    <w:rsid w:val="00845DBE"/>
    <w:rsid w:val="00853960"/>
    <w:rsid w:val="00863C5F"/>
    <w:rsid w:val="00864DE2"/>
    <w:rsid w:val="00882585"/>
    <w:rsid w:val="0088314E"/>
    <w:rsid w:val="008862F6"/>
    <w:rsid w:val="00891ED9"/>
    <w:rsid w:val="00897EB7"/>
    <w:rsid w:val="008A4066"/>
    <w:rsid w:val="008B0F57"/>
    <w:rsid w:val="008B1D96"/>
    <w:rsid w:val="008B43E1"/>
    <w:rsid w:val="008C29EB"/>
    <w:rsid w:val="008D04E7"/>
    <w:rsid w:val="008D51F8"/>
    <w:rsid w:val="008E3433"/>
    <w:rsid w:val="008E50EA"/>
    <w:rsid w:val="008E6FC6"/>
    <w:rsid w:val="008F3E17"/>
    <w:rsid w:val="008F7A68"/>
    <w:rsid w:val="00901571"/>
    <w:rsid w:val="00904FEE"/>
    <w:rsid w:val="00907E30"/>
    <w:rsid w:val="009135A5"/>
    <w:rsid w:val="00917BBE"/>
    <w:rsid w:val="00923539"/>
    <w:rsid w:val="00933ED2"/>
    <w:rsid w:val="00943A02"/>
    <w:rsid w:val="009458DB"/>
    <w:rsid w:val="00952F23"/>
    <w:rsid w:val="00956409"/>
    <w:rsid w:val="00961F91"/>
    <w:rsid w:val="009669D7"/>
    <w:rsid w:val="009674D4"/>
    <w:rsid w:val="0098229B"/>
    <w:rsid w:val="009822BB"/>
    <w:rsid w:val="009878E4"/>
    <w:rsid w:val="00994367"/>
    <w:rsid w:val="00994C84"/>
    <w:rsid w:val="00996A59"/>
    <w:rsid w:val="00997027"/>
    <w:rsid w:val="0099773B"/>
    <w:rsid w:val="009A42FD"/>
    <w:rsid w:val="009A466C"/>
    <w:rsid w:val="009B1521"/>
    <w:rsid w:val="009B273D"/>
    <w:rsid w:val="009B5BAA"/>
    <w:rsid w:val="009D474D"/>
    <w:rsid w:val="009D4F7F"/>
    <w:rsid w:val="009D6675"/>
    <w:rsid w:val="009E2C9A"/>
    <w:rsid w:val="009E41EA"/>
    <w:rsid w:val="009E493D"/>
    <w:rsid w:val="009E6BEF"/>
    <w:rsid w:val="009F406E"/>
    <w:rsid w:val="009F4DFA"/>
    <w:rsid w:val="00A014C0"/>
    <w:rsid w:val="00A1243F"/>
    <w:rsid w:val="00A124A2"/>
    <w:rsid w:val="00A24A70"/>
    <w:rsid w:val="00A30C64"/>
    <w:rsid w:val="00A4137B"/>
    <w:rsid w:val="00A44DBD"/>
    <w:rsid w:val="00A56403"/>
    <w:rsid w:val="00A626EC"/>
    <w:rsid w:val="00A74B43"/>
    <w:rsid w:val="00A76344"/>
    <w:rsid w:val="00A93FB6"/>
    <w:rsid w:val="00A97484"/>
    <w:rsid w:val="00AA0B4C"/>
    <w:rsid w:val="00AA3A0A"/>
    <w:rsid w:val="00AA521C"/>
    <w:rsid w:val="00AA66DF"/>
    <w:rsid w:val="00AB31FE"/>
    <w:rsid w:val="00AB4B37"/>
    <w:rsid w:val="00AD4DFD"/>
    <w:rsid w:val="00AE07C3"/>
    <w:rsid w:val="00AE0C2B"/>
    <w:rsid w:val="00AE1D54"/>
    <w:rsid w:val="00AE2460"/>
    <w:rsid w:val="00AE39B1"/>
    <w:rsid w:val="00B001C3"/>
    <w:rsid w:val="00B1033C"/>
    <w:rsid w:val="00B2076C"/>
    <w:rsid w:val="00B20CFB"/>
    <w:rsid w:val="00B23934"/>
    <w:rsid w:val="00B2783E"/>
    <w:rsid w:val="00B34EC5"/>
    <w:rsid w:val="00B47AAB"/>
    <w:rsid w:val="00B606FA"/>
    <w:rsid w:val="00B63CB5"/>
    <w:rsid w:val="00B64E31"/>
    <w:rsid w:val="00B72D76"/>
    <w:rsid w:val="00B73055"/>
    <w:rsid w:val="00B80F23"/>
    <w:rsid w:val="00B80F34"/>
    <w:rsid w:val="00B867AE"/>
    <w:rsid w:val="00B86E94"/>
    <w:rsid w:val="00B87FFE"/>
    <w:rsid w:val="00B9049C"/>
    <w:rsid w:val="00B93981"/>
    <w:rsid w:val="00BA6972"/>
    <w:rsid w:val="00BB3460"/>
    <w:rsid w:val="00BB7759"/>
    <w:rsid w:val="00BC3296"/>
    <w:rsid w:val="00BC6D89"/>
    <w:rsid w:val="00BD08A2"/>
    <w:rsid w:val="00BD4DB3"/>
    <w:rsid w:val="00BE4550"/>
    <w:rsid w:val="00BE4A20"/>
    <w:rsid w:val="00C00BFB"/>
    <w:rsid w:val="00C049F1"/>
    <w:rsid w:val="00C04FEC"/>
    <w:rsid w:val="00C12206"/>
    <w:rsid w:val="00C12AB3"/>
    <w:rsid w:val="00C15C0C"/>
    <w:rsid w:val="00C17A9E"/>
    <w:rsid w:val="00C23FFF"/>
    <w:rsid w:val="00C256FF"/>
    <w:rsid w:val="00C316F2"/>
    <w:rsid w:val="00C32FAE"/>
    <w:rsid w:val="00C37459"/>
    <w:rsid w:val="00C447E1"/>
    <w:rsid w:val="00C50B6C"/>
    <w:rsid w:val="00C522EA"/>
    <w:rsid w:val="00C5277E"/>
    <w:rsid w:val="00C54D3F"/>
    <w:rsid w:val="00C63868"/>
    <w:rsid w:val="00C662E3"/>
    <w:rsid w:val="00C75972"/>
    <w:rsid w:val="00C808F5"/>
    <w:rsid w:val="00C83864"/>
    <w:rsid w:val="00C857A8"/>
    <w:rsid w:val="00C86E62"/>
    <w:rsid w:val="00C9228D"/>
    <w:rsid w:val="00C9319B"/>
    <w:rsid w:val="00C932D1"/>
    <w:rsid w:val="00C93D79"/>
    <w:rsid w:val="00C94EC5"/>
    <w:rsid w:val="00CA5FDA"/>
    <w:rsid w:val="00CB030F"/>
    <w:rsid w:val="00CC1063"/>
    <w:rsid w:val="00CC5076"/>
    <w:rsid w:val="00CC555F"/>
    <w:rsid w:val="00CC5B83"/>
    <w:rsid w:val="00CD0668"/>
    <w:rsid w:val="00CD30DE"/>
    <w:rsid w:val="00CD3C67"/>
    <w:rsid w:val="00CD6DAA"/>
    <w:rsid w:val="00CE229F"/>
    <w:rsid w:val="00CF31DC"/>
    <w:rsid w:val="00CF3257"/>
    <w:rsid w:val="00D02A24"/>
    <w:rsid w:val="00D0612A"/>
    <w:rsid w:val="00D16635"/>
    <w:rsid w:val="00D208EE"/>
    <w:rsid w:val="00D21898"/>
    <w:rsid w:val="00D30AF4"/>
    <w:rsid w:val="00D33B4D"/>
    <w:rsid w:val="00D369E0"/>
    <w:rsid w:val="00D43ACA"/>
    <w:rsid w:val="00D50C7A"/>
    <w:rsid w:val="00D52FD2"/>
    <w:rsid w:val="00D53D20"/>
    <w:rsid w:val="00D5470A"/>
    <w:rsid w:val="00D62B2C"/>
    <w:rsid w:val="00D70620"/>
    <w:rsid w:val="00D734B5"/>
    <w:rsid w:val="00D74057"/>
    <w:rsid w:val="00D74248"/>
    <w:rsid w:val="00D76141"/>
    <w:rsid w:val="00D83804"/>
    <w:rsid w:val="00D9010B"/>
    <w:rsid w:val="00D93507"/>
    <w:rsid w:val="00D9407A"/>
    <w:rsid w:val="00D961CA"/>
    <w:rsid w:val="00DA0FD9"/>
    <w:rsid w:val="00DA146B"/>
    <w:rsid w:val="00DB4418"/>
    <w:rsid w:val="00DB44FC"/>
    <w:rsid w:val="00DB46D3"/>
    <w:rsid w:val="00DC0D4A"/>
    <w:rsid w:val="00DC646D"/>
    <w:rsid w:val="00DC7796"/>
    <w:rsid w:val="00DD2EB3"/>
    <w:rsid w:val="00DD73F2"/>
    <w:rsid w:val="00DE3FED"/>
    <w:rsid w:val="00DE5DB0"/>
    <w:rsid w:val="00DF2AAE"/>
    <w:rsid w:val="00DF4B43"/>
    <w:rsid w:val="00DF57BD"/>
    <w:rsid w:val="00DF7868"/>
    <w:rsid w:val="00E15CA3"/>
    <w:rsid w:val="00E1676B"/>
    <w:rsid w:val="00E41A46"/>
    <w:rsid w:val="00E45227"/>
    <w:rsid w:val="00E513B1"/>
    <w:rsid w:val="00E60813"/>
    <w:rsid w:val="00E6553A"/>
    <w:rsid w:val="00E67207"/>
    <w:rsid w:val="00E706CD"/>
    <w:rsid w:val="00E74D14"/>
    <w:rsid w:val="00EA53E1"/>
    <w:rsid w:val="00EB0F7C"/>
    <w:rsid w:val="00EB2BBB"/>
    <w:rsid w:val="00EB4950"/>
    <w:rsid w:val="00EB5B6B"/>
    <w:rsid w:val="00EC52F3"/>
    <w:rsid w:val="00EC7A13"/>
    <w:rsid w:val="00ED0757"/>
    <w:rsid w:val="00ED2B65"/>
    <w:rsid w:val="00ED7066"/>
    <w:rsid w:val="00EE472E"/>
    <w:rsid w:val="00EF298B"/>
    <w:rsid w:val="00EF49D0"/>
    <w:rsid w:val="00EF6FD5"/>
    <w:rsid w:val="00EF77F1"/>
    <w:rsid w:val="00F009F4"/>
    <w:rsid w:val="00F02331"/>
    <w:rsid w:val="00F048DF"/>
    <w:rsid w:val="00F114EE"/>
    <w:rsid w:val="00F11F45"/>
    <w:rsid w:val="00F14B5A"/>
    <w:rsid w:val="00F2278E"/>
    <w:rsid w:val="00F25029"/>
    <w:rsid w:val="00F30952"/>
    <w:rsid w:val="00F337ED"/>
    <w:rsid w:val="00F40B21"/>
    <w:rsid w:val="00F44834"/>
    <w:rsid w:val="00F45A91"/>
    <w:rsid w:val="00F47D1F"/>
    <w:rsid w:val="00F60C58"/>
    <w:rsid w:val="00F71595"/>
    <w:rsid w:val="00F83EAA"/>
    <w:rsid w:val="00FA0A0B"/>
    <w:rsid w:val="00FC0294"/>
    <w:rsid w:val="00FD1B1B"/>
    <w:rsid w:val="00FD3A1A"/>
    <w:rsid w:val="00FE32BD"/>
    <w:rsid w:val="00FF131D"/>
    <w:rsid w:val="00FF49F6"/>
    <w:rsid w:val="00FF5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48F3D"/>
  <w15:chartTrackingRefBased/>
  <w15:docId w15:val="{98937581-A866-4C40-A300-E2B2DF2A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545"/>
    <w:rPr>
      <w:rFonts w:ascii="Times New Roman" w:hAnsi="Times New Roman"/>
      <w:color w:val="000000" w:themeColor="text1"/>
      <w:sz w:val="20"/>
    </w:rPr>
  </w:style>
  <w:style w:type="paragraph" w:styleId="Heading1">
    <w:name w:val="heading 1"/>
    <w:basedOn w:val="Normal"/>
    <w:next w:val="Normal"/>
    <w:link w:val="Heading1Char"/>
    <w:uiPriority w:val="9"/>
    <w:qFormat/>
    <w:rsid w:val="009A466C"/>
    <w:pPr>
      <w:keepNext/>
      <w:keepLines/>
      <w:spacing w:before="240"/>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150545"/>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50545"/>
    <w:pPr>
      <w:keepNext/>
      <w:keepLines/>
      <w:spacing w:before="40"/>
      <w:outlineLvl w:val="2"/>
    </w:pPr>
    <w:rPr>
      <w:rFonts w:eastAsiaTheme="majorEastAsia" w:cstheme="majorBidi"/>
      <w:b/>
    </w:rPr>
  </w:style>
  <w:style w:type="paragraph" w:styleId="Heading4">
    <w:name w:val="heading 4"/>
    <w:basedOn w:val="Normal"/>
    <w:next w:val="Normal"/>
    <w:link w:val="Heading4Char"/>
    <w:uiPriority w:val="9"/>
    <w:unhideWhenUsed/>
    <w:qFormat/>
    <w:rsid w:val="009A466C"/>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66C"/>
    <w:rPr>
      <w:rFonts w:ascii="Arial" w:eastAsiaTheme="majorEastAsia" w:hAnsi="Arial" w:cstheme="majorBidi"/>
      <w:b/>
      <w:color w:val="000000" w:themeColor="text1"/>
      <w:szCs w:val="32"/>
    </w:rPr>
  </w:style>
  <w:style w:type="character" w:customStyle="1" w:styleId="Heading2Char">
    <w:name w:val="Heading 2 Char"/>
    <w:basedOn w:val="DefaultParagraphFont"/>
    <w:link w:val="Heading2"/>
    <w:uiPriority w:val="9"/>
    <w:rsid w:val="00150545"/>
    <w:rPr>
      <w:rFonts w:ascii="Times New Roman" w:eastAsiaTheme="majorEastAsia" w:hAnsi="Times New Roman" w:cstheme="majorBidi"/>
      <w:b/>
      <w:color w:val="000000" w:themeColor="text1"/>
      <w:sz w:val="20"/>
      <w:szCs w:val="26"/>
    </w:rPr>
  </w:style>
  <w:style w:type="character" w:customStyle="1" w:styleId="Heading3Char">
    <w:name w:val="Heading 3 Char"/>
    <w:basedOn w:val="DefaultParagraphFont"/>
    <w:link w:val="Heading3"/>
    <w:uiPriority w:val="9"/>
    <w:rsid w:val="00150545"/>
    <w:rPr>
      <w:rFonts w:ascii="Times New Roman" w:eastAsiaTheme="majorEastAsia" w:hAnsi="Times New Roman" w:cstheme="majorBidi"/>
      <w:b/>
      <w:color w:val="000000" w:themeColor="text1"/>
      <w:sz w:val="20"/>
    </w:rPr>
  </w:style>
  <w:style w:type="paragraph" w:customStyle="1" w:styleId="bodytext">
    <w:name w:val="bodytext"/>
    <w:basedOn w:val="Normal"/>
    <w:rsid w:val="009A466C"/>
    <w:pPr>
      <w:spacing w:before="100" w:beforeAutospacing="1" w:after="100" w:afterAutospacing="1"/>
    </w:pPr>
    <w:rPr>
      <w:rFonts w:eastAsia="Times New Roman" w:cs="Times New Roman"/>
      <w:color w:val="auto"/>
      <w:kern w:val="0"/>
      <w:lang w:val="de-DE" w:eastAsia="de-DE"/>
      <w14:ligatures w14:val="none"/>
    </w:rPr>
  </w:style>
  <w:style w:type="paragraph" w:customStyle="1" w:styleId="EndNoteBibliographyTitle">
    <w:name w:val="EndNote Bibliography Title"/>
    <w:basedOn w:val="Normal"/>
    <w:link w:val="EndNoteBibliographyTitleChar"/>
    <w:rsid w:val="009A466C"/>
    <w:pPr>
      <w:jc w:val="center"/>
    </w:pPr>
    <w:rPr>
      <w:rFonts w:ascii="Arial" w:hAnsi="Arial" w:cs="Arial"/>
      <w:sz w:val="22"/>
    </w:rPr>
  </w:style>
  <w:style w:type="character" w:customStyle="1" w:styleId="EndNoteBibliographyTitleChar">
    <w:name w:val="EndNote Bibliography Title Char"/>
    <w:basedOn w:val="DefaultParagraphFont"/>
    <w:link w:val="EndNoteBibliographyTitle"/>
    <w:rsid w:val="009A466C"/>
    <w:rPr>
      <w:rFonts w:ascii="Arial" w:hAnsi="Arial" w:cs="Arial"/>
      <w:color w:val="000000" w:themeColor="text1"/>
      <w:sz w:val="22"/>
    </w:rPr>
  </w:style>
  <w:style w:type="paragraph" w:customStyle="1" w:styleId="EndNoteBibliography">
    <w:name w:val="EndNote Bibliography"/>
    <w:basedOn w:val="Normal"/>
    <w:link w:val="EndNoteBibliographyChar"/>
    <w:rsid w:val="009A466C"/>
    <w:rPr>
      <w:rFonts w:ascii="Arial" w:hAnsi="Arial" w:cs="Arial"/>
      <w:sz w:val="22"/>
    </w:rPr>
  </w:style>
  <w:style w:type="character" w:customStyle="1" w:styleId="EndNoteBibliographyChar">
    <w:name w:val="EndNote Bibliography Char"/>
    <w:basedOn w:val="DefaultParagraphFont"/>
    <w:link w:val="EndNoteBibliography"/>
    <w:rsid w:val="009A466C"/>
    <w:rPr>
      <w:rFonts w:ascii="Arial" w:hAnsi="Arial" w:cs="Arial"/>
      <w:color w:val="000000" w:themeColor="text1"/>
      <w:sz w:val="22"/>
    </w:rPr>
  </w:style>
  <w:style w:type="character" w:styleId="Hyperlink">
    <w:name w:val="Hyperlink"/>
    <w:basedOn w:val="DefaultParagraphFont"/>
    <w:uiPriority w:val="99"/>
    <w:unhideWhenUsed/>
    <w:rsid w:val="009A466C"/>
    <w:rPr>
      <w:color w:val="0563C1" w:themeColor="hyperlink"/>
      <w:u w:val="single"/>
    </w:rPr>
  </w:style>
  <w:style w:type="character" w:customStyle="1" w:styleId="UnresolvedMention1">
    <w:name w:val="Unresolved Mention1"/>
    <w:basedOn w:val="DefaultParagraphFont"/>
    <w:uiPriority w:val="99"/>
    <w:semiHidden/>
    <w:unhideWhenUsed/>
    <w:rsid w:val="009A466C"/>
    <w:rPr>
      <w:color w:val="605E5C"/>
      <w:shd w:val="clear" w:color="auto" w:fill="E1DFDD"/>
    </w:rPr>
  </w:style>
  <w:style w:type="paragraph" w:styleId="Footer">
    <w:name w:val="footer"/>
    <w:basedOn w:val="Normal"/>
    <w:link w:val="FooterChar"/>
    <w:uiPriority w:val="99"/>
    <w:unhideWhenUsed/>
    <w:rsid w:val="009A466C"/>
    <w:pPr>
      <w:tabs>
        <w:tab w:val="center" w:pos="4680"/>
        <w:tab w:val="right" w:pos="9360"/>
      </w:tabs>
    </w:pPr>
  </w:style>
  <w:style w:type="character" w:customStyle="1" w:styleId="FooterChar">
    <w:name w:val="Footer Char"/>
    <w:basedOn w:val="DefaultParagraphFont"/>
    <w:link w:val="Footer"/>
    <w:uiPriority w:val="99"/>
    <w:rsid w:val="009A466C"/>
    <w:rPr>
      <w:rFonts w:ascii="Arial" w:hAnsi="Arial"/>
      <w:color w:val="000000" w:themeColor="text1"/>
      <w:sz w:val="22"/>
    </w:rPr>
  </w:style>
  <w:style w:type="character" w:styleId="PageNumber">
    <w:name w:val="page number"/>
    <w:basedOn w:val="DefaultParagraphFont"/>
    <w:uiPriority w:val="99"/>
    <w:semiHidden/>
    <w:unhideWhenUsed/>
    <w:rsid w:val="009A466C"/>
  </w:style>
  <w:style w:type="character" w:styleId="CommentReference">
    <w:name w:val="annotation reference"/>
    <w:basedOn w:val="DefaultParagraphFont"/>
    <w:uiPriority w:val="99"/>
    <w:semiHidden/>
    <w:unhideWhenUsed/>
    <w:rsid w:val="009A466C"/>
    <w:rPr>
      <w:sz w:val="16"/>
      <w:szCs w:val="16"/>
    </w:rPr>
  </w:style>
  <w:style w:type="paragraph" w:styleId="CommentText">
    <w:name w:val="annotation text"/>
    <w:basedOn w:val="Normal"/>
    <w:link w:val="CommentTextChar"/>
    <w:uiPriority w:val="99"/>
    <w:unhideWhenUsed/>
    <w:rsid w:val="009A466C"/>
    <w:rPr>
      <w:szCs w:val="20"/>
    </w:rPr>
  </w:style>
  <w:style w:type="character" w:customStyle="1" w:styleId="CommentTextChar">
    <w:name w:val="Comment Text Char"/>
    <w:basedOn w:val="DefaultParagraphFont"/>
    <w:link w:val="CommentText"/>
    <w:uiPriority w:val="99"/>
    <w:rsid w:val="009A466C"/>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9A466C"/>
    <w:rPr>
      <w:b/>
      <w:bCs/>
    </w:rPr>
  </w:style>
  <w:style w:type="character" w:customStyle="1" w:styleId="CommentSubjectChar">
    <w:name w:val="Comment Subject Char"/>
    <w:basedOn w:val="CommentTextChar"/>
    <w:link w:val="CommentSubject"/>
    <w:uiPriority w:val="99"/>
    <w:semiHidden/>
    <w:rsid w:val="009A466C"/>
    <w:rPr>
      <w:rFonts w:ascii="Arial" w:hAnsi="Arial"/>
      <w:b/>
      <w:bCs/>
      <w:color w:val="000000" w:themeColor="text1"/>
      <w:sz w:val="20"/>
      <w:szCs w:val="20"/>
    </w:rPr>
  </w:style>
  <w:style w:type="character" w:styleId="Strong">
    <w:name w:val="Strong"/>
    <w:basedOn w:val="DefaultParagraphFont"/>
    <w:uiPriority w:val="22"/>
    <w:qFormat/>
    <w:rsid w:val="009A466C"/>
    <w:rPr>
      <w:b/>
      <w:bCs/>
    </w:rPr>
  </w:style>
  <w:style w:type="character" w:customStyle="1" w:styleId="gtfootnotemarks">
    <w:name w:val="gt_footnote_marks"/>
    <w:basedOn w:val="DefaultParagraphFont"/>
    <w:rsid w:val="009A466C"/>
  </w:style>
  <w:style w:type="paragraph" w:styleId="Revision">
    <w:name w:val="Revision"/>
    <w:hidden/>
    <w:uiPriority w:val="99"/>
    <w:semiHidden/>
    <w:rsid w:val="009A466C"/>
    <w:rPr>
      <w:rFonts w:ascii="Arial" w:hAnsi="Arial"/>
      <w:color w:val="000000" w:themeColor="text1"/>
      <w:sz w:val="22"/>
    </w:rPr>
  </w:style>
  <w:style w:type="character" w:styleId="FollowedHyperlink">
    <w:name w:val="FollowedHyperlink"/>
    <w:basedOn w:val="DefaultParagraphFont"/>
    <w:uiPriority w:val="99"/>
    <w:semiHidden/>
    <w:unhideWhenUsed/>
    <w:rsid w:val="009A466C"/>
    <w:rPr>
      <w:color w:val="954F72" w:themeColor="followedHyperlink"/>
      <w:u w:val="single"/>
    </w:rPr>
  </w:style>
  <w:style w:type="paragraph" w:styleId="NormalWeb">
    <w:name w:val="Normal (Web)"/>
    <w:basedOn w:val="Normal"/>
    <w:uiPriority w:val="99"/>
    <w:semiHidden/>
    <w:unhideWhenUsed/>
    <w:rsid w:val="009A466C"/>
    <w:rPr>
      <w:rFonts w:cs="Times New Roman"/>
      <w:sz w:val="24"/>
    </w:rPr>
  </w:style>
  <w:style w:type="table" w:styleId="TableGrid">
    <w:name w:val="Table Grid"/>
    <w:basedOn w:val="TableNormal"/>
    <w:uiPriority w:val="39"/>
    <w:rsid w:val="009A4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A466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466C"/>
    <w:pPr>
      <w:ind w:left="720"/>
      <w:contextualSpacing/>
    </w:pPr>
  </w:style>
  <w:style w:type="character" w:customStyle="1" w:styleId="apple-converted-space">
    <w:name w:val="apple-converted-space"/>
    <w:basedOn w:val="DefaultParagraphFont"/>
    <w:rsid w:val="009A466C"/>
  </w:style>
  <w:style w:type="paragraph" w:styleId="BalloonText">
    <w:name w:val="Balloon Text"/>
    <w:basedOn w:val="Normal"/>
    <w:link w:val="BalloonTextChar"/>
    <w:uiPriority w:val="99"/>
    <w:semiHidden/>
    <w:unhideWhenUsed/>
    <w:rsid w:val="009A46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66C"/>
    <w:rPr>
      <w:rFonts w:ascii="Segoe UI" w:hAnsi="Segoe UI" w:cs="Segoe UI"/>
      <w:color w:val="000000" w:themeColor="text1"/>
      <w:sz w:val="18"/>
      <w:szCs w:val="18"/>
    </w:rPr>
  </w:style>
  <w:style w:type="character" w:customStyle="1" w:styleId="UnresolvedMention">
    <w:name w:val="Unresolved Mention"/>
    <w:basedOn w:val="DefaultParagraphFont"/>
    <w:uiPriority w:val="99"/>
    <w:semiHidden/>
    <w:unhideWhenUsed/>
    <w:rsid w:val="009A466C"/>
    <w:rPr>
      <w:color w:val="605E5C"/>
      <w:shd w:val="clear" w:color="auto" w:fill="E1DFDD"/>
    </w:rPr>
  </w:style>
  <w:style w:type="paragraph" w:styleId="Header">
    <w:name w:val="header"/>
    <w:basedOn w:val="Normal"/>
    <w:link w:val="HeaderChar"/>
    <w:uiPriority w:val="99"/>
    <w:unhideWhenUsed/>
    <w:rsid w:val="009A466C"/>
    <w:pPr>
      <w:tabs>
        <w:tab w:val="center" w:pos="4680"/>
        <w:tab w:val="right" w:pos="9360"/>
      </w:tabs>
    </w:pPr>
  </w:style>
  <w:style w:type="character" w:customStyle="1" w:styleId="HeaderChar">
    <w:name w:val="Header Char"/>
    <w:basedOn w:val="DefaultParagraphFont"/>
    <w:link w:val="Header"/>
    <w:uiPriority w:val="99"/>
    <w:rsid w:val="009A466C"/>
    <w:rPr>
      <w:rFonts w:ascii="Arial" w:hAnsi="Arial"/>
      <w:color w:val="000000" w:themeColor="text1"/>
      <w:sz w:val="22"/>
    </w:rPr>
  </w:style>
  <w:style w:type="character" w:customStyle="1" w:styleId="Heading4Char">
    <w:name w:val="Heading 4 Char"/>
    <w:basedOn w:val="DefaultParagraphFont"/>
    <w:link w:val="Heading4"/>
    <w:uiPriority w:val="9"/>
    <w:rsid w:val="009A466C"/>
    <w:rPr>
      <w:rFonts w:ascii="Arial" w:eastAsiaTheme="majorEastAsia" w:hAnsi="Arial" w:cstheme="majorBidi"/>
      <w:i/>
      <w:iCs/>
      <w:color w:val="000000" w:themeColor="text1"/>
      <w:sz w:val="22"/>
    </w:rPr>
  </w:style>
  <w:style w:type="paragraph" w:styleId="TOCHeading">
    <w:name w:val="TOC Heading"/>
    <w:basedOn w:val="Heading1"/>
    <w:next w:val="Normal"/>
    <w:uiPriority w:val="39"/>
    <w:unhideWhenUsed/>
    <w:qFormat/>
    <w:rsid w:val="009A466C"/>
    <w:pPr>
      <w:spacing w:before="480" w:line="276" w:lineRule="auto"/>
      <w:jc w:val="left"/>
      <w:outlineLvl w:val="9"/>
    </w:pPr>
    <w:rPr>
      <w:rFonts w:asciiTheme="majorHAnsi" w:hAnsiTheme="majorHAnsi"/>
      <w:bCs/>
      <w:color w:val="2F5496" w:themeColor="accent1" w:themeShade="BF"/>
      <w:kern w:val="0"/>
      <w:sz w:val="28"/>
      <w:szCs w:val="28"/>
      <w14:ligatures w14:val="none"/>
    </w:rPr>
  </w:style>
  <w:style w:type="paragraph" w:styleId="TOC1">
    <w:name w:val="toc 1"/>
    <w:basedOn w:val="Normal"/>
    <w:next w:val="Normal"/>
    <w:autoRedefine/>
    <w:uiPriority w:val="39"/>
    <w:unhideWhenUsed/>
    <w:rsid w:val="009A466C"/>
    <w:pPr>
      <w:spacing w:before="120"/>
    </w:pPr>
    <w:rPr>
      <w:rFonts w:asciiTheme="minorHAnsi" w:hAnsiTheme="minorHAnsi" w:cstheme="minorHAnsi"/>
      <w:b/>
      <w:bCs/>
      <w:i/>
      <w:iCs/>
      <w:sz w:val="24"/>
    </w:rPr>
  </w:style>
  <w:style w:type="paragraph" w:styleId="TOC2">
    <w:name w:val="toc 2"/>
    <w:basedOn w:val="Normal"/>
    <w:next w:val="Normal"/>
    <w:autoRedefine/>
    <w:uiPriority w:val="39"/>
    <w:unhideWhenUsed/>
    <w:rsid w:val="00AE07C3"/>
    <w:pPr>
      <w:tabs>
        <w:tab w:val="right" w:leader="dot" w:pos="9350"/>
      </w:tabs>
      <w:spacing w:before="120"/>
      <w:ind w:left="220"/>
    </w:pPr>
    <w:rPr>
      <w:rFonts w:asciiTheme="minorHAnsi" w:hAnsiTheme="minorHAnsi" w:cstheme="minorHAnsi"/>
      <w:b/>
      <w:bCs/>
      <w:szCs w:val="22"/>
    </w:rPr>
  </w:style>
  <w:style w:type="paragraph" w:styleId="TOC3">
    <w:name w:val="toc 3"/>
    <w:basedOn w:val="Normal"/>
    <w:next w:val="Normal"/>
    <w:autoRedefine/>
    <w:uiPriority w:val="39"/>
    <w:unhideWhenUsed/>
    <w:rsid w:val="009A466C"/>
    <w:pPr>
      <w:ind w:left="440"/>
    </w:pPr>
    <w:rPr>
      <w:rFonts w:asciiTheme="minorHAnsi" w:hAnsiTheme="minorHAnsi" w:cstheme="minorHAnsi"/>
      <w:szCs w:val="20"/>
    </w:rPr>
  </w:style>
  <w:style w:type="paragraph" w:styleId="TOC4">
    <w:name w:val="toc 4"/>
    <w:basedOn w:val="Normal"/>
    <w:next w:val="Normal"/>
    <w:autoRedefine/>
    <w:uiPriority w:val="39"/>
    <w:unhideWhenUsed/>
    <w:rsid w:val="009A466C"/>
    <w:pPr>
      <w:ind w:left="660"/>
    </w:pPr>
    <w:rPr>
      <w:rFonts w:asciiTheme="minorHAnsi" w:hAnsiTheme="minorHAnsi" w:cstheme="minorHAnsi"/>
      <w:szCs w:val="20"/>
    </w:rPr>
  </w:style>
  <w:style w:type="paragraph" w:styleId="TOC5">
    <w:name w:val="toc 5"/>
    <w:basedOn w:val="Normal"/>
    <w:next w:val="Normal"/>
    <w:autoRedefine/>
    <w:uiPriority w:val="39"/>
    <w:semiHidden/>
    <w:unhideWhenUsed/>
    <w:rsid w:val="009A466C"/>
    <w:pPr>
      <w:ind w:left="880"/>
    </w:pPr>
    <w:rPr>
      <w:rFonts w:asciiTheme="minorHAnsi" w:hAnsiTheme="minorHAnsi" w:cstheme="minorHAnsi"/>
      <w:szCs w:val="20"/>
    </w:rPr>
  </w:style>
  <w:style w:type="paragraph" w:styleId="TOC6">
    <w:name w:val="toc 6"/>
    <w:basedOn w:val="Normal"/>
    <w:next w:val="Normal"/>
    <w:autoRedefine/>
    <w:uiPriority w:val="39"/>
    <w:semiHidden/>
    <w:unhideWhenUsed/>
    <w:rsid w:val="009A466C"/>
    <w:pPr>
      <w:ind w:left="1100"/>
    </w:pPr>
    <w:rPr>
      <w:rFonts w:asciiTheme="minorHAnsi" w:hAnsiTheme="minorHAnsi" w:cstheme="minorHAnsi"/>
      <w:szCs w:val="20"/>
    </w:rPr>
  </w:style>
  <w:style w:type="paragraph" w:styleId="TOC7">
    <w:name w:val="toc 7"/>
    <w:basedOn w:val="Normal"/>
    <w:next w:val="Normal"/>
    <w:autoRedefine/>
    <w:uiPriority w:val="39"/>
    <w:semiHidden/>
    <w:unhideWhenUsed/>
    <w:rsid w:val="009A466C"/>
    <w:pPr>
      <w:ind w:left="1320"/>
    </w:pPr>
    <w:rPr>
      <w:rFonts w:asciiTheme="minorHAnsi" w:hAnsiTheme="minorHAnsi" w:cstheme="minorHAnsi"/>
      <w:szCs w:val="20"/>
    </w:rPr>
  </w:style>
  <w:style w:type="paragraph" w:styleId="TOC8">
    <w:name w:val="toc 8"/>
    <w:basedOn w:val="Normal"/>
    <w:next w:val="Normal"/>
    <w:autoRedefine/>
    <w:uiPriority w:val="39"/>
    <w:semiHidden/>
    <w:unhideWhenUsed/>
    <w:rsid w:val="009A466C"/>
    <w:pPr>
      <w:ind w:left="1540"/>
    </w:pPr>
    <w:rPr>
      <w:rFonts w:asciiTheme="minorHAnsi" w:hAnsiTheme="minorHAnsi" w:cstheme="minorHAnsi"/>
      <w:szCs w:val="20"/>
    </w:rPr>
  </w:style>
  <w:style w:type="paragraph" w:styleId="TOC9">
    <w:name w:val="toc 9"/>
    <w:basedOn w:val="Normal"/>
    <w:next w:val="Normal"/>
    <w:autoRedefine/>
    <w:uiPriority w:val="39"/>
    <w:semiHidden/>
    <w:unhideWhenUsed/>
    <w:rsid w:val="009A466C"/>
    <w:pPr>
      <w:ind w:left="1760"/>
    </w:pPr>
    <w:rPr>
      <w:rFonts w:asciiTheme="minorHAnsi" w:hAnsiTheme="minorHAnsi" w:cstheme="minorHAnsi"/>
      <w:szCs w:val="20"/>
    </w:rPr>
  </w:style>
  <w:style w:type="paragraph" w:customStyle="1" w:styleId="whitespace-normal">
    <w:name w:val="whitespace-normal"/>
    <w:basedOn w:val="Normal"/>
    <w:rsid w:val="00432713"/>
    <w:pPr>
      <w:spacing w:before="100" w:beforeAutospacing="1" w:after="100" w:afterAutospacing="1"/>
    </w:pPr>
    <w:rPr>
      <w:rFonts w:eastAsia="Times New Roman" w:cs="Times New Roman"/>
      <w:color w:val="auto"/>
      <w:kern w:val="0"/>
      <w:sz w:val="24"/>
      <w:lang w:eastAsia="en-GB"/>
      <w14:ligatures w14:val="none"/>
    </w:rPr>
  </w:style>
  <w:style w:type="paragraph" w:styleId="NoSpacing">
    <w:name w:val="No Spacing"/>
    <w:uiPriority w:val="1"/>
    <w:qFormat/>
    <w:rsid w:val="002D36FA"/>
    <w:rPr>
      <w:rFonts w:ascii="Times New Roman" w:hAnsi="Times New Roman"/>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1426">
      <w:bodyDiv w:val="1"/>
      <w:marLeft w:val="0"/>
      <w:marRight w:val="0"/>
      <w:marTop w:val="0"/>
      <w:marBottom w:val="0"/>
      <w:divBdr>
        <w:top w:val="none" w:sz="0" w:space="0" w:color="auto"/>
        <w:left w:val="none" w:sz="0" w:space="0" w:color="auto"/>
        <w:bottom w:val="none" w:sz="0" w:space="0" w:color="auto"/>
        <w:right w:val="none" w:sz="0" w:space="0" w:color="auto"/>
      </w:divBdr>
    </w:div>
    <w:div w:id="941575982">
      <w:bodyDiv w:val="1"/>
      <w:marLeft w:val="0"/>
      <w:marRight w:val="0"/>
      <w:marTop w:val="0"/>
      <w:marBottom w:val="0"/>
      <w:divBdr>
        <w:top w:val="none" w:sz="0" w:space="0" w:color="auto"/>
        <w:left w:val="none" w:sz="0" w:space="0" w:color="auto"/>
        <w:bottom w:val="none" w:sz="0" w:space="0" w:color="auto"/>
        <w:right w:val="none" w:sz="0" w:space="0" w:color="auto"/>
      </w:divBdr>
    </w:div>
    <w:div w:id="1203135140">
      <w:bodyDiv w:val="1"/>
      <w:marLeft w:val="0"/>
      <w:marRight w:val="0"/>
      <w:marTop w:val="0"/>
      <w:marBottom w:val="0"/>
      <w:divBdr>
        <w:top w:val="none" w:sz="0" w:space="0" w:color="auto"/>
        <w:left w:val="none" w:sz="0" w:space="0" w:color="auto"/>
        <w:bottom w:val="none" w:sz="0" w:space="0" w:color="auto"/>
        <w:right w:val="none" w:sz="0" w:space="0" w:color="auto"/>
      </w:divBdr>
    </w:div>
    <w:div w:id="1336032798">
      <w:bodyDiv w:val="1"/>
      <w:marLeft w:val="0"/>
      <w:marRight w:val="0"/>
      <w:marTop w:val="0"/>
      <w:marBottom w:val="0"/>
      <w:divBdr>
        <w:top w:val="none" w:sz="0" w:space="0" w:color="auto"/>
        <w:left w:val="none" w:sz="0" w:space="0" w:color="auto"/>
        <w:bottom w:val="none" w:sz="0" w:space="0" w:color="auto"/>
        <w:right w:val="none" w:sz="0" w:space="0" w:color="auto"/>
      </w:divBdr>
    </w:div>
    <w:div w:id="165579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391FA3-A922-174F-8871-5EA2341CB763}">
  <we:reference id="wa200001011" version="1.2.0.0" store="de-DE" storeType="OMEX"/>
  <we:alternateReferences>
    <we:reference id="wa200001011" version="1.2.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A3686-BE55-4F49-8387-CB5CD6246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4925</Words>
  <Characters>28078</Characters>
  <Application>Microsoft Office Word</Application>
  <DocSecurity>0</DocSecurity>
  <Lines>233</Lines>
  <Paragraphs>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 Matthias</dc:creator>
  <cp:keywords/>
  <dc:description/>
  <cp:lastModifiedBy>Priyanka R</cp:lastModifiedBy>
  <cp:revision>7</cp:revision>
  <cp:lastPrinted>2026-06-11T08:35:00Z</cp:lastPrinted>
  <dcterms:created xsi:type="dcterms:W3CDTF">2026-06-14T10:48:00Z</dcterms:created>
  <dcterms:modified xsi:type="dcterms:W3CDTF">2026-06-16T07:54:00Z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documentId_4228</vt:lpwstr>
  </property>
  <property fmtid="{D5CDD505-2E9C-101B-9397-08002B2CF9AE}" pid="3" name="grammarly_documentContext">
    <vt:lpwstr>{"goals":[],"domain":"general","emotions":[],"dialect":"american"}</vt:lpwstr>
  </property>
</Properties>
</file>