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E8883" w14:textId="6BCBC8F1" w:rsidR="00393B28" w:rsidRPr="00393B28" w:rsidRDefault="00393B28" w:rsidP="0047732C">
      <w:pPr>
        <w:spacing w:line="360" w:lineRule="auto"/>
        <w:jc w:val="center"/>
        <w:rPr>
          <w:rFonts w:ascii="Arial" w:hAnsi="Arial" w:cs="Arial"/>
          <w:b/>
          <w:bCs/>
          <w:iCs/>
          <w:sz w:val="32"/>
          <w:szCs w:val="32"/>
          <w:lang w:val="en-US"/>
        </w:rPr>
      </w:pPr>
      <w:r w:rsidRPr="00393B28">
        <w:rPr>
          <w:rFonts w:ascii="Arial" w:hAnsi="Arial" w:cs="Arial"/>
          <w:b/>
          <w:bCs/>
          <w:iCs/>
          <w:sz w:val="32"/>
          <w:szCs w:val="32"/>
          <w:lang w:val="en-US"/>
        </w:rPr>
        <w:t xml:space="preserve">Supplemental Appendix </w:t>
      </w:r>
    </w:p>
    <w:p w14:paraId="7CC0ADD0" w14:textId="1C0015D4" w:rsidR="00393B28" w:rsidRPr="00393B28" w:rsidRDefault="00393B28" w:rsidP="00393B28">
      <w:pPr>
        <w:spacing w:line="360" w:lineRule="auto"/>
        <w:jc w:val="center"/>
        <w:rPr>
          <w:rFonts w:ascii="Arial" w:hAnsi="Arial" w:cs="Arial"/>
          <w:b/>
          <w:bCs/>
          <w:iCs/>
          <w:sz w:val="32"/>
          <w:szCs w:val="32"/>
          <w:lang w:val="en-US"/>
        </w:rPr>
      </w:pPr>
      <w:r w:rsidRPr="00393B28">
        <w:rPr>
          <w:rFonts w:ascii="Arial" w:hAnsi="Arial" w:cs="Arial"/>
          <w:b/>
          <w:bCs/>
          <w:iCs/>
          <w:sz w:val="32"/>
          <w:szCs w:val="32"/>
          <w:lang w:val="en-US"/>
        </w:rPr>
        <w:t>to</w:t>
      </w:r>
    </w:p>
    <w:p w14:paraId="230B8613" w14:textId="0567DE1D" w:rsidR="0083531F" w:rsidRDefault="0083531F" w:rsidP="0047732C">
      <w:pPr>
        <w:spacing w:line="360" w:lineRule="auto"/>
        <w:jc w:val="center"/>
        <w:rPr>
          <w:rFonts w:ascii="Arial" w:hAnsi="Arial" w:cs="Arial"/>
          <w:b/>
          <w:bCs/>
          <w:iCs/>
          <w:sz w:val="32"/>
          <w:szCs w:val="32"/>
          <w:lang w:val="en-US"/>
        </w:rPr>
      </w:pPr>
      <w:r w:rsidRPr="00393B28">
        <w:rPr>
          <w:rFonts w:ascii="Arial" w:hAnsi="Arial" w:cs="Arial"/>
          <w:b/>
          <w:bCs/>
          <w:iCs/>
          <w:sz w:val="32"/>
          <w:szCs w:val="32"/>
          <w:lang w:val="en-US"/>
        </w:rPr>
        <w:t>Feasibility and Safety of Rapid Glofitamab Ramp-up</w:t>
      </w:r>
      <w:r w:rsidR="0082545C" w:rsidRPr="00393B28">
        <w:rPr>
          <w:rFonts w:ascii="Arial" w:hAnsi="Arial" w:cs="Arial"/>
          <w:b/>
          <w:bCs/>
          <w:iCs/>
          <w:sz w:val="32"/>
          <w:szCs w:val="32"/>
          <w:lang w:val="en-US"/>
        </w:rPr>
        <w:t xml:space="preserve"> </w:t>
      </w:r>
    </w:p>
    <w:p w14:paraId="5404ACA1" w14:textId="343F9B32" w:rsidR="006C3251" w:rsidRPr="006C3251" w:rsidRDefault="006C3251" w:rsidP="0047732C">
      <w:pPr>
        <w:spacing w:line="360" w:lineRule="auto"/>
        <w:jc w:val="center"/>
        <w:rPr>
          <w:rFonts w:ascii="Arial" w:hAnsi="Arial" w:cs="Arial"/>
          <w:iCs/>
          <w:lang w:val="en-US"/>
        </w:rPr>
      </w:pPr>
      <w:r w:rsidRPr="006C3251">
        <w:rPr>
          <w:rFonts w:ascii="Arial" w:hAnsi="Arial" w:cs="Arial"/>
          <w:iCs/>
          <w:lang w:val="en-US"/>
        </w:rPr>
        <w:t>by</w:t>
      </w:r>
    </w:p>
    <w:p w14:paraId="62003BE1" w14:textId="1FF38D12" w:rsidR="006C3251" w:rsidRDefault="006C3251" w:rsidP="006C3251">
      <w:pPr>
        <w:spacing w:line="276" w:lineRule="auto"/>
        <w:jc w:val="both"/>
        <w:rPr>
          <w:rFonts w:ascii="Arial" w:hAnsi="Arial" w:cs="Arial"/>
          <w:iCs/>
          <w:sz w:val="22"/>
          <w:szCs w:val="22"/>
          <w:vertAlign w:val="superscript"/>
          <w:lang w:val="en-US"/>
        </w:rPr>
      </w:pPr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Celine H </w:t>
      </w:r>
      <w:proofErr w:type="spellStart"/>
      <w:r w:rsidRPr="00B74D0E">
        <w:rPr>
          <w:rFonts w:ascii="Arial" w:hAnsi="Arial" w:cs="Arial"/>
          <w:iCs/>
          <w:sz w:val="22"/>
          <w:szCs w:val="22"/>
          <w:lang w:val="en-US"/>
        </w:rPr>
        <w:t>Liem</w:t>
      </w:r>
      <w:proofErr w:type="spellEnd"/>
      <w:r w:rsidRPr="00B74D0E">
        <w:rPr>
          <w:rFonts w:ascii="Arial" w:hAnsi="Arial" w:cs="Arial"/>
          <w:iCs/>
          <w:sz w:val="22"/>
          <w:szCs w:val="22"/>
          <w:lang w:val="en-US"/>
        </w:rPr>
        <w:t>, Rebecca Wurm-Kuc</w:t>
      </w:r>
      <w:r>
        <w:rPr>
          <w:rFonts w:ascii="Arial" w:hAnsi="Arial" w:cs="Arial"/>
          <w:iCs/>
          <w:sz w:val="22"/>
          <w:szCs w:val="22"/>
          <w:lang w:val="en-US"/>
        </w:rPr>
        <w:t>z</w:t>
      </w:r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era, David </w:t>
      </w:r>
      <w:proofErr w:type="spellStart"/>
      <w:r w:rsidRPr="00B74D0E">
        <w:rPr>
          <w:rFonts w:ascii="Arial" w:hAnsi="Arial" w:cs="Arial"/>
          <w:iCs/>
          <w:sz w:val="22"/>
          <w:szCs w:val="22"/>
          <w:lang w:val="en-US"/>
        </w:rPr>
        <w:t>Böckl</w:t>
      </w:r>
      <w:r>
        <w:rPr>
          <w:rFonts w:ascii="Arial" w:hAnsi="Arial" w:cs="Arial"/>
          <w:iCs/>
          <w:sz w:val="22"/>
          <w:szCs w:val="22"/>
          <w:lang w:val="en-US"/>
        </w:rPr>
        <w:t>e</w:t>
      </w:r>
      <w:proofErr w:type="spellEnd"/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>
        <w:rPr>
          <w:rFonts w:ascii="Arial" w:hAnsi="Arial" w:cs="Arial"/>
          <w:iCs/>
          <w:sz w:val="22"/>
          <w:szCs w:val="22"/>
          <w:lang w:val="en-US"/>
        </w:rPr>
        <w:t xml:space="preserve">Marie 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 xml:space="preserve">Anne-Catherine Neumann, 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Marcel Teichert, 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 xml:space="preserve">Urban Novak, 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Merle Klein </w:t>
      </w:r>
      <w:proofErr w:type="spellStart"/>
      <w:r w:rsidRPr="00B74D0E">
        <w:rPr>
          <w:rFonts w:ascii="Arial" w:hAnsi="Arial" w:cs="Arial"/>
          <w:sz w:val="22"/>
          <w:szCs w:val="22"/>
          <w:lang w:val="en-US"/>
        </w:rPr>
        <w:t>Helmkamp</w:t>
      </w:r>
      <w:proofErr w:type="spellEnd"/>
      <w:r w:rsidRPr="00B74D0E">
        <w:rPr>
          <w:rFonts w:ascii="Arial" w:hAnsi="Arial" w:cs="Arial"/>
          <w:sz w:val="22"/>
          <w:szCs w:val="22"/>
          <w:lang w:val="en-US"/>
        </w:rPr>
        <w:t xml:space="preserve">, Evgenii </w:t>
      </w:r>
      <w:proofErr w:type="spellStart"/>
      <w:r w:rsidRPr="00B74D0E">
        <w:rPr>
          <w:rFonts w:ascii="Arial" w:hAnsi="Arial" w:cs="Arial"/>
          <w:sz w:val="22"/>
          <w:szCs w:val="22"/>
          <w:lang w:val="en-US"/>
        </w:rPr>
        <w:t>Shumilov</w:t>
      </w:r>
      <w:proofErr w:type="spellEnd"/>
      <w:r w:rsidRPr="00B74D0E">
        <w:rPr>
          <w:rFonts w:ascii="Arial" w:hAnsi="Arial" w:cs="Arial"/>
          <w:sz w:val="22"/>
          <w:szCs w:val="22"/>
          <w:lang w:val="en-US"/>
        </w:rPr>
        <w:t xml:space="preserve">, Nina </w:t>
      </w:r>
      <w:proofErr w:type="spellStart"/>
      <w:r w:rsidRPr="00B74D0E">
        <w:rPr>
          <w:rFonts w:ascii="Arial" w:hAnsi="Arial" w:cs="Arial"/>
          <w:sz w:val="22"/>
          <w:szCs w:val="22"/>
          <w:lang w:val="en-US"/>
        </w:rPr>
        <w:t>Malburg</w:t>
      </w:r>
      <w:proofErr w:type="spellEnd"/>
      <w:r w:rsidRPr="00B74D0E">
        <w:rPr>
          <w:rFonts w:ascii="Arial" w:hAnsi="Arial" w:cs="Arial"/>
          <w:sz w:val="22"/>
          <w:szCs w:val="22"/>
          <w:lang w:val="en-US"/>
        </w:rPr>
        <w:t xml:space="preserve">, Tim </w:t>
      </w:r>
      <w:proofErr w:type="spellStart"/>
      <w:r w:rsidRPr="00B74D0E">
        <w:rPr>
          <w:rFonts w:ascii="Arial" w:hAnsi="Arial" w:cs="Arial"/>
          <w:sz w:val="22"/>
          <w:szCs w:val="22"/>
          <w:lang w:val="en-US"/>
        </w:rPr>
        <w:t>Versteegen</w:t>
      </w:r>
      <w:proofErr w:type="spellEnd"/>
      <w:r w:rsidRPr="00B74D0E">
        <w:rPr>
          <w:rFonts w:ascii="Arial" w:hAnsi="Arial" w:cs="Arial"/>
          <w:sz w:val="22"/>
          <w:szCs w:val="22"/>
          <w:lang w:val="en-US"/>
        </w:rPr>
        <w:t xml:space="preserve">, Fabian Görke, 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Giulia Magno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, 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 xml:space="preserve">Susanne Ghandili, Joseph </w:t>
      </w:r>
      <w:proofErr w:type="spellStart"/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Kauer</w:t>
      </w:r>
      <w:proofErr w:type="spellEnd"/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,</w:t>
      </w:r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Konstantinos Christofyllakis, 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Thomas Me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l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chardt, Peter Dreger</w:t>
      </w:r>
      <w:r w:rsidRPr="00B74D0E">
        <w:rPr>
          <w:rFonts w:ascii="Arial" w:hAnsi="Arial" w:cs="Arial"/>
          <w:iCs/>
          <w:sz w:val="22"/>
          <w:szCs w:val="22"/>
          <w:lang w:val="en-US"/>
        </w:rPr>
        <w:t>,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 xml:space="preserve"> </w:t>
      </w:r>
      <w:r w:rsidRPr="00B74D0E">
        <w:rPr>
          <w:rFonts w:ascii="Arial" w:hAnsi="Arial" w:cs="Arial"/>
          <w:sz w:val="22"/>
          <w:szCs w:val="22"/>
          <w:lang w:val="en-US"/>
        </w:rPr>
        <w:t>Francis Ayuk</w:t>
      </w:r>
      <w:r w:rsidRPr="00B74D0E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 xml:space="preserve">, Marion Subklewe, Vladan </w:t>
      </w:r>
      <w:r w:rsidRPr="0047732C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Vu</w:t>
      </w:r>
      <w:r w:rsidRPr="00FA3839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č</w:t>
      </w:r>
      <w:r w:rsidRPr="0047732C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ini</w:t>
      </w:r>
      <w:r w:rsidRPr="00E978D6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de-DE"/>
          <w14:ligatures w14:val="none"/>
        </w:rPr>
        <w:t>ć</w:t>
      </w:r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Christiane Pott, </w:t>
      </w:r>
      <w:r>
        <w:rPr>
          <w:rFonts w:ascii="Arial" w:hAnsi="Arial" w:cs="Arial"/>
          <w:sz w:val="22"/>
          <w:szCs w:val="22"/>
          <w:lang w:val="en-US"/>
        </w:rPr>
        <w:t xml:space="preserve">Hans 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Christian Reinhardt, </w:t>
      </w:r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Georg Lenz, </w:t>
      </w:r>
      <w:r w:rsidRPr="00B74D0E">
        <w:rPr>
          <w:rFonts w:ascii="Arial" w:hAnsi="Arial" w:cs="Arial"/>
          <w:sz w:val="22"/>
          <w:szCs w:val="22"/>
          <w:lang w:val="en-US"/>
        </w:rPr>
        <w:t xml:space="preserve">Bastian von Tresckow, </w:t>
      </w:r>
      <w:r w:rsidRPr="00B74D0E">
        <w:rPr>
          <w:rFonts w:ascii="Arial" w:hAnsi="Arial" w:cs="Arial"/>
          <w:iCs/>
          <w:sz w:val="22"/>
          <w:szCs w:val="22"/>
          <w:lang w:val="en-US"/>
        </w:rPr>
        <w:t xml:space="preserve">Thomas Pabst, Peter Borchmann, </w:t>
      </w:r>
      <w:r>
        <w:rPr>
          <w:rFonts w:ascii="Arial" w:hAnsi="Arial" w:cs="Arial"/>
          <w:iCs/>
          <w:sz w:val="22"/>
          <w:szCs w:val="22"/>
          <w:lang w:val="en-US"/>
        </w:rPr>
        <w:t xml:space="preserve">Antonia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Busse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 w:rsidRPr="00B74D0E">
        <w:rPr>
          <w:rFonts w:ascii="Arial" w:hAnsi="Arial" w:cs="Arial"/>
          <w:iCs/>
          <w:sz w:val="22"/>
          <w:szCs w:val="22"/>
          <w:lang w:val="en-US"/>
        </w:rPr>
        <w:t>Ulrich Keller, Björn Chapuy</w:t>
      </w:r>
    </w:p>
    <w:p w14:paraId="5C341C7B" w14:textId="77777777" w:rsidR="00F61104" w:rsidRDefault="00F61104" w:rsidP="001D48D1">
      <w:pPr>
        <w:spacing w:line="360" w:lineRule="auto"/>
        <w:rPr>
          <w:rFonts w:ascii="Arial" w:hAnsi="Arial" w:cs="Arial"/>
          <w:iCs/>
          <w:sz w:val="22"/>
          <w:szCs w:val="22"/>
          <w:lang w:val="en-US"/>
        </w:rPr>
      </w:pPr>
    </w:p>
    <w:p w14:paraId="4795377D" w14:textId="77777777" w:rsidR="00EF484C" w:rsidRDefault="00EF484C" w:rsidP="001D48D1">
      <w:pPr>
        <w:spacing w:line="360" w:lineRule="auto"/>
        <w:rPr>
          <w:rFonts w:ascii="Arial" w:hAnsi="Arial" w:cs="Arial"/>
          <w:iCs/>
          <w:sz w:val="22"/>
          <w:szCs w:val="22"/>
          <w:lang w:val="en-US"/>
        </w:rPr>
      </w:pPr>
    </w:p>
    <w:p w14:paraId="0E0046F3" w14:textId="77777777" w:rsidR="00EF484C" w:rsidRDefault="00EF484C" w:rsidP="001D48D1">
      <w:pPr>
        <w:spacing w:line="360" w:lineRule="auto"/>
        <w:rPr>
          <w:rFonts w:ascii="Arial" w:hAnsi="Arial" w:cs="Arial"/>
          <w:iCs/>
          <w:sz w:val="22"/>
          <w:szCs w:val="22"/>
          <w:lang w:val="en-US"/>
        </w:rPr>
      </w:pPr>
    </w:p>
    <w:p w14:paraId="1C5BFAB4" w14:textId="77777777" w:rsidR="006C3251" w:rsidRDefault="006C3251" w:rsidP="001D48D1">
      <w:pPr>
        <w:spacing w:line="360" w:lineRule="auto"/>
        <w:rPr>
          <w:rFonts w:ascii="Arial" w:hAnsi="Arial" w:cs="Arial"/>
          <w:iCs/>
          <w:sz w:val="22"/>
          <w:szCs w:val="22"/>
          <w:lang w:val="en-US"/>
        </w:rPr>
      </w:pPr>
    </w:p>
    <w:p w14:paraId="1F436048" w14:textId="2C0D7C08" w:rsidR="00702F8D" w:rsidRPr="00AA3D90" w:rsidRDefault="00AA3D90" w:rsidP="001D48D1">
      <w:pPr>
        <w:spacing w:line="360" w:lineRule="auto"/>
        <w:rPr>
          <w:rFonts w:ascii="Arial" w:hAnsi="Arial" w:cs="Arial"/>
          <w:b/>
          <w:iCs/>
          <w:sz w:val="22"/>
          <w:szCs w:val="22"/>
          <w:lang w:val="en-US"/>
        </w:rPr>
      </w:pPr>
      <w:r w:rsidRPr="00AA3D90">
        <w:rPr>
          <w:rFonts w:ascii="Arial" w:hAnsi="Arial" w:cs="Arial"/>
          <w:b/>
          <w:iCs/>
          <w:sz w:val="22"/>
          <w:szCs w:val="22"/>
          <w:lang w:val="en-US"/>
        </w:rPr>
        <w:t>Contents</w:t>
      </w:r>
    </w:p>
    <w:p w14:paraId="1F4CD31A" w14:textId="4316CE99" w:rsidR="0088708B" w:rsidRPr="00031585" w:rsidRDefault="0088708B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3F65DC">
        <w:rPr>
          <w:rFonts w:ascii="Arial" w:hAnsi="Arial" w:cs="Arial"/>
          <w:b/>
          <w:bCs/>
          <w:i/>
          <w:sz w:val="22"/>
          <w:szCs w:val="22"/>
          <w:lang w:val="en-US"/>
        </w:rPr>
        <w:t>Supplemental Methods</w:t>
      </w:r>
      <w:r w:rsidR="00031585">
        <w:rPr>
          <w:rFonts w:ascii="Arial" w:hAnsi="Arial" w:cs="Arial"/>
          <w:iCs/>
          <w:sz w:val="22"/>
          <w:szCs w:val="22"/>
          <w:lang w:val="en-US"/>
        </w:rPr>
        <w:t>…………………………………………………………….……………………2</w:t>
      </w:r>
    </w:p>
    <w:p w14:paraId="0A0856B9" w14:textId="716D694B" w:rsidR="0088708B" w:rsidRDefault="0088708B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Response and outcome assessment…………………………………………………………………</w:t>
      </w:r>
      <w:r w:rsidR="0081105B">
        <w:rPr>
          <w:rFonts w:ascii="Arial" w:hAnsi="Arial" w:cs="Arial"/>
          <w:iCs/>
          <w:sz w:val="22"/>
          <w:szCs w:val="22"/>
          <w:lang w:val="en-US"/>
        </w:rPr>
        <w:t>…</w:t>
      </w:r>
      <w:r>
        <w:rPr>
          <w:rFonts w:ascii="Arial" w:hAnsi="Arial" w:cs="Arial"/>
          <w:iCs/>
          <w:sz w:val="22"/>
          <w:szCs w:val="22"/>
          <w:lang w:val="en-US"/>
        </w:rPr>
        <w:t>2</w:t>
      </w:r>
    </w:p>
    <w:p w14:paraId="14A6E12A" w14:textId="0D6D58A3" w:rsidR="0088708B" w:rsidRDefault="0088708B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Antimicrobial prophylaxis and growth factor support………………………………………………</w:t>
      </w:r>
      <w:proofErr w:type="gramStart"/>
      <w:r>
        <w:rPr>
          <w:rFonts w:ascii="Arial" w:hAnsi="Arial" w:cs="Arial"/>
          <w:iCs/>
          <w:sz w:val="22"/>
          <w:szCs w:val="22"/>
          <w:lang w:val="en-US"/>
        </w:rPr>
        <w:t>…</w:t>
      </w:r>
      <w:r w:rsidR="0081105B">
        <w:rPr>
          <w:rFonts w:ascii="Arial" w:hAnsi="Arial" w:cs="Arial"/>
          <w:iCs/>
          <w:sz w:val="22"/>
          <w:szCs w:val="22"/>
          <w:lang w:val="en-US"/>
        </w:rPr>
        <w:t>..</w:t>
      </w:r>
      <w:proofErr w:type="gramEnd"/>
      <w:r>
        <w:rPr>
          <w:rFonts w:ascii="Arial" w:hAnsi="Arial" w:cs="Arial"/>
          <w:iCs/>
          <w:sz w:val="22"/>
          <w:szCs w:val="22"/>
          <w:lang w:val="en-US"/>
        </w:rPr>
        <w:t>2</w:t>
      </w:r>
    </w:p>
    <w:p w14:paraId="23B565C6" w14:textId="1A522E18" w:rsidR="00310A9D" w:rsidRDefault="00310A9D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b/>
          <w:i/>
          <w:iCs/>
          <w:sz w:val="22"/>
          <w:szCs w:val="22"/>
          <w:lang w:val="en-US"/>
        </w:rPr>
        <w:t>Supplemental Tables</w:t>
      </w:r>
      <w:r>
        <w:rPr>
          <w:rFonts w:ascii="Arial" w:hAnsi="Arial" w:cs="Arial"/>
          <w:iCs/>
          <w:sz w:val="22"/>
          <w:szCs w:val="22"/>
          <w:lang w:val="en-US"/>
        </w:rPr>
        <w:t>…………………………………………………………………………………….3</w:t>
      </w:r>
    </w:p>
    <w:p w14:paraId="04006720" w14:textId="0C4D172E" w:rsidR="00310A9D" w:rsidRDefault="00310A9D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Supplemental Table 1: Co-administered therapies…………………………………………………….3</w:t>
      </w:r>
    </w:p>
    <w:p w14:paraId="15586935" w14:textId="2D63CB5E" w:rsidR="00310A9D" w:rsidRDefault="00310A9D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Supplemental Table 2: Comparison of AEs…………………………………………………………</w:t>
      </w:r>
      <w:proofErr w:type="gramStart"/>
      <w:r>
        <w:rPr>
          <w:rFonts w:ascii="Arial" w:hAnsi="Arial" w:cs="Arial"/>
          <w:iCs/>
          <w:sz w:val="22"/>
          <w:szCs w:val="22"/>
          <w:lang w:val="en-US"/>
        </w:rPr>
        <w:t>…..</w:t>
      </w:r>
      <w:proofErr w:type="gramEnd"/>
      <w:r>
        <w:rPr>
          <w:rFonts w:ascii="Arial" w:hAnsi="Arial" w:cs="Arial"/>
          <w:iCs/>
          <w:sz w:val="22"/>
          <w:szCs w:val="22"/>
          <w:lang w:val="en-US"/>
        </w:rPr>
        <w:t>4</w:t>
      </w:r>
    </w:p>
    <w:p w14:paraId="56CBEBF3" w14:textId="49BAD160" w:rsidR="00310A9D" w:rsidRDefault="00310A9D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>Supplemental Table 3: CRS and ICANS Treatment……………………………………………………5</w:t>
      </w:r>
    </w:p>
    <w:p w14:paraId="3E82BC8F" w14:textId="6009DA82" w:rsidR="00310A9D" w:rsidRDefault="00310A9D" w:rsidP="00D454A3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t xml:space="preserve">Supplemental Table 4: Grade </w:t>
      </w:r>
      <w:r w:rsidR="005E3163" w:rsidRPr="005E3163">
        <w:rPr>
          <w:rFonts w:ascii="Arial" w:hAnsi="Arial" w:cs="Arial"/>
          <w:iCs/>
          <w:sz w:val="22"/>
          <w:szCs w:val="22"/>
          <w:lang w:val="en-US"/>
        </w:rPr>
        <w:t>≥</w:t>
      </w:r>
      <w:r w:rsidR="005E3163">
        <w:rPr>
          <w:rFonts w:ascii="Arial" w:hAnsi="Arial" w:cs="Arial"/>
          <w:iCs/>
          <w:sz w:val="22"/>
          <w:szCs w:val="22"/>
          <w:lang w:val="en-US"/>
        </w:rPr>
        <w:t xml:space="preserve"> 3 infections with accelerated Glo…………………………………...6</w:t>
      </w:r>
    </w:p>
    <w:p w14:paraId="1AD1B289" w14:textId="0FF62532" w:rsidR="005E3163" w:rsidRPr="00DD26E3" w:rsidRDefault="005E3163" w:rsidP="00D454A3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val="en-US"/>
        </w:rPr>
      </w:pPr>
      <w:r w:rsidRPr="00DD26E3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Supplemental Table 5: ICU admissions…………………………………………………………………7</w:t>
      </w:r>
    </w:p>
    <w:p w14:paraId="500CDFF4" w14:textId="3B0AD058" w:rsidR="005E3163" w:rsidRPr="00DD26E3" w:rsidRDefault="005E3163" w:rsidP="00D454A3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val="en-US"/>
        </w:rPr>
      </w:pPr>
      <w:r w:rsidRPr="00DD26E3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Supplemental Table 6: Response parameters…………………………………………………………</w:t>
      </w:r>
      <w:r w:rsidR="00E46911" w:rsidRPr="00DD26E3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.8</w:t>
      </w:r>
    </w:p>
    <w:p w14:paraId="46A897AF" w14:textId="1935BCA2" w:rsidR="001C156C" w:rsidRPr="00DD26E3" w:rsidRDefault="001C156C" w:rsidP="00180B33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Supplemental Table 7:</w:t>
      </w:r>
      <w:r w:rsidR="00180B33" w:rsidRPr="00DD26E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180B33"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RS rates stratified by treatment modality...…………………</w:t>
      </w:r>
      <w:r w:rsidR="00180E84"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180B33"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…………</w:t>
      </w:r>
      <w:proofErr w:type="gramStart"/>
      <w:r w:rsidR="00180B33"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…..</w:t>
      </w:r>
      <w:proofErr w:type="gramEnd"/>
      <w:r w:rsidRPr="00DD26E3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</w:p>
    <w:p w14:paraId="70F94387" w14:textId="1AE529E2" w:rsidR="007B2277" w:rsidRDefault="007B2277" w:rsidP="003B7815">
      <w:pPr>
        <w:pageBreakBefore/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Supplemental Methods</w:t>
      </w:r>
    </w:p>
    <w:p w14:paraId="64428F56" w14:textId="697417F0" w:rsidR="007B2277" w:rsidRDefault="007B2277" w:rsidP="007B227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2277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Response and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o</w:t>
      </w:r>
      <w:r w:rsidRPr="007B2277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utcome assessment</w:t>
      </w:r>
    </w:p>
    <w:p w14:paraId="53527B88" w14:textId="6213C5E8" w:rsidR="007B2277" w:rsidRDefault="007B2277" w:rsidP="007B227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Response to treatment was assessed through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computer tomography (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>CT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positron emission tomography (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>PET</w:t>
      </w:r>
      <w:r w:rsidR="002B255D">
        <w:rPr>
          <w:rFonts w:ascii="Arial" w:hAnsi="Arial" w:cs="Arial"/>
          <w:color w:val="000000" w:themeColor="text1"/>
          <w:sz w:val="22"/>
          <w:szCs w:val="22"/>
          <w:lang w:val="en-US"/>
        </w:rPr>
        <w:t>)/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CT-imaging and graded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according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the Lugano response criteria (CR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complete response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CMR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complete metabolic response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partial response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SD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stable disease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;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PD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progressive disease).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Survival analyses were calculated from the first glofitamab infusion to the first documented disease progression (PFS) or death (OS) and using the Kaplan-Meier method. Time to follow up was estimated using the reverse Kaplan-Meier method.  </w:t>
      </w:r>
    </w:p>
    <w:p w14:paraId="0154EE9C" w14:textId="206E694E" w:rsidR="00AD519E" w:rsidRDefault="00AD519E" w:rsidP="007B227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4A33488" w14:textId="67BCF72A" w:rsidR="007B2277" w:rsidRPr="007B2277" w:rsidRDefault="007B2277" w:rsidP="007B227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7B2277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Antimicrobial prophylaxis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and growth factor support</w:t>
      </w:r>
    </w:p>
    <w:p w14:paraId="509611BA" w14:textId="2651A0B6" w:rsidR="005C2EEF" w:rsidRDefault="007B2277" w:rsidP="005C2EE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All but 6 patients received anti-infective prophylactic therapy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cotrimoxazole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>aciclovir</w:t>
      </w:r>
      <w:proofErr w:type="spellEnd"/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valaciclovir during treatment with glofitamab.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Growth factors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ere</w:t>
      </w:r>
      <w:r w:rsidRPr="004D27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administered according to local standards.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20F26C99" w14:textId="77777777" w:rsidR="005C2EEF" w:rsidRPr="005C2EEF" w:rsidRDefault="005C2EEF" w:rsidP="005C2EE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DB9B74F" w14:textId="54FDCF52" w:rsidR="00915D0D" w:rsidRPr="001D48D1" w:rsidRDefault="00393B28" w:rsidP="001D48D1">
      <w:pPr>
        <w:pageBreakBefore/>
        <w:widowControl w:val="0"/>
        <w:autoSpaceDE w:val="0"/>
        <w:autoSpaceDN w:val="0"/>
        <w:adjustRightInd w:val="0"/>
        <w:spacing w:line="360" w:lineRule="auto"/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Supplemental </w:t>
      </w:r>
      <w:r w:rsidR="008C187F" w:rsidRPr="0047732C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>Tables</w:t>
      </w:r>
    </w:p>
    <w:p w14:paraId="2A87EC55" w14:textId="214F2F83" w:rsidR="00B84DF6" w:rsidRDefault="00B84DF6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Supplemental Table 1: Co-administered therapies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665"/>
        <w:gridCol w:w="2220"/>
        <w:gridCol w:w="2221"/>
      </w:tblGrid>
      <w:tr w:rsidR="00B84DF6" w:rsidRPr="0006272B" w14:paraId="56162026" w14:textId="77777777" w:rsidTr="00B84DF6">
        <w:trPr>
          <w:trHeight w:val="680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48FB16" w14:textId="61DE1154" w:rsidR="00B84DF6" w:rsidRPr="00B84DF6" w:rsidRDefault="00B84DF6" w:rsidP="00AE04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4D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Therapies co-administered with 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lofitamab</w:t>
            </w:r>
            <w:r w:rsidR="00B702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(n=</w:t>
            </w:r>
            <w:r w:rsidR="00447C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</w:t>
            </w:r>
            <w:r w:rsidR="00B702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D56829" w14:textId="46CA8A7F" w:rsidR="00B84DF6" w:rsidRPr="00874AC6" w:rsidRDefault="00B84DF6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Accelerated Glo </w:t>
            </w:r>
            <w:r w:rsidR="006473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(‘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-like’</w:t>
            </w:r>
            <w:r w:rsidR="00AD5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+</w:t>
            </w:r>
            <w:r w:rsidR="006473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’Rapid Glo’</w:t>
            </w:r>
            <w:r w:rsidR="006473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(≤ 2 weeks)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09DFAF" w14:textId="77777777" w:rsidR="00B84DF6" w:rsidRPr="0006272B" w:rsidRDefault="00B84DF6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Bi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-like  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(1-2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weeks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D720E8" w14:textId="77777777" w:rsidR="00B84DF6" w:rsidRPr="0006272B" w:rsidRDefault="00B84DF6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Rapid </w:t>
            </w: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Glo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(≤ 1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B84DF6" w:rsidRPr="0006272B" w14:paraId="6A5B7420" w14:textId="77777777" w:rsidTr="00B84DF6">
        <w:trPr>
          <w:trHeight w:val="945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9D2B2" w14:textId="2ADD3E19" w:rsidR="00B84DF6" w:rsidRPr="0006272B" w:rsidRDefault="00B84DF6" w:rsidP="00AE04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Chemotherapy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Gemcitabine and oxaliplatin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R-ICE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R-Methotrexate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4DB98" w14:textId="58309AB9" w:rsidR="00B84DF6" w:rsidRPr="0006272B" w:rsidRDefault="00C27442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 (10%)</w:t>
            </w:r>
            <w:r w:rsidR="00B84DF6"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(8%)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84DF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(1%)</w:t>
            </w:r>
            <w:r w:rsidR="00B84DF6">
              <w:rPr>
                <w:rFonts w:ascii="Arial" w:hAnsi="Arial" w:cs="Arial"/>
                <w:sz w:val="18"/>
                <w:szCs w:val="18"/>
              </w:rPr>
              <w:br/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(1%)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292366" w14:textId="0755AD21" w:rsidR="00B84DF6" w:rsidRPr="0006272B" w:rsidRDefault="00C27442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(12%)</w:t>
            </w:r>
            <w:r w:rsidR="00B84DF6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(8%)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84DF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(2%)</w:t>
            </w:r>
            <w:r w:rsidR="00B84DF6">
              <w:rPr>
                <w:rFonts w:ascii="Arial" w:hAnsi="Arial" w:cs="Arial"/>
                <w:sz w:val="18"/>
                <w:szCs w:val="18"/>
              </w:rPr>
              <w:br/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(2%)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3FB6FB" w14:textId="0EFF16A0" w:rsidR="00B84DF6" w:rsidRPr="0006272B" w:rsidRDefault="00C27442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(10%)</w:t>
            </w:r>
            <w:r w:rsidR="00B84DF6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B84DF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(10%)</w:t>
            </w:r>
            <w:r w:rsidR="00B84DF6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B84DF6" w:rsidRPr="0006272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B84DF6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  <w:tr w:rsidR="00B84DF6" w:rsidRPr="00B84DF6" w14:paraId="04F8723F" w14:textId="77777777" w:rsidTr="00B84DF6">
        <w:trPr>
          <w:trHeight w:val="778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766AB" w14:textId="3A25736A" w:rsidR="00B84DF6" w:rsidRPr="00B84DF6" w:rsidRDefault="00B84DF6" w:rsidP="00AE047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Other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Polatuzumab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Intrathe</w:t>
            </w:r>
            <w:r w:rsidR="0051643D">
              <w:rPr>
                <w:rFonts w:ascii="Arial" w:hAnsi="Arial" w:cs="Arial"/>
                <w:bCs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 methotrexate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A9946" w14:textId="7FDD8CDF" w:rsidR="00B84DF6" w:rsidRPr="0006272B" w:rsidRDefault="00C27442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 (2%)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66BC2A" w14:textId="23147B7D" w:rsidR="00B84DF6" w:rsidRPr="0006272B" w:rsidRDefault="00C27442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 (2%)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4D77C4" w14:textId="358FF2EE" w:rsidR="00B84DF6" w:rsidRPr="0006272B" w:rsidRDefault="00C27442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(5%)</w:t>
            </w:r>
            <w:r w:rsidR="00B84DF6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</w:p>
        </w:tc>
      </w:tr>
    </w:tbl>
    <w:p w14:paraId="1CE3DD5A" w14:textId="2CFA79B7" w:rsidR="00915D0D" w:rsidRPr="00B84DF6" w:rsidRDefault="00B84DF6" w:rsidP="00393B28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B84DF6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Rituximab; </w:t>
      </w:r>
      <w:r w:rsidRPr="00B84DF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ICE: </w:t>
      </w:r>
      <w:proofErr w:type="spellStart"/>
      <w:r w:rsidRPr="00B84DF6">
        <w:rPr>
          <w:rFonts w:ascii="Arial" w:hAnsi="Arial" w:cs="Arial"/>
          <w:color w:val="000000" w:themeColor="text1"/>
          <w:sz w:val="20"/>
          <w:szCs w:val="20"/>
          <w:lang w:val="en-US"/>
        </w:rPr>
        <w:t>Ifosfamide</w:t>
      </w:r>
      <w:proofErr w:type="spellEnd"/>
      <w:r w:rsidRPr="00B84DF6">
        <w:rPr>
          <w:rFonts w:ascii="Arial" w:hAnsi="Arial" w:cs="Arial"/>
          <w:color w:val="000000" w:themeColor="text1"/>
          <w:sz w:val="20"/>
          <w:szCs w:val="20"/>
          <w:lang w:val="en-US"/>
        </w:rPr>
        <w:t>, Carboplatin, Etoposide</w:t>
      </w:r>
    </w:p>
    <w:p w14:paraId="5DA3561F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D28E4D6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8F8EF75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674C941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BC2F79C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BEA448E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58EE59C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04D8511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1C5A1EA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5F1C3A1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A70098B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D5D2491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3CB5F3E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9EFE7BE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3070DA2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2890CD9" w14:textId="77777777" w:rsidR="00AD519E" w:rsidRDefault="00AD519E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8F20F17" w14:textId="7D6164C5" w:rsidR="00253966" w:rsidRPr="00DB19F1" w:rsidRDefault="00253966" w:rsidP="00253966">
      <w:pPr>
        <w:spacing w:line="360" w:lineRule="auto"/>
        <w:rPr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Supplemental </w:t>
      </w:r>
      <w:r w:rsidRPr="004661D4">
        <w:rPr>
          <w:rFonts w:ascii="Arial" w:hAnsi="Arial" w:cs="Arial"/>
          <w:b/>
          <w:sz w:val="22"/>
          <w:szCs w:val="22"/>
          <w:lang w:val="en-US"/>
        </w:rPr>
        <w:t xml:space="preserve">Table </w:t>
      </w:r>
      <w:r w:rsidR="00E556DD">
        <w:rPr>
          <w:rFonts w:ascii="Arial" w:hAnsi="Arial" w:cs="Arial"/>
          <w:b/>
          <w:sz w:val="22"/>
          <w:szCs w:val="22"/>
          <w:lang w:val="en-US"/>
        </w:rPr>
        <w:t>2</w:t>
      </w:r>
      <w:r w:rsidRPr="004661D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Comparison of AE</w:t>
      </w:r>
      <w:r w:rsidR="00AF7ED1">
        <w:rPr>
          <w:rFonts w:ascii="Arial" w:hAnsi="Arial" w:cs="Arial"/>
          <w:b/>
          <w:sz w:val="22"/>
          <w:szCs w:val="22"/>
          <w:lang w:val="en-US"/>
        </w:rPr>
        <w:t>s</w:t>
      </w:r>
    </w:p>
    <w:tbl>
      <w:tblPr>
        <w:tblW w:w="10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177"/>
        <w:gridCol w:w="1206"/>
        <w:gridCol w:w="1004"/>
        <w:gridCol w:w="1223"/>
        <w:gridCol w:w="1392"/>
        <w:gridCol w:w="1255"/>
        <w:gridCol w:w="1430"/>
      </w:tblGrid>
      <w:tr w:rsidR="00253966" w:rsidRPr="003F65DC" w14:paraId="7E128771" w14:textId="77777777" w:rsidTr="00756140">
        <w:trPr>
          <w:trHeight w:val="512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939CDBA" w14:textId="2931D318" w:rsidR="00253966" w:rsidRPr="0006272B" w:rsidRDefault="00253966" w:rsidP="0075614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AE Parameter</w:t>
            </w:r>
            <w:proofErr w:type="gramEnd"/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99659D3" w14:textId="77777777" w:rsidR="00253966" w:rsidRPr="00874AC6" w:rsidRDefault="00253966" w:rsidP="007561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Accelerated Glo (‘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-like’+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’Rapid Glo’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(≤ 2 weeks)</w:t>
            </w:r>
          </w:p>
          <w:p w14:paraId="5800B3DD" w14:textId="77777777" w:rsidR="00253966" w:rsidRPr="00874AC6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E0118AD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Bi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-like  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</w:rPr>
              <w:t xml:space="preserve">(1-2 </w:t>
            </w:r>
            <w:proofErr w:type="spellStart"/>
            <w:r w:rsidRPr="0006272B">
              <w:rPr>
                <w:rFonts w:ascii="Arial" w:hAnsi="Arial" w:cs="Arial"/>
                <w:sz w:val="18"/>
                <w:szCs w:val="18"/>
              </w:rPr>
              <w:t>weeks</w:t>
            </w:r>
            <w:proofErr w:type="spellEnd"/>
            <w:r w:rsidRPr="000627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B1C7432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Rapid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Glo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</w:rPr>
              <w:t xml:space="preserve">(≤ 1 </w:t>
            </w:r>
            <w:proofErr w:type="spellStart"/>
            <w:r w:rsidRPr="0006272B">
              <w:rPr>
                <w:rFonts w:ascii="Arial" w:hAnsi="Arial" w:cs="Arial"/>
                <w:sz w:val="18"/>
                <w:szCs w:val="18"/>
              </w:rPr>
              <w:t>week</w:t>
            </w:r>
            <w:proofErr w:type="spellEnd"/>
            <w:r w:rsidRPr="000627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DA289B8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 dosing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(Pivotal trial^)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F8A0C85" w14:textId="77777777" w:rsidR="00253966" w:rsidRPr="00C406DC" w:rsidRDefault="00253966" w:rsidP="007561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Standard dosing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(RWA</w:t>
            </w:r>
            <w:r w:rsidRPr="00AD51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E0F1864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 dosing 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RWA</w:t>
            </w:r>
            <w:r w:rsidRPr="00AD519E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$</w:t>
            </w:r>
            <w:r w:rsidRPr="0006272B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279883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trial*</w:t>
            </w:r>
          </w:p>
        </w:tc>
      </w:tr>
      <w:tr w:rsidR="00253966" w:rsidRPr="00E033E5" w14:paraId="30151352" w14:textId="77777777" w:rsidTr="00756140">
        <w:trPr>
          <w:trHeight w:val="685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7E3008D" w14:textId="77777777" w:rsidR="00253966" w:rsidRPr="0006272B" w:rsidRDefault="00253966" w:rsidP="0075614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No. of patients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A98D67F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469A598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402A1CB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405BFF7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BA22AB0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879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89 Glofitamab*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 xml:space="preserve">(156 </w:t>
            </w:r>
            <w:proofErr w:type="spellStart"/>
            <w:r w:rsidRPr="0006272B">
              <w:rPr>
                <w:rFonts w:ascii="Arial" w:hAnsi="Arial" w:cs="Arial"/>
                <w:sz w:val="18"/>
                <w:szCs w:val="18"/>
              </w:rPr>
              <w:t>Epcoritamab</w:t>
            </w:r>
            <w:proofErr w:type="spellEnd"/>
            <w:r w:rsidRPr="000627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16F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 xml:space="preserve">46 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r w:rsidRPr="0006272B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  <w:r w:rsidRPr="0006272B">
              <w:rPr>
                <w:rFonts w:ascii="Arial" w:hAnsi="Arial" w:cs="Arial"/>
                <w:sz w:val="18"/>
                <w:szCs w:val="18"/>
              </w:rPr>
              <w:t xml:space="preserve"> 1: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</w:rPr>
              <w:t>r/r DLBCL)</w:t>
            </w:r>
          </w:p>
        </w:tc>
      </w:tr>
      <w:tr w:rsidR="00253966" w:rsidRPr="00E033E5" w14:paraId="17531879" w14:textId="77777777" w:rsidTr="00756140">
        <w:trPr>
          <w:trHeight w:val="685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392FC05" w14:textId="77777777" w:rsidR="00253966" w:rsidRPr="0006272B" w:rsidRDefault="00253966" w:rsidP="007561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CRS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None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Grade 1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Grade 2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Grade ≥3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8DB0D61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39 (47%)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44 (53%)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30 (36%)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9 (11%)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69D199A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30 (47%)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34 (53%)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22 (34%)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8 (13%)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3EC2136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9 (47%)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10 (53%)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8 (42%)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4C2B643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63%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37%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47%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12%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CD6F12C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28 (40%)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42 (60%)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17 (25%)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9 (13%)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2 (2%)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DBE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24 (27%)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65 (73%)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2 (2.4%)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53CF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6 (13%)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40 (87%)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2 (4.3%)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 (8.7%)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</w:tr>
      <w:tr w:rsidR="00253966" w:rsidRPr="00E033E5" w14:paraId="5662B482" w14:textId="77777777" w:rsidTr="00756140">
        <w:trPr>
          <w:trHeight w:val="635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9DE9F7D" w14:textId="77777777" w:rsidR="00253966" w:rsidRPr="0006272B" w:rsidRDefault="00253966" w:rsidP="007561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ICANS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None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Grade 1-2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Grade </w:t>
            </w:r>
            <w:r w:rsidRPr="0006272B">
              <w:rPr>
                <w:rFonts w:ascii="Arial" w:hAnsi="Arial" w:cs="Arial"/>
                <w:sz w:val="18"/>
                <w:szCs w:val="18"/>
              </w:rPr>
              <w:t>≥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C996DD5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4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79 (95%)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4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173BAD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3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61 (95%)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3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75937A3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18 (95%)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4B82F40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8%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92%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5%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3%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8F96538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8 (11%)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62 (89%)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7 (10%)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 (1%)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D50" w14:textId="5C21A8A5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6 (6.7%)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83 (93.3%)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77769C">
              <w:rPr>
                <w:rFonts w:ascii="Arial" w:hAnsi="Arial" w:cs="Arial"/>
                <w:sz w:val="18"/>
                <w:szCs w:val="18"/>
              </w:rPr>
              <w:t>5 (5.6%)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 (1.1%)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2FA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t>1 (2.2%)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45 98%)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1 (2.2%)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  <w:t>0</w:t>
            </w:r>
          </w:p>
        </w:tc>
      </w:tr>
      <w:tr w:rsidR="00253966" w:rsidRPr="00E033E5" w14:paraId="0051C137" w14:textId="77777777" w:rsidTr="00756140">
        <w:trPr>
          <w:trHeight w:val="565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3B3CA73" w14:textId="77777777" w:rsidR="00253966" w:rsidRPr="0006272B" w:rsidRDefault="00253966" w:rsidP="007561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Infection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None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Grade 1-2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Grade 3-4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36A74D8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15 (18%)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68 (82%)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7 (8%)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8 (10%)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6115EDA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12 (19%)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52 (81%)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 (8%)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7 (11%)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370CFF9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 (16%)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16 (84%)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 (11%)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9E76A2F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59 (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38%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96 (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62%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36 (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23%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23 (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15%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DE1680A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21 (30%)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49 (70%)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13 (18%)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8 (12%)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EBD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death caused by infection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4 (9.4%)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0F7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18 (39%)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28 (61%)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  <w:tr w:rsidR="00253966" w:rsidRPr="00E033E5" w14:paraId="433B492E" w14:textId="77777777" w:rsidTr="00756140">
        <w:trPr>
          <w:trHeight w:val="477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B6E1845" w14:textId="77777777" w:rsidR="00253966" w:rsidRPr="0006272B" w:rsidRDefault="00253966" w:rsidP="0075614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ICU admissions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9A5FF3D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6 (7%)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03D85CC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5 (8%)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342DD9E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73CCF91" w14:textId="77777777" w:rsidR="00253966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5B5336">
              <w:rPr>
                <w:rFonts w:ascii="Arial" w:hAnsi="Arial" w:cs="Arial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2F3A6FE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7 (10%)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CC1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2F7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  <w:tr w:rsidR="00253966" w:rsidRPr="00E033E5" w14:paraId="35D87A10" w14:textId="77777777" w:rsidTr="00756140">
        <w:trPr>
          <w:trHeight w:val="373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4732F78" w14:textId="77777777" w:rsidR="00253966" w:rsidRPr="0006272B" w:rsidRDefault="00253966" w:rsidP="0075614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Tumor lysis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1F0EC8D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(1%)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72AFD4E1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(2%)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E86BF03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725AB8EB" w14:textId="77777777" w:rsidR="00253966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D74FF9E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 (3%)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7C6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353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  <w:tr w:rsidR="00253966" w:rsidRPr="00E033E5" w14:paraId="39A392BA" w14:textId="77777777" w:rsidTr="00756140">
        <w:trPr>
          <w:trHeight w:val="197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CCF9985" w14:textId="77777777" w:rsidR="00253966" w:rsidRPr="0006272B" w:rsidRDefault="00253966" w:rsidP="0075614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AKI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34157C2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3 (4%)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CD0A285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(2%)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AF77127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 (11%)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1BCBEC8" w14:textId="77777777" w:rsidR="00253966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0EFE1CA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1C7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609" w14:textId="77777777" w:rsidR="00253966" w:rsidRPr="0006272B" w:rsidRDefault="00253966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</w:tbl>
    <w:p w14:paraId="5340B549" w14:textId="77777777" w:rsidR="00253966" w:rsidRPr="00E033E5" w:rsidRDefault="00253966" w:rsidP="00253966">
      <w:pPr>
        <w:rPr>
          <w:sz w:val="20"/>
          <w:szCs w:val="20"/>
        </w:rPr>
      </w:pPr>
    </w:p>
    <w:p w14:paraId="74778D3B" w14:textId="77777777" w:rsidR="00253966" w:rsidRDefault="00253966" w:rsidP="002539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9B207B">
        <w:rPr>
          <w:rFonts w:ascii="Arial" w:hAnsi="Arial" w:cs="Arial"/>
          <w:sz w:val="22"/>
          <w:szCs w:val="22"/>
          <w:lang w:val="en-US"/>
        </w:rPr>
        <w:t>AE: Adverse event; CRS: cytokine release syndrome; ICANS: immune effector cell</w:t>
      </w:r>
      <w:r>
        <w:rPr>
          <w:rFonts w:ascii="Arial" w:hAnsi="Arial" w:cs="Arial"/>
          <w:sz w:val="22"/>
          <w:szCs w:val="22"/>
          <w:lang w:val="en-US"/>
        </w:rPr>
        <w:t>-</w:t>
      </w:r>
      <w:r w:rsidRPr="009B207B">
        <w:rPr>
          <w:rFonts w:ascii="Arial" w:hAnsi="Arial" w:cs="Arial"/>
          <w:sz w:val="22"/>
          <w:szCs w:val="22"/>
          <w:lang w:val="en-US"/>
        </w:rPr>
        <w:t>associated neurotoxicity syndrome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393B28">
        <w:rPr>
          <w:rFonts w:ascii="Arial" w:hAnsi="Arial" w:cs="Arial"/>
          <w:sz w:val="22"/>
          <w:szCs w:val="22"/>
          <w:lang w:val="en-US"/>
        </w:rPr>
        <w:t xml:space="preserve">ICU: intensive care unit, AKI: Acute </w:t>
      </w:r>
      <w:r w:rsidRPr="004302A5">
        <w:rPr>
          <w:rFonts w:ascii="Arial" w:hAnsi="Arial" w:cs="Arial"/>
          <w:sz w:val="22"/>
          <w:szCs w:val="22"/>
          <w:lang w:val="en-US"/>
        </w:rPr>
        <w:t xml:space="preserve">Kidney Injury. AE defined according to CTCAE (common terminology criteria for adverse events).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9B207B">
        <w:rPr>
          <w:rFonts w:ascii="Arial" w:hAnsi="Arial" w:cs="Arial"/>
          <w:sz w:val="22"/>
          <w:szCs w:val="22"/>
          <w:lang w:val="en-US"/>
        </w:rPr>
        <w:t xml:space="preserve">*Data shown here: only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9B207B">
        <w:rPr>
          <w:rFonts w:ascii="Arial" w:hAnsi="Arial" w:cs="Arial"/>
          <w:sz w:val="22"/>
          <w:szCs w:val="22"/>
          <w:lang w:val="en-US"/>
        </w:rPr>
        <w:t>glofitamab-treated group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AD519E">
        <w:rPr>
          <w:rFonts w:ascii="Arial" w:hAnsi="Arial" w:cs="Arial"/>
          <w:sz w:val="22"/>
          <w:szCs w:val="22"/>
          <w:lang w:val="en-US"/>
        </w:rPr>
        <w:t xml:space="preserve"> </w:t>
      </w:r>
      <w:r w:rsidRPr="00C406DC">
        <w:rPr>
          <w:rFonts w:ascii="Arial" w:hAnsi="Arial" w:cs="Arial"/>
          <w:sz w:val="22"/>
          <w:szCs w:val="22"/>
          <w:lang w:val="en-US"/>
        </w:rPr>
        <w:t>^</w:t>
      </w:r>
      <w:r w:rsidRPr="00AD519E">
        <w:rPr>
          <w:rFonts w:ascii="Arial" w:hAnsi="Arial" w:cs="Arial"/>
          <w:i/>
          <w:iCs/>
          <w:sz w:val="22"/>
          <w:szCs w:val="22"/>
          <w:lang w:val="en-US"/>
        </w:rPr>
        <w:t>Dickinson et al. NEJM 2022</w:t>
      </w:r>
      <w:r>
        <w:rPr>
          <w:rFonts w:ascii="Arial" w:hAnsi="Arial" w:cs="Arial"/>
          <w:i/>
          <w:iCs/>
          <w:sz w:val="22"/>
          <w:szCs w:val="22"/>
          <w:lang w:val="en-US"/>
        </w:rPr>
        <w:t xml:space="preserve">; #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US"/>
        </w:rPr>
        <w:t>Shumilov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US"/>
        </w:rPr>
        <w:t>Wurm-Kuczera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US"/>
        </w:rPr>
        <w:t>Kerkhoff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 xml:space="preserve"> et al. Blood Advances 2024; $ Brooks et al. Blood 2025; *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US"/>
        </w:rPr>
        <w:t>Cartron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 xml:space="preserve"> et al. Nature Cancer 2025. </w:t>
      </w:r>
    </w:p>
    <w:p w14:paraId="629C104B" w14:textId="77777777" w:rsidR="00AF42D1" w:rsidRDefault="00AF42D1" w:rsidP="002539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1E02A118" w14:textId="77777777" w:rsidR="00AF42D1" w:rsidRDefault="00AF42D1" w:rsidP="002539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7BE1CD13" w14:textId="77777777" w:rsidR="00AF42D1" w:rsidRDefault="00AF42D1" w:rsidP="002539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330B05D2" w14:textId="77777777" w:rsidR="00AF42D1" w:rsidRDefault="00AF42D1" w:rsidP="002539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63967B69" w14:textId="76C3F1A4" w:rsidR="00AF42D1" w:rsidRPr="00D513D1" w:rsidRDefault="00AF42D1" w:rsidP="00AF42D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Supplemental Table 3</w:t>
      </w:r>
      <w:r w:rsidRPr="004661D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CRS and ICANS Treatment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560"/>
        <w:gridCol w:w="1417"/>
        <w:gridCol w:w="1559"/>
        <w:gridCol w:w="1701"/>
        <w:gridCol w:w="1701"/>
      </w:tblGrid>
      <w:tr w:rsidR="00AF42D1" w:rsidRPr="005B5336" w14:paraId="23EFF30A" w14:textId="77777777" w:rsidTr="00756140">
        <w:trPr>
          <w:trHeight w:val="72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F095B64" w14:textId="1E12AEC7" w:rsidR="00AF42D1" w:rsidRPr="005B5336" w:rsidRDefault="00FA5324" w:rsidP="007561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503C28D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Accelerated Glo (‘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-like’+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’Rapid Glo’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(≤ 2 weeks)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C4B700B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-like 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</w:rPr>
              <w:t xml:space="preserve">(1-2 </w:t>
            </w:r>
            <w:proofErr w:type="spellStart"/>
            <w:r w:rsidRPr="005B5336">
              <w:rPr>
                <w:rFonts w:ascii="Arial" w:hAnsi="Arial" w:cs="Arial"/>
                <w:sz w:val="18"/>
                <w:szCs w:val="18"/>
              </w:rPr>
              <w:t>weeks</w:t>
            </w:r>
            <w:proofErr w:type="spellEnd"/>
            <w:r w:rsidRPr="005B53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5162126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Rapid 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t>Glo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</w:rPr>
              <w:t xml:space="preserve">(≤ 1 </w:t>
            </w:r>
            <w:proofErr w:type="spellStart"/>
            <w:r w:rsidRPr="005B5336">
              <w:rPr>
                <w:rFonts w:ascii="Arial" w:hAnsi="Arial" w:cs="Arial"/>
                <w:sz w:val="18"/>
                <w:szCs w:val="18"/>
              </w:rPr>
              <w:t>week</w:t>
            </w:r>
            <w:proofErr w:type="spellEnd"/>
            <w:r w:rsidRPr="005B53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D028FC3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 dosing 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(Pivotal trial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^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6520754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 dosing 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(RWA</w:t>
            </w:r>
            <w:r w:rsidRPr="009C10A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AF42D1" w:rsidRPr="005B5336" w14:paraId="0FE4E68F" w14:textId="77777777" w:rsidTr="00756140">
        <w:trPr>
          <w:trHeight w:val="100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74B9216" w14:textId="77777777" w:rsidR="00AF42D1" w:rsidRPr="005B5336" w:rsidRDefault="00AF42D1" w:rsidP="007561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CRS treatment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Steroids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Tocilizumab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Steroids + </w:t>
            </w:r>
            <w:proofErr w:type="spellStart"/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Toci</w:t>
            </w:r>
            <w:proofErr w:type="spellEnd"/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Other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9302C76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20 (24%)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4 (5%)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10 (12%)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6 (7%)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82675E0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18 (28%)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4 (6%)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9 (14%)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5 (8%)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684BF08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 (10%)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 xml:space="preserve">1 (5%) 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DA179A2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58 (37%)</w:t>
            </w:r>
            <w:r w:rsidRPr="006C7FB4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11 (7%)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15 (10%)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16 (10%)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16 (10%)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6C432FC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24 (34%)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1 (4%)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  <w:t>na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11 (39%)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12 (43%)</w:t>
            </w:r>
          </w:p>
        </w:tc>
      </w:tr>
      <w:tr w:rsidR="00AF42D1" w:rsidRPr="005B5336" w14:paraId="4735158A" w14:textId="77777777" w:rsidTr="00756140">
        <w:trPr>
          <w:trHeight w:val="79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B6DBCD6" w14:textId="77777777" w:rsidR="00AF42D1" w:rsidRPr="005B5336" w:rsidRDefault="00AF42D1" w:rsidP="007561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ICANS treatment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Steroids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Tocilizumab</w:t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br/>
              <w:t>Other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BF2431F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 (2%)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(1%)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(1%)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805CCE3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(2%)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(2%)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191E506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50BF8BC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B5336">
              <w:rPr>
                <w:rFonts w:ascii="Arial" w:hAnsi="Arial" w:cs="Arial"/>
                <w:sz w:val="18"/>
                <w:szCs w:val="18"/>
              </w:rPr>
              <w:t>na</w:t>
            </w:r>
            <w:proofErr w:type="gramEnd"/>
            <w:r w:rsidRPr="005B5336">
              <w:rPr>
                <w:rFonts w:ascii="Arial" w:hAnsi="Arial" w:cs="Arial"/>
                <w:sz w:val="18"/>
                <w:szCs w:val="18"/>
              </w:rPr>
              <w:br/>
              <w:t>na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  <w:t>na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  <w:t>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752312C" w14:textId="77777777" w:rsidR="00AF42D1" w:rsidRPr="005B5336" w:rsidRDefault="00AF42D1" w:rsidP="0075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336">
              <w:rPr>
                <w:rFonts w:ascii="Arial" w:hAnsi="Arial" w:cs="Arial"/>
                <w:sz w:val="18"/>
                <w:szCs w:val="18"/>
              </w:rPr>
              <w:t>na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2 (3%)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  <w:t xml:space="preserve">1 (1%) </w:t>
            </w:r>
            <w:r w:rsidRPr="005B5336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  (</w:t>
            </w:r>
            <w:proofErr w:type="gramEnd"/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1%)</w:t>
            </w:r>
          </w:p>
        </w:tc>
      </w:tr>
    </w:tbl>
    <w:p w14:paraId="5A881D95" w14:textId="77777777" w:rsidR="00AF42D1" w:rsidRDefault="00AF42D1" w:rsidP="00AF42D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2E3BDCA" w14:textId="77777777" w:rsidR="00AF42D1" w:rsidRPr="001E1CA3" w:rsidRDefault="00AF42D1" w:rsidP="00AF42D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Pr="00393B28">
        <w:rPr>
          <w:rFonts w:ascii="Arial" w:hAnsi="Arial" w:cs="Arial"/>
          <w:sz w:val="22"/>
          <w:szCs w:val="22"/>
          <w:lang w:val="en-US"/>
        </w:rPr>
        <w:t xml:space="preserve">RS: Cytokine Release Syndrome; ICANS: Immune Effector Cell-associated Neurotoxicity Syndrome; </w:t>
      </w:r>
      <w:proofErr w:type="spellStart"/>
      <w:r w:rsidRPr="004302A5">
        <w:rPr>
          <w:rFonts w:ascii="Arial" w:hAnsi="Arial" w:cs="Arial"/>
          <w:sz w:val="22"/>
          <w:szCs w:val="22"/>
          <w:lang w:val="en-US"/>
        </w:rPr>
        <w:t>Toci</w:t>
      </w:r>
      <w:proofErr w:type="spellEnd"/>
      <w:r w:rsidRPr="004302A5">
        <w:rPr>
          <w:rFonts w:ascii="Arial" w:hAnsi="Arial" w:cs="Arial"/>
          <w:sz w:val="22"/>
          <w:szCs w:val="22"/>
          <w:lang w:val="en-US"/>
        </w:rPr>
        <w:t>: Tocilizumab</w:t>
      </w:r>
      <w:r>
        <w:rPr>
          <w:rFonts w:ascii="Arial" w:hAnsi="Arial" w:cs="Arial"/>
          <w:sz w:val="22"/>
          <w:szCs w:val="22"/>
          <w:lang w:val="en-US"/>
        </w:rPr>
        <w:t xml:space="preserve">.  </w:t>
      </w:r>
      <w:r w:rsidRPr="001E1CA3">
        <w:rPr>
          <w:rFonts w:ascii="Arial" w:hAnsi="Arial" w:cs="Arial"/>
          <w:sz w:val="22"/>
          <w:szCs w:val="22"/>
          <w:lang w:val="en-US"/>
        </w:rPr>
        <w:t>^ Registration trial,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Pr="00CC71F3">
        <w:rPr>
          <w:rFonts w:ascii="Arial" w:hAnsi="Arial" w:cs="Arial"/>
          <w:bCs/>
          <w:i/>
          <w:iCs/>
          <w:sz w:val="22"/>
          <w:szCs w:val="22"/>
          <w:lang w:val="en-US"/>
        </w:rPr>
        <w:t>Dickinson et al. NEJM 2022</w:t>
      </w:r>
      <w:r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. </w:t>
      </w:r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# </w:t>
      </w:r>
      <w:proofErr w:type="spellStart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>Shumilov</w:t>
      </w:r>
      <w:proofErr w:type="spellEnd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, </w:t>
      </w:r>
      <w:proofErr w:type="spellStart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>Wurm-Kuczera</w:t>
      </w:r>
      <w:proofErr w:type="spellEnd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, </w:t>
      </w:r>
      <w:proofErr w:type="spellStart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>Kerkhoff</w:t>
      </w:r>
      <w:proofErr w:type="spellEnd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et al. Blood Advances </w:t>
      </w:r>
      <w:proofErr w:type="gramStart"/>
      <w:r w:rsidRPr="009C10AB">
        <w:rPr>
          <w:rFonts w:ascii="Arial" w:hAnsi="Arial" w:cs="Arial"/>
          <w:bCs/>
          <w:i/>
          <w:iCs/>
          <w:sz w:val="22"/>
          <w:szCs w:val="22"/>
          <w:lang w:val="en-US"/>
        </w:rPr>
        <w:t>2024;</w:t>
      </w:r>
      <w:proofErr w:type="gramEnd"/>
    </w:p>
    <w:p w14:paraId="7BB30891" w14:textId="77777777" w:rsidR="00AF42D1" w:rsidRDefault="00AF42D1" w:rsidP="002539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14183B74" w14:textId="77777777" w:rsidR="00253966" w:rsidRDefault="00253966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C7A8AED" w14:textId="77777777" w:rsidR="00253966" w:rsidRDefault="00253966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F2E0AF6" w14:textId="77777777" w:rsidR="00253966" w:rsidRDefault="00253966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D2AB8A4" w14:textId="77777777" w:rsidR="00253966" w:rsidRDefault="00253966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F04A7FA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10705D2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6381E6A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5809D5D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84C2245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946A758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A6AEA00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CF4D3EB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FDF2C67" w14:textId="77777777" w:rsidR="00AF42D1" w:rsidRDefault="00AF42D1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562EEA5" w14:textId="4C30DA61" w:rsidR="00943214" w:rsidRDefault="00943214" w:rsidP="0094321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Supplemental </w:t>
      </w:r>
      <w:r w:rsidRPr="004661D4">
        <w:rPr>
          <w:rFonts w:ascii="Arial" w:hAnsi="Arial" w:cs="Arial"/>
          <w:b/>
          <w:sz w:val="22"/>
          <w:szCs w:val="22"/>
          <w:lang w:val="en-US"/>
        </w:rPr>
        <w:t xml:space="preserve">Table </w:t>
      </w:r>
      <w:r w:rsidR="00AF42D1">
        <w:rPr>
          <w:rFonts w:ascii="Arial" w:hAnsi="Arial" w:cs="Arial"/>
          <w:b/>
          <w:sz w:val="22"/>
          <w:szCs w:val="22"/>
          <w:lang w:val="en-US"/>
        </w:rPr>
        <w:t>4</w:t>
      </w:r>
      <w:r w:rsidRPr="004661D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 xml:space="preserve">Grade </w:t>
      </w:r>
      <w:r w:rsidR="001D48D1" w:rsidRPr="001D48D1">
        <w:rPr>
          <w:rFonts w:ascii="Arial" w:hAnsi="Arial" w:cs="Arial"/>
          <w:b/>
          <w:bCs/>
          <w:sz w:val="22"/>
          <w:szCs w:val="22"/>
          <w:lang w:val="en-US"/>
        </w:rPr>
        <w:t>≥</w:t>
      </w:r>
      <w:r w:rsidR="001D48D1" w:rsidRPr="001D48D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07D37">
        <w:rPr>
          <w:rFonts w:ascii="Arial" w:hAnsi="Arial" w:cs="Arial"/>
          <w:b/>
          <w:sz w:val="22"/>
          <w:szCs w:val="22"/>
          <w:lang w:val="en-US"/>
        </w:rPr>
        <w:t>3</w:t>
      </w:r>
      <w:r>
        <w:rPr>
          <w:rFonts w:ascii="Arial" w:hAnsi="Arial" w:cs="Arial"/>
          <w:b/>
          <w:sz w:val="22"/>
          <w:szCs w:val="22"/>
          <w:lang w:val="en-US"/>
        </w:rPr>
        <w:t xml:space="preserve"> infections with accelerated Glo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665"/>
        <w:gridCol w:w="2220"/>
        <w:gridCol w:w="2221"/>
      </w:tblGrid>
      <w:tr w:rsidR="00B84DF6" w:rsidRPr="0006272B" w14:paraId="6A467552" w14:textId="77777777" w:rsidTr="00AE0477">
        <w:trPr>
          <w:trHeight w:val="680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3B89F" w14:textId="2EC00757" w:rsidR="00B84DF6" w:rsidRPr="003376A5" w:rsidRDefault="00B84DF6" w:rsidP="00AE04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Hlk218603607"/>
            <w:r w:rsidRPr="003376A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Infection</w:t>
            </w:r>
            <w:r w:rsidR="00C45A57" w:rsidRPr="003376A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grade ≥</w:t>
            </w:r>
            <w:r w:rsidR="00C45A57" w:rsidRPr="003376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3 (n=</w:t>
            </w:r>
            <w:r w:rsidR="003376A5" w:rsidRPr="003376A5">
              <w:rPr>
                <w:rFonts w:ascii="Arial" w:hAnsi="Arial" w:cs="Arial"/>
                <w:b/>
                <w:sz w:val="18"/>
                <w:szCs w:val="18"/>
                <w:lang w:val="en-US"/>
              </w:rPr>
              <w:t>8)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BE7306" w14:textId="36FFD342" w:rsidR="00B84DF6" w:rsidRPr="00874AC6" w:rsidRDefault="00B84DF6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Accelerated Glo </w:t>
            </w:r>
            <w:r w:rsidR="006473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(‘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-like’</w:t>
            </w:r>
            <w:r w:rsidR="00AD5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+</w:t>
            </w:r>
            <w:r w:rsidR="006473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’Rapid Glo’</w:t>
            </w:r>
            <w:r w:rsidR="006473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(≤ 2 weeks)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F56B1" w14:textId="77777777" w:rsidR="00B84DF6" w:rsidRPr="0006272B" w:rsidRDefault="00B84DF6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Bi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-like  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(1-2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weeks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BD8FE8" w14:textId="77777777" w:rsidR="00B84DF6" w:rsidRPr="0006272B" w:rsidRDefault="00B84DF6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Rapid </w:t>
            </w: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Glo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(≤ 1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C95767" w:rsidRPr="0006272B" w14:paraId="4EA1EBFC" w14:textId="77777777" w:rsidTr="00AE0477">
        <w:trPr>
          <w:trHeight w:val="945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F7FB0" w14:textId="5713BACD" w:rsidR="00C95767" w:rsidRPr="0051643D" w:rsidRDefault="00C95767" w:rsidP="00AE047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Grade 3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Gramnegative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bacteria</w:t>
            </w:r>
            <w:r w:rsidR="00E839E2">
              <w:rPr>
                <w:rFonts w:ascii="Arial" w:hAnsi="Arial" w:cs="Arial"/>
                <w:sz w:val="18"/>
                <w:szCs w:val="18"/>
                <w:lang w:val="en-US"/>
              </w:rPr>
              <w:br/>
              <w:t>Chol</w:t>
            </w:r>
            <w:r w:rsidR="00BF686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E839E2">
              <w:rPr>
                <w:rFonts w:ascii="Arial" w:hAnsi="Arial" w:cs="Arial"/>
                <w:sz w:val="18"/>
                <w:szCs w:val="18"/>
                <w:lang w:val="en-US"/>
              </w:rPr>
              <w:t>cystitis</w:t>
            </w:r>
            <w:r w:rsidR="00E839E2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251AC0" w:rsidRPr="00AD519E">
              <w:rPr>
                <w:rFonts w:ascii="Arial" w:hAnsi="Arial" w:cs="Arial"/>
                <w:sz w:val="18"/>
                <w:szCs w:val="18"/>
                <w:lang w:val="en-US"/>
              </w:rPr>
              <w:t>Urinary tract infection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Port infection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CMV reactivation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Candida albicans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Unknown origin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325A02" w14:textId="0F861131" w:rsidR="00C95767" w:rsidRDefault="00C95767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E839E2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E839E2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8448A5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185EB0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3B4C1" w14:textId="68B891AA" w:rsidR="00C95767" w:rsidRPr="0006272B" w:rsidRDefault="00C95767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8D1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36275F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  <w:r w:rsidR="00E839E2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36275F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  <w:r w:rsidR="008448A5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6275F">
              <w:rPr>
                <w:rFonts w:ascii="Arial" w:hAnsi="Arial" w:cs="Arial"/>
                <w:sz w:val="18"/>
                <w:szCs w:val="18"/>
              </w:rPr>
              <w:t xml:space="preserve"> (2%)</w:t>
            </w:r>
            <w:r>
              <w:rPr>
                <w:rFonts w:ascii="Arial" w:hAnsi="Arial" w:cs="Arial"/>
                <w:sz w:val="18"/>
                <w:szCs w:val="18"/>
              </w:rPr>
              <w:br/>
              <w:t>1</w:t>
            </w:r>
            <w:r w:rsidR="0036275F">
              <w:rPr>
                <w:rFonts w:ascii="Arial" w:hAnsi="Arial" w:cs="Arial"/>
                <w:sz w:val="18"/>
                <w:szCs w:val="18"/>
              </w:rPr>
              <w:t xml:space="preserve"> (2%)</w:t>
            </w:r>
            <w:r>
              <w:rPr>
                <w:rFonts w:ascii="Arial" w:hAnsi="Arial" w:cs="Arial"/>
                <w:sz w:val="18"/>
                <w:szCs w:val="18"/>
              </w:rPr>
              <w:br/>
              <w:t>1</w:t>
            </w:r>
            <w:r w:rsidR="0036275F">
              <w:rPr>
                <w:rFonts w:ascii="Arial" w:hAnsi="Arial" w:cs="Arial"/>
                <w:sz w:val="18"/>
                <w:szCs w:val="18"/>
              </w:rPr>
              <w:t xml:space="preserve"> (2%)</w:t>
            </w:r>
            <w:r>
              <w:rPr>
                <w:rFonts w:ascii="Arial" w:hAnsi="Arial" w:cs="Arial"/>
                <w:sz w:val="18"/>
                <w:szCs w:val="18"/>
              </w:rPr>
              <w:br/>
              <w:t>1</w:t>
            </w:r>
            <w:r w:rsidR="0036275F">
              <w:rPr>
                <w:rFonts w:ascii="Arial" w:hAnsi="Arial" w:cs="Arial"/>
                <w:sz w:val="18"/>
                <w:szCs w:val="18"/>
              </w:rPr>
              <w:t xml:space="preserve"> (2%)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A022B" w14:textId="0BB91D86" w:rsidR="00C95767" w:rsidRPr="0006272B" w:rsidRDefault="00C95767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839E2">
              <w:rPr>
                <w:rFonts w:ascii="Arial" w:hAnsi="Arial" w:cs="Arial"/>
                <w:sz w:val="18"/>
                <w:szCs w:val="18"/>
              </w:rPr>
              <w:br/>
              <w:t>0</w:t>
            </w:r>
            <w:r w:rsidR="008448A5">
              <w:rPr>
                <w:rFonts w:ascii="Arial" w:hAnsi="Arial" w:cs="Arial"/>
                <w:sz w:val="18"/>
                <w:szCs w:val="18"/>
              </w:rPr>
              <w:br/>
              <w:t>1</w:t>
            </w:r>
            <w:r w:rsidR="0036275F">
              <w:rPr>
                <w:rFonts w:ascii="Arial" w:hAnsi="Arial" w:cs="Arial"/>
                <w:sz w:val="18"/>
                <w:szCs w:val="18"/>
              </w:rPr>
              <w:t xml:space="preserve">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</w:p>
        </w:tc>
      </w:tr>
      <w:tr w:rsidR="006473D9" w:rsidRPr="0006272B" w14:paraId="0EF312C9" w14:textId="77777777" w:rsidTr="001D48D1">
        <w:trPr>
          <w:trHeight w:val="237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884BC" w14:textId="5D622838" w:rsidR="006473D9" w:rsidRPr="006473D9" w:rsidRDefault="006473D9" w:rsidP="00AE047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Grade 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Aspiration pneumonia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38CF80" w14:textId="2E4FC5F6" w:rsidR="006473D9" w:rsidRDefault="006473D9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CB351A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D4BFA" w14:textId="1941B8A0" w:rsidR="006473D9" w:rsidRDefault="006473D9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CB351A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86DA4" w14:textId="69A900C1" w:rsidR="006473D9" w:rsidRDefault="006473D9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</w:p>
        </w:tc>
      </w:tr>
      <w:tr w:rsidR="00C95767" w:rsidRPr="0006272B" w14:paraId="6E68006D" w14:textId="77777777" w:rsidTr="001D48D1">
        <w:trPr>
          <w:trHeight w:val="237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F54DD" w14:textId="07ABEA3C" w:rsidR="00C95767" w:rsidRPr="00B84DF6" w:rsidRDefault="00C95767" w:rsidP="00AE047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Grade 5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975BAF" w14:textId="31491E1F" w:rsidR="00C95767" w:rsidRPr="0006272B" w:rsidRDefault="00C95767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5014C" w14:textId="16CEFF66" w:rsidR="00C95767" w:rsidRPr="0006272B" w:rsidRDefault="00C95767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2F8757" w14:textId="195A209D" w:rsidR="00C95767" w:rsidRPr="0006272B" w:rsidRDefault="00C95767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 w14:paraId="07FC849A" w14:textId="77777777" w:rsidR="00BF686E" w:rsidRDefault="00BF686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5EF282B" w14:textId="76A572F7" w:rsidR="00BF686E" w:rsidRPr="0082154C" w:rsidRDefault="00BF686E" w:rsidP="00393B28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8215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CMV: </w:t>
      </w:r>
      <w:r w:rsidR="0082154C" w:rsidRPr="0082154C">
        <w:rPr>
          <w:rFonts w:ascii="Arial" w:hAnsi="Arial" w:cs="Arial"/>
          <w:color w:val="000000" w:themeColor="text1"/>
          <w:sz w:val="22"/>
          <w:szCs w:val="22"/>
          <w:lang w:val="en-US"/>
        </w:rPr>
        <w:t>Cytomegalovirus</w:t>
      </w:r>
    </w:p>
    <w:p w14:paraId="65D314BF" w14:textId="77777777" w:rsidR="00BF686E" w:rsidRDefault="00BF686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4F9D1FC2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577932A1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B9C71D7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799CA189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B397920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FBAAF9C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261B228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70BCBC0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0648D7B3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74968BAE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78B6E7F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E97921B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CCD5C91" w14:textId="77777777" w:rsidR="00AD519E" w:rsidRDefault="00AD519E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7BE5FEC7" w14:textId="0F2CE47E" w:rsidR="00923FA1" w:rsidRDefault="00923FA1" w:rsidP="00393B2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lastRenderedPageBreak/>
        <w:t xml:space="preserve">Supplemental Table </w:t>
      </w:r>
      <w:r w:rsidR="00AF42D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 ICU admissions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665"/>
        <w:gridCol w:w="2220"/>
        <w:gridCol w:w="2221"/>
      </w:tblGrid>
      <w:tr w:rsidR="00923FA1" w:rsidRPr="0006272B" w14:paraId="4FCBBEB7" w14:textId="77777777" w:rsidTr="00AE0477">
        <w:trPr>
          <w:trHeight w:val="680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26E87" w14:textId="01F48ACE" w:rsidR="00923FA1" w:rsidRPr="00B84DF6" w:rsidRDefault="00940939" w:rsidP="00AE04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ICU admissions (n=6)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A6F7EE" w14:textId="5F9136E7" w:rsidR="00923FA1" w:rsidRPr="00874AC6" w:rsidRDefault="00923FA1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Accelerated Glo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(‘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-like’</w:t>
            </w:r>
            <w:r w:rsidR="00AD51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’Rapid Glo’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(≤ 2 weeks)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82127F" w14:textId="77777777" w:rsidR="00923FA1" w:rsidRPr="0006272B" w:rsidRDefault="00923FA1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Bi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-like  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(1-2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weeks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0C4BFC" w14:textId="77777777" w:rsidR="00923FA1" w:rsidRPr="0006272B" w:rsidRDefault="00923FA1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Rapid </w:t>
            </w: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Glo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(≤ 1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923FA1" w:rsidRPr="0006272B" w14:paraId="5BA620BA" w14:textId="77777777" w:rsidTr="00BB1802">
        <w:trPr>
          <w:trHeight w:val="533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046DA" w14:textId="3249406B" w:rsidR="00923FA1" w:rsidRPr="0051643D" w:rsidRDefault="007B459B" w:rsidP="00AE047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CRS </w:t>
            </w:r>
            <w:r w:rsidR="00781B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onitoring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="00940939">
              <w:rPr>
                <w:rFonts w:ascii="Arial" w:hAnsi="Arial" w:cs="Arial"/>
                <w:bCs/>
                <w:sz w:val="18"/>
                <w:szCs w:val="18"/>
                <w:lang w:val="en-US"/>
              </w:rPr>
              <w:t>ICANS Grade 2</w:t>
            </w:r>
            <w:r w:rsidR="0094093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Aspiration pneumonia</w:t>
            </w:r>
            <w:r w:rsidR="00907F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94093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Tracheal obstruction</w:t>
            </w:r>
            <w:r w:rsidR="00940939">
              <w:rPr>
                <w:rFonts w:ascii="Arial" w:hAnsi="Arial" w:cs="Arial"/>
                <w:sz w:val="18"/>
                <w:szCs w:val="18"/>
                <w:lang w:val="en-US"/>
              </w:rPr>
              <w:br/>
              <w:t>Cholecystitis</w:t>
            </w:r>
            <w:r w:rsidR="00940939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Tumor lysis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grade 4 </w:t>
            </w:r>
            <w:r w:rsidR="00940939">
              <w:rPr>
                <w:rFonts w:ascii="Arial" w:hAnsi="Arial" w:cs="Arial"/>
                <w:sz w:val="18"/>
                <w:szCs w:val="18"/>
                <w:lang w:val="en-US"/>
              </w:rPr>
              <w:t xml:space="preserve">and AKI 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AEC5E" w14:textId="26BF1025" w:rsidR="00923FA1" w:rsidRDefault="007B459B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B1802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BB1802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BB1802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BB1802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  <w:r w:rsidR="00BB1802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(1%)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9A9D73" w14:textId="70FCC79A" w:rsidR="00923FA1" w:rsidRPr="0006272B" w:rsidRDefault="007B459B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F53C7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3E1095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  <w:r w:rsidR="003E1095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  <w:r w:rsidR="003E1095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  <w:r w:rsidR="003E1095">
              <w:rPr>
                <w:rFonts w:ascii="Arial" w:hAnsi="Arial" w:cs="Arial"/>
                <w:sz w:val="18"/>
                <w:szCs w:val="18"/>
                <w:lang w:val="en-US"/>
              </w:rPr>
              <w:br/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(2%)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9733AB" w14:textId="56939ABE" w:rsidR="00923FA1" w:rsidRPr="0006272B" w:rsidRDefault="007B459B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F53C7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90228">
              <w:rPr>
                <w:rFonts w:ascii="Arial" w:hAnsi="Arial" w:cs="Arial"/>
                <w:sz w:val="18"/>
                <w:szCs w:val="18"/>
                <w:lang w:val="en-US"/>
              </w:rPr>
              <w:t xml:space="preserve"> (5%)</w:t>
            </w:r>
            <w:r w:rsidR="00F53C79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  <w:r w:rsidR="00F53C79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  <w:r w:rsidR="00F53C79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  <w:r w:rsidR="00F53C79">
              <w:rPr>
                <w:rFonts w:ascii="Arial" w:hAnsi="Arial" w:cs="Arial"/>
                <w:sz w:val="18"/>
                <w:szCs w:val="18"/>
                <w:lang w:val="en-US"/>
              </w:rPr>
              <w:br/>
              <w:t>0</w:t>
            </w:r>
          </w:p>
        </w:tc>
      </w:tr>
    </w:tbl>
    <w:p w14:paraId="21501990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B21FB6D" w14:textId="77777777" w:rsidR="00D7337E" w:rsidRDefault="00D7337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CCC8420" w14:textId="77777777" w:rsidR="00D7337E" w:rsidRDefault="00D7337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6A56989" w14:textId="77777777" w:rsidR="00D7337E" w:rsidRDefault="00D7337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1FF7AD7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7954A9B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7ECF437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4EE6150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BE63771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3DF839C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2CFA39F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B0085E2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0C953CB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E3FA40B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CC17CA7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29FA231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641A050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15799CE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5827522" w14:textId="77777777" w:rsidR="00AD519E" w:rsidRDefault="00AD519E" w:rsidP="00393B28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EA65AFF" w14:textId="4F325A14" w:rsidR="00106ADF" w:rsidRPr="004661D4" w:rsidRDefault="00393B28" w:rsidP="00393B28">
      <w:pPr>
        <w:spacing w:line="360" w:lineRule="auto"/>
        <w:rPr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Supplemental </w:t>
      </w:r>
      <w:r w:rsidR="004661D4" w:rsidRPr="004661D4">
        <w:rPr>
          <w:rFonts w:ascii="Arial" w:hAnsi="Arial" w:cs="Arial"/>
          <w:b/>
          <w:sz w:val="22"/>
          <w:szCs w:val="22"/>
          <w:lang w:val="en-US"/>
        </w:rPr>
        <w:t xml:space="preserve">Table </w:t>
      </w:r>
      <w:r w:rsidR="00AF42D1">
        <w:rPr>
          <w:rFonts w:ascii="Arial" w:hAnsi="Arial" w:cs="Arial"/>
          <w:b/>
          <w:sz w:val="22"/>
          <w:szCs w:val="22"/>
          <w:lang w:val="en-US"/>
        </w:rPr>
        <w:t>6</w:t>
      </w:r>
      <w:r w:rsidR="004661D4" w:rsidRPr="004661D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4133FF" w:rsidRPr="00393B28">
        <w:rPr>
          <w:rFonts w:ascii="Arial" w:hAnsi="Arial" w:cs="Arial"/>
          <w:b/>
          <w:sz w:val="22"/>
          <w:szCs w:val="22"/>
          <w:lang w:val="en-US"/>
        </w:rPr>
        <w:t xml:space="preserve">Response </w:t>
      </w:r>
      <w:r w:rsidR="0088708B">
        <w:rPr>
          <w:rFonts w:ascii="Arial" w:hAnsi="Arial" w:cs="Arial"/>
          <w:b/>
          <w:sz w:val="22"/>
          <w:szCs w:val="22"/>
          <w:lang w:val="en-US"/>
        </w:rPr>
        <w:t>p</w:t>
      </w:r>
      <w:r w:rsidR="004133FF" w:rsidRPr="00393B28">
        <w:rPr>
          <w:rFonts w:ascii="Arial" w:hAnsi="Arial" w:cs="Arial"/>
          <w:b/>
          <w:sz w:val="22"/>
          <w:szCs w:val="22"/>
          <w:lang w:val="en-US"/>
        </w:rPr>
        <w:t>arameters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701"/>
        <w:gridCol w:w="1417"/>
        <w:gridCol w:w="1418"/>
        <w:gridCol w:w="1705"/>
        <w:gridCol w:w="1984"/>
      </w:tblGrid>
      <w:tr w:rsidR="00106ADF" w:rsidRPr="003B7815" w14:paraId="71DC4DA4" w14:textId="77777777" w:rsidTr="00874AC6">
        <w:trPr>
          <w:trHeight w:val="68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FD9944" w14:textId="4DC7C8E1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Response </w:t>
            </w:r>
            <w:r w:rsidR="00874AC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ED9B20" w14:textId="5AF81FA0" w:rsidR="00106ADF" w:rsidRPr="00874AC6" w:rsidRDefault="00874AC6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Accelerated Glo (‘</w:t>
            </w:r>
            <w:proofErr w:type="spellStart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BiCAR</w:t>
            </w:r>
            <w:proofErr w:type="spellEnd"/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-like’+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’Rapid Glo’</w:t>
            </w:r>
            <w:r w:rsidRPr="005B53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5B5336">
              <w:rPr>
                <w:rFonts w:ascii="Arial" w:hAnsi="Arial" w:cs="Arial"/>
                <w:sz w:val="18"/>
                <w:szCs w:val="18"/>
                <w:lang w:val="en-US"/>
              </w:rPr>
              <w:t>(≤ 2 weeks)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64D0CD" w14:textId="7C14BCEA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Bi</w:t>
            </w:r>
            <w:r w:rsidR="00874AC6">
              <w:rPr>
                <w:rFonts w:ascii="Arial" w:hAnsi="Arial" w:cs="Arial"/>
                <w:b/>
                <w:bCs/>
                <w:sz w:val="18"/>
                <w:szCs w:val="18"/>
              </w:rPr>
              <w:t>CAR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-like  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(1-2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weeks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AB0877" w14:textId="137E937E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Rapid </w:t>
            </w:r>
            <w:proofErr w:type="spellStart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t>Glo</w:t>
            </w:r>
            <w:proofErr w:type="spellEnd"/>
            <w:r w:rsidRPr="0006272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A0241">
              <w:rPr>
                <w:rFonts w:ascii="Arial" w:hAnsi="Arial" w:cs="Arial"/>
                <w:bCs/>
                <w:sz w:val="18"/>
                <w:szCs w:val="18"/>
              </w:rPr>
              <w:t xml:space="preserve">(≤ 1 </w:t>
            </w:r>
            <w:proofErr w:type="spellStart"/>
            <w:r w:rsidRPr="005A0241">
              <w:rPr>
                <w:rFonts w:ascii="Arial" w:hAnsi="Arial" w:cs="Arial"/>
                <w:bCs/>
                <w:sz w:val="18"/>
                <w:szCs w:val="18"/>
              </w:rPr>
              <w:t>week</w:t>
            </w:r>
            <w:proofErr w:type="spellEnd"/>
            <w:r w:rsidRPr="005A024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708C5B" w14:textId="27C34F5E" w:rsidR="00106ADF" w:rsidRPr="0006272B" w:rsidRDefault="00E157D4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Standard dosing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(Pivotal trial^)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C551B5" w14:textId="0408F593" w:rsidR="00106ADF" w:rsidRPr="00E63839" w:rsidRDefault="00E63839" w:rsidP="00AD519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Standard dosing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E63839">
              <w:rPr>
                <w:rFonts w:ascii="Arial" w:hAnsi="Arial" w:cs="Arial"/>
                <w:sz w:val="18"/>
                <w:szCs w:val="18"/>
                <w:lang w:val="en-US"/>
              </w:rPr>
              <w:t>(RWA</w:t>
            </w:r>
            <w:r w:rsidR="00AD519E" w:rsidRPr="00AD51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  <w:r w:rsidRPr="00E6383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106ADF" w:rsidRPr="00393B28" w14:paraId="7DB59320" w14:textId="77777777" w:rsidTr="00874AC6">
        <w:trPr>
          <w:trHeight w:val="44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B71F5" w14:textId="77777777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No. of patients with staging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6F94B5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71 (86%)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A888EC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56 (88%)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997CCE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15 (79%)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5D815" w14:textId="57AE4D55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F712D" w14:textId="54D9A3CC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</w:tr>
      <w:tr w:rsidR="005F3CCA" w:rsidRPr="005F3CCA" w14:paraId="20B5F19C" w14:textId="77777777" w:rsidTr="00874AC6">
        <w:trPr>
          <w:trHeight w:val="44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D88A59" w14:textId="40A27E6F" w:rsidR="005F3CCA" w:rsidRPr="0006272B" w:rsidRDefault="005F3CCA" w:rsidP="008A2BA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Median PFS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0607D" w14:textId="3C304853" w:rsidR="005F3CCA" w:rsidRPr="0006272B" w:rsidRDefault="000F129C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6.3 months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23B1B" w14:textId="47D0B5C8" w:rsidR="005F3CCA" w:rsidRPr="0006272B" w:rsidRDefault="009C0FE8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9.9 months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624E48" w14:textId="56ED8B99" w:rsidR="005F3CCA" w:rsidRPr="0006272B" w:rsidRDefault="00C7115A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3.4 months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1E0F8" w14:textId="4EFD1329" w:rsidR="005F3CCA" w:rsidRPr="0006272B" w:rsidRDefault="001E2113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4.9 months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006880" w14:textId="5251212A" w:rsidR="005F3CCA" w:rsidRPr="0006272B" w:rsidRDefault="00442A59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3.6 months</w:t>
            </w:r>
          </w:p>
        </w:tc>
      </w:tr>
      <w:tr w:rsidR="005F3CCA" w:rsidRPr="005F3CCA" w14:paraId="1D128766" w14:textId="77777777" w:rsidTr="00874AC6">
        <w:trPr>
          <w:trHeight w:val="44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84A13" w14:textId="426DF299" w:rsidR="005F3CCA" w:rsidRPr="0006272B" w:rsidRDefault="00F015B8" w:rsidP="008A2BA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Median 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E9498" w14:textId="60473A8F" w:rsidR="005F3CCA" w:rsidRPr="0006272B" w:rsidRDefault="00F015B8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21.5 months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74EF3" w14:textId="6E31A315" w:rsidR="005F3CCA" w:rsidRPr="0006272B" w:rsidRDefault="00D47354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21.5 months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CC846" w14:textId="3B63D54F" w:rsidR="005F3CCA" w:rsidRPr="0006272B" w:rsidRDefault="00D47354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NR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C09E9" w14:textId="2A8F0866" w:rsidR="005F3CCA" w:rsidRPr="0006272B" w:rsidRDefault="0063429B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11.5</w:t>
            </w:r>
            <w:r w:rsidR="007F6235"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4F973" w14:textId="0D4BAF75" w:rsidR="005F3CCA" w:rsidRPr="0006272B" w:rsidRDefault="00583F2E" w:rsidP="00AD519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5.7 months</w:t>
            </w:r>
          </w:p>
        </w:tc>
      </w:tr>
      <w:tr w:rsidR="00106ADF" w:rsidRPr="00393B28" w14:paraId="5CE5FF37" w14:textId="77777777" w:rsidTr="00874AC6">
        <w:trPr>
          <w:trHeight w:val="160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DA3347" w14:textId="77777777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Best response: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ORR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CR or CMR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PR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SD or MR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PD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PR 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E0"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CR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DFFFE" w14:textId="3C6DB4DB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44 (53%)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10 (12%)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34 (41%)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9 (11%)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18 (22%)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 (2%)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82548A" w14:textId="57C0170A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35 (55%)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10 (16%)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25 (39%)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8 (13%)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13 (20%)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 (3%)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F224DA" w14:textId="7F40C088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9 (47%)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9 (47%)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 (26%)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C8D31" w14:textId="722722CE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52%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9%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13%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C95767">
              <w:rPr>
                <w:rFonts w:ascii="Arial" w:hAnsi="Arial" w:cs="Arial"/>
                <w:sz w:val="18"/>
                <w:szCs w:val="18"/>
              </w:rPr>
              <w:t>na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C95767">
              <w:rPr>
                <w:rFonts w:ascii="Arial" w:hAnsi="Arial" w:cs="Arial"/>
                <w:sz w:val="18"/>
                <w:szCs w:val="18"/>
              </w:rPr>
              <w:t>na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C95767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419460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32 (46%)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29 (27%)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13 (19%)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31 (44%)</w:t>
            </w:r>
            <w:r w:rsidRPr="0006272B">
              <w:rPr>
                <w:rFonts w:ascii="Arial" w:hAnsi="Arial" w:cs="Arial"/>
                <w:sz w:val="18"/>
                <w:szCs w:val="18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7 (10%)</w:t>
            </w:r>
          </w:p>
        </w:tc>
      </w:tr>
      <w:tr w:rsidR="00106ADF" w:rsidRPr="00393B28" w14:paraId="46EE0A53" w14:textId="77777777" w:rsidTr="00874AC6">
        <w:trPr>
          <w:trHeight w:val="44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7CC0BC" w14:textId="77777777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Median time to response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FAF1BF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1.2 months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18F332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1.4 months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369198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1.1 months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C3230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TT CR: 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1.4 months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E173B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1.8 months</w:t>
            </w:r>
          </w:p>
        </w:tc>
      </w:tr>
      <w:tr w:rsidR="00106ADF" w:rsidRPr="00393B28" w14:paraId="6A1010C7" w14:textId="77777777" w:rsidTr="00874AC6">
        <w:trPr>
          <w:trHeight w:val="30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EF9EE" w14:textId="77777777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Median duration of response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6E8E5" w14:textId="0036B5C5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  <w:r w:rsidR="009C5FA7" w:rsidRPr="0006272B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14CF8" w14:textId="5761EA51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  <w:r w:rsidR="009C5FA7" w:rsidRPr="0006272B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A28D46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2.3 months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12A5B4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14.4 months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B93C0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3.2 months</w:t>
            </w:r>
          </w:p>
        </w:tc>
      </w:tr>
      <w:tr w:rsidR="00106ADF" w:rsidRPr="00393B28" w14:paraId="5534CE5C" w14:textId="77777777" w:rsidTr="00874AC6">
        <w:trPr>
          <w:trHeight w:val="32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608F05" w14:textId="77777777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Median time to follow up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5B556E" w14:textId="774CFB4B" w:rsidR="00106ADF" w:rsidRPr="0006272B" w:rsidRDefault="00D305C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5.1</w:t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95A05" w14:textId="318F7268" w:rsidR="00106ADF" w:rsidRPr="0006272B" w:rsidRDefault="00D305C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6.1</w:t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2F2B5C" w14:textId="52953735" w:rsidR="00106ADF" w:rsidRPr="0006272B" w:rsidRDefault="00D305C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4.2</w:t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9F5572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12 months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DB4FA" w14:textId="77777777" w:rsidR="00106ADF" w:rsidRPr="0006272B" w:rsidRDefault="00106ADF" w:rsidP="00AD5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5 months</w:t>
            </w:r>
          </w:p>
        </w:tc>
      </w:tr>
      <w:tr w:rsidR="00106ADF" w:rsidRPr="00393B28" w14:paraId="0BF9A769" w14:textId="77777777" w:rsidTr="00874AC6">
        <w:trPr>
          <w:trHeight w:val="68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D7CDB" w14:textId="77777777" w:rsidR="00106ADF" w:rsidRPr="0006272B" w:rsidRDefault="00106ADF" w:rsidP="008A2BA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 at last contact</w:t>
            </w:r>
            <w:r w:rsidRPr="0006272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t>Alive</w:t>
            </w:r>
            <w:r w:rsidRPr="0006272B">
              <w:rPr>
                <w:rFonts w:ascii="Arial" w:hAnsi="Arial" w:cs="Arial"/>
                <w:sz w:val="18"/>
                <w:szCs w:val="18"/>
                <w:lang w:val="en-US"/>
              </w:rPr>
              <w:br/>
              <w:t>Dead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BCACD" w14:textId="203EF74A" w:rsidR="00106ADF" w:rsidRPr="0006272B" w:rsidRDefault="00114E2B" w:rsidP="00114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66 (80%)</w:t>
            </w:r>
            <w:r w:rsidR="00106ADF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17 (2</w:t>
            </w:r>
            <w:r w:rsidR="009B08E7" w:rsidRPr="0006272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0143B" w14:textId="127D20FA" w:rsidR="00106ADF" w:rsidRPr="0006272B" w:rsidRDefault="00114E2B" w:rsidP="00114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48 (75%)</w:t>
            </w:r>
            <w:r w:rsidR="00106ADF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16 (25%)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4FBB8" w14:textId="31FBA7D6" w:rsidR="00106ADF" w:rsidRPr="0006272B" w:rsidRDefault="00114E2B" w:rsidP="00114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18 (95%)</w:t>
            </w:r>
            <w:r w:rsidR="00106ADF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1 (5%)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F984FB" w14:textId="45B67521" w:rsidR="00106ADF" w:rsidRPr="0006272B" w:rsidRDefault="00114E2B" w:rsidP="00114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="00C95767">
              <w:rPr>
                <w:rFonts w:ascii="Arial" w:hAnsi="Arial" w:cs="Arial"/>
                <w:sz w:val="18"/>
                <w:szCs w:val="18"/>
              </w:rPr>
              <w:t>na</w:t>
            </w:r>
            <w:proofErr w:type="gramEnd"/>
            <w:r w:rsidR="00106ADF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C95767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F616F" w14:textId="529B9957" w:rsidR="00106ADF" w:rsidRPr="0006272B" w:rsidRDefault="00114E2B" w:rsidP="00114E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27 (39%)</w:t>
            </w:r>
            <w:r w:rsidR="00106ADF" w:rsidRPr="0006272B">
              <w:rPr>
                <w:rFonts w:ascii="Arial" w:hAnsi="Arial" w:cs="Arial"/>
                <w:sz w:val="18"/>
                <w:szCs w:val="18"/>
              </w:rPr>
              <w:br/>
            </w:r>
            <w:r w:rsidR="00106ADF" w:rsidRPr="0006272B">
              <w:rPr>
                <w:rFonts w:ascii="Arial" w:hAnsi="Arial" w:cs="Arial"/>
                <w:sz w:val="18"/>
                <w:szCs w:val="18"/>
                <w:lang w:val="en-US"/>
              </w:rPr>
              <w:t>43 (61%)</w:t>
            </w:r>
          </w:p>
        </w:tc>
      </w:tr>
    </w:tbl>
    <w:p w14:paraId="30169FD6" w14:textId="77777777" w:rsidR="004661D4" w:rsidRPr="00393B28" w:rsidRDefault="004661D4" w:rsidP="00106ADF">
      <w:pPr>
        <w:rPr>
          <w:sz w:val="16"/>
          <w:szCs w:val="16"/>
          <w:lang w:val="en-US"/>
        </w:rPr>
      </w:pPr>
    </w:p>
    <w:p w14:paraId="2DE286FE" w14:textId="413C7788" w:rsidR="00C406DC" w:rsidRPr="00AD519E" w:rsidRDefault="004133FF" w:rsidP="00B13C66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393B28">
        <w:rPr>
          <w:rFonts w:ascii="Arial" w:hAnsi="Arial" w:cs="Arial"/>
          <w:sz w:val="22"/>
          <w:szCs w:val="22"/>
          <w:lang w:val="en-US"/>
        </w:rPr>
        <w:t xml:space="preserve">ORR: overall response rate; CR: complete remission; PR: partial remission; SD: stable disease; PD: progressive disease; </w:t>
      </w:r>
      <w:r w:rsidR="00C95767">
        <w:rPr>
          <w:rFonts w:ascii="Arial" w:hAnsi="Arial" w:cs="Arial"/>
          <w:sz w:val="22"/>
          <w:szCs w:val="22"/>
          <w:lang w:val="en-US"/>
        </w:rPr>
        <w:t xml:space="preserve">NR: not reached; </w:t>
      </w:r>
      <w:r w:rsidRPr="00393B28">
        <w:rPr>
          <w:rFonts w:ascii="Arial" w:hAnsi="Arial" w:cs="Arial"/>
          <w:sz w:val="22"/>
          <w:szCs w:val="22"/>
          <w:lang w:val="en-US"/>
        </w:rPr>
        <w:t>TT-CR: time to complete response.</w:t>
      </w:r>
      <w:r w:rsidR="0063429B">
        <w:rPr>
          <w:rFonts w:ascii="Arial" w:hAnsi="Arial" w:cs="Arial"/>
          <w:sz w:val="22"/>
          <w:szCs w:val="22"/>
          <w:lang w:val="en-US"/>
        </w:rPr>
        <w:t xml:space="preserve"> PFS: progression-free survival; OS: overall survival</w:t>
      </w:r>
      <w:r w:rsidR="00AD519E">
        <w:rPr>
          <w:rFonts w:ascii="Arial" w:hAnsi="Arial" w:cs="Arial"/>
          <w:sz w:val="22"/>
          <w:szCs w:val="22"/>
          <w:lang w:val="en-US"/>
        </w:rPr>
        <w:t>.</w:t>
      </w:r>
      <w:r w:rsidR="00F04C87">
        <w:rPr>
          <w:rFonts w:ascii="Arial" w:hAnsi="Arial" w:cs="Arial"/>
          <w:sz w:val="22"/>
          <w:szCs w:val="22"/>
          <w:lang w:val="en-US"/>
        </w:rPr>
        <w:t xml:space="preserve"> </w:t>
      </w:r>
      <w:r w:rsidR="00F04C87" w:rsidRPr="00F04C87">
        <w:rPr>
          <w:rFonts w:ascii="Arial" w:hAnsi="Arial" w:cs="Arial"/>
          <w:sz w:val="22"/>
          <w:szCs w:val="22"/>
          <w:lang w:val="en-US"/>
        </w:rPr>
        <w:t>Comparisons to external cohorts are descriptive and not based on matched populations.</w:t>
      </w:r>
      <w:r w:rsidR="00C406DC">
        <w:rPr>
          <w:rFonts w:ascii="Arial" w:hAnsi="Arial" w:cs="Arial"/>
          <w:sz w:val="22"/>
          <w:szCs w:val="22"/>
          <w:lang w:val="en-US"/>
        </w:rPr>
        <w:t xml:space="preserve"> </w:t>
      </w:r>
      <w:r w:rsidR="00C406DC" w:rsidRPr="00C406DC">
        <w:rPr>
          <w:rFonts w:ascii="Arial" w:hAnsi="Arial" w:cs="Arial"/>
          <w:sz w:val="22"/>
          <w:szCs w:val="22"/>
          <w:lang w:val="en-US"/>
        </w:rPr>
        <w:t>^</w:t>
      </w:r>
      <w:r w:rsidR="00C406DC" w:rsidRPr="00AD519E">
        <w:rPr>
          <w:rFonts w:ascii="Arial" w:hAnsi="Arial" w:cs="Arial"/>
          <w:i/>
          <w:iCs/>
          <w:sz w:val="22"/>
          <w:szCs w:val="22"/>
          <w:lang w:val="en-US"/>
        </w:rPr>
        <w:t>Dickinson et al. NEJM 2022.</w:t>
      </w:r>
      <w:r w:rsidR="00AD519E">
        <w:rPr>
          <w:rFonts w:ascii="Arial" w:hAnsi="Arial" w:cs="Arial"/>
          <w:i/>
          <w:iCs/>
          <w:sz w:val="22"/>
          <w:szCs w:val="22"/>
          <w:lang w:val="en-US"/>
        </w:rPr>
        <w:t xml:space="preserve"> # </w:t>
      </w:r>
      <w:proofErr w:type="spellStart"/>
      <w:r w:rsidR="00AD519E">
        <w:rPr>
          <w:rFonts w:ascii="Arial" w:hAnsi="Arial" w:cs="Arial"/>
          <w:i/>
          <w:iCs/>
          <w:sz w:val="22"/>
          <w:szCs w:val="22"/>
          <w:lang w:val="en-US"/>
        </w:rPr>
        <w:t>Shumilov</w:t>
      </w:r>
      <w:proofErr w:type="spellEnd"/>
      <w:r w:rsidR="00AD519E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 w:rsidR="00AD519E">
        <w:rPr>
          <w:rFonts w:ascii="Arial" w:hAnsi="Arial" w:cs="Arial"/>
          <w:i/>
          <w:iCs/>
          <w:sz w:val="22"/>
          <w:szCs w:val="22"/>
          <w:lang w:val="en-US"/>
        </w:rPr>
        <w:t>Wurm-Kuczera</w:t>
      </w:r>
      <w:proofErr w:type="spellEnd"/>
      <w:r w:rsidR="00AD519E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 w:rsidR="00AD519E">
        <w:rPr>
          <w:rFonts w:ascii="Arial" w:hAnsi="Arial" w:cs="Arial"/>
          <w:i/>
          <w:iCs/>
          <w:sz w:val="22"/>
          <w:szCs w:val="22"/>
          <w:lang w:val="en-US"/>
        </w:rPr>
        <w:t>Kerkhoff</w:t>
      </w:r>
      <w:proofErr w:type="spellEnd"/>
      <w:r w:rsidR="00AD519E">
        <w:rPr>
          <w:rFonts w:ascii="Arial" w:hAnsi="Arial" w:cs="Arial"/>
          <w:i/>
          <w:iCs/>
          <w:sz w:val="22"/>
          <w:szCs w:val="22"/>
          <w:lang w:val="en-US"/>
        </w:rPr>
        <w:t xml:space="preserve"> et al. Blood Advances 2024.</w:t>
      </w:r>
    </w:p>
    <w:p w14:paraId="76CDB1F1" w14:textId="77777777" w:rsidR="00DB19F1" w:rsidRDefault="00DB19F1" w:rsidP="004133F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45A6F73" w14:textId="77777777" w:rsidR="00DB19F1" w:rsidRDefault="00DB19F1" w:rsidP="004133F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CD34EF0" w14:textId="77777777" w:rsidR="00C95767" w:rsidRDefault="00C95767" w:rsidP="004133F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555A3C4" w14:textId="77777777" w:rsidR="00C95767" w:rsidRDefault="00C95767" w:rsidP="004133F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2A9C4A39" w14:textId="77777777" w:rsidR="00A54940" w:rsidRDefault="00A54940" w:rsidP="004133F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CB657EB" w14:textId="61EE218E" w:rsidR="00E97DB2" w:rsidRPr="00DD26E3" w:rsidRDefault="00E97DB2" w:rsidP="00E97DB2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DD26E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lastRenderedPageBreak/>
        <w:t xml:space="preserve">Supplemental Table 7: </w:t>
      </w:r>
      <w:r w:rsidR="00F04C87" w:rsidRPr="00DD26E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CRS rates stratified by treatment modality (monotherapy vs combination therapy)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784"/>
        <w:gridCol w:w="1951"/>
        <w:gridCol w:w="1904"/>
        <w:gridCol w:w="1780"/>
      </w:tblGrid>
      <w:tr w:rsidR="00DD26E3" w:rsidRPr="00DD26E3" w14:paraId="785FB515" w14:textId="77777777" w:rsidTr="004667B4">
        <w:trPr>
          <w:trHeight w:val="522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A5785B2" w14:textId="77777777" w:rsidR="00E97DB2" w:rsidRPr="00DD26E3" w:rsidRDefault="00E97DB2" w:rsidP="004667B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AB0E7C4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All patients with accelerated dosing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0FB8057A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Monotherapy</w:t>
            </w:r>
            <w:proofErr w:type="spellEnd"/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1B6C06F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Combination</w:t>
            </w:r>
            <w:proofErr w:type="spellEnd"/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Therapy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AF7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B01351E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D26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Significance</w:t>
            </w:r>
            <w:proofErr w:type="spellEnd"/>
            <w:r w:rsidRPr="00DD26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D26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proofErr w:type="spellStart"/>
            <w:r w:rsidRPr="00DD26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testing</w:t>
            </w:r>
            <w:proofErr w:type="spellEnd"/>
          </w:p>
        </w:tc>
      </w:tr>
      <w:tr w:rsidR="00DD26E3" w:rsidRPr="00DD26E3" w14:paraId="187A6B73" w14:textId="77777777" w:rsidTr="004667B4">
        <w:trPr>
          <w:trHeight w:val="342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AB2EA22" w14:textId="77777777" w:rsidR="00E97DB2" w:rsidRPr="00DD26E3" w:rsidRDefault="00E97DB2" w:rsidP="004667B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No. of patients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CCCC570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6BF1E2D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CF55893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B53CA08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D26E3" w:rsidRPr="00DD26E3" w14:paraId="1F6D021B" w14:textId="77777777" w:rsidTr="004667B4">
        <w:trPr>
          <w:trHeight w:val="907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B78ECC0" w14:textId="77777777" w:rsidR="00E97DB2" w:rsidRPr="00DD26E3" w:rsidRDefault="00E97DB2" w:rsidP="004667B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CRS</w:t>
            </w:r>
            <w:r w:rsidRPr="00DD26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None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br/>
              <w:t>Grade 1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br/>
              <w:t>Grade 2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91F50A6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39 (47%)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44 (53%)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30 (36%)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9 (11%)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165D469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32 (44%)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br/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40 (56%)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br/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23 (32%)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br/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9 (13%)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A928D65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7 (64%)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4 (36%)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7 (64%)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0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3473FF2" w14:textId="77777777" w:rsidR="00E97DB2" w:rsidRPr="00DD26E3" w:rsidRDefault="00E97DB2" w:rsidP="004667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26E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= 0.33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(</w:t>
            </w:r>
            <w:proofErr w:type="spellStart"/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Fisher’s</w:t>
            </w:r>
            <w:proofErr w:type="spellEnd"/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exact</w:t>
            </w:r>
            <w:proofErr w:type="spellEnd"/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test</w:t>
            </w:r>
            <w:proofErr w:type="spellEnd"/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DD26E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</w:tc>
      </w:tr>
    </w:tbl>
    <w:p w14:paraId="2B8EB7E8" w14:textId="77777777" w:rsidR="00E97DB2" w:rsidRDefault="00E97DB2" w:rsidP="00A54940">
      <w:pPr>
        <w:spacing w:line="360" w:lineRule="auto"/>
        <w:rPr>
          <w:rFonts w:ascii="Arial" w:hAnsi="Arial" w:cs="Arial"/>
          <w:b/>
          <w:sz w:val="22"/>
          <w:szCs w:val="22"/>
          <w:highlight w:val="yellow"/>
          <w:lang w:val="en-US"/>
        </w:rPr>
      </w:pPr>
    </w:p>
    <w:p w14:paraId="25CF84E1" w14:textId="77777777" w:rsidR="00E97DB2" w:rsidRDefault="00E97DB2" w:rsidP="00A54940">
      <w:pPr>
        <w:spacing w:line="360" w:lineRule="auto"/>
        <w:rPr>
          <w:rFonts w:ascii="Arial" w:hAnsi="Arial" w:cs="Arial"/>
          <w:b/>
          <w:sz w:val="22"/>
          <w:szCs w:val="22"/>
          <w:highlight w:val="yellow"/>
          <w:lang w:val="en-US"/>
        </w:rPr>
      </w:pPr>
    </w:p>
    <w:p w14:paraId="6268FCBF" w14:textId="77777777" w:rsidR="00B9033C" w:rsidRPr="004208C4" w:rsidRDefault="00B9033C" w:rsidP="00B13C6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sectPr w:rsidR="00B9033C" w:rsidRPr="004208C4" w:rsidSect="004661D4">
      <w:headerReference w:type="default" r:id="rId7"/>
      <w:footerReference w:type="even" r:id="rId8"/>
      <w:footerReference w:type="default" r:id="rId9"/>
      <w:pgSz w:w="12240" w:h="15840"/>
      <w:pgMar w:top="133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2C2F" w14:textId="77777777" w:rsidR="008D47CF" w:rsidRDefault="008D47CF" w:rsidP="0083531F">
      <w:pPr>
        <w:spacing w:after="0" w:line="240" w:lineRule="auto"/>
      </w:pPr>
      <w:r>
        <w:separator/>
      </w:r>
    </w:p>
  </w:endnote>
  <w:endnote w:type="continuationSeparator" w:id="0">
    <w:p w14:paraId="0A5EC757" w14:textId="77777777" w:rsidR="008D47CF" w:rsidRDefault="008D47CF" w:rsidP="008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550729127"/>
      <w:docPartObj>
        <w:docPartGallery w:val="Page Numbers (Bottom of Page)"/>
        <w:docPartUnique/>
      </w:docPartObj>
    </w:sdtPr>
    <w:sdtContent>
      <w:p w14:paraId="5720705D" w14:textId="5BE2FE02" w:rsidR="0083531F" w:rsidRDefault="0083531F" w:rsidP="006812E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1647D1D" w14:textId="77777777" w:rsidR="0083531F" w:rsidRDefault="008353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908845280"/>
      <w:docPartObj>
        <w:docPartGallery w:val="Page Numbers (Bottom of Page)"/>
        <w:docPartUnique/>
      </w:docPartObj>
    </w:sdtPr>
    <w:sdtContent>
      <w:p w14:paraId="5269D26B" w14:textId="4DBE5269" w:rsidR="0083531F" w:rsidRDefault="0083531F" w:rsidP="006812E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C995BF6" w14:textId="77777777" w:rsidR="0083531F" w:rsidRDefault="008353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F17DD" w14:textId="77777777" w:rsidR="008D47CF" w:rsidRDefault="008D47CF" w:rsidP="0083531F">
      <w:pPr>
        <w:spacing w:after="0" w:line="240" w:lineRule="auto"/>
      </w:pPr>
      <w:r>
        <w:separator/>
      </w:r>
    </w:p>
  </w:footnote>
  <w:footnote w:type="continuationSeparator" w:id="0">
    <w:p w14:paraId="34CDE24D" w14:textId="77777777" w:rsidR="008D47CF" w:rsidRDefault="008D47CF" w:rsidP="0083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B691" w14:textId="22190249" w:rsidR="0083531F" w:rsidRPr="00EA376C" w:rsidRDefault="0083531F">
    <w:pPr>
      <w:pStyle w:val="Kopfzeile"/>
      <w:rPr>
        <w:rFonts w:ascii="Arial" w:hAnsi="Arial" w:cs="Arial"/>
        <w:sz w:val="22"/>
        <w:szCs w:val="22"/>
        <w:lang w:val="en-US"/>
      </w:rPr>
    </w:pPr>
    <w:r w:rsidRPr="00EA376C">
      <w:rPr>
        <w:rFonts w:ascii="Arial" w:hAnsi="Arial" w:cs="Arial"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31FB8"/>
    <w:multiLevelType w:val="hybridMultilevel"/>
    <w:tmpl w:val="A46EC0C4"/>
    <w:lvl w:ilvl="0" w:tplc="30DCBA10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A08"/>
    <w:multiLevelType w:val="hybridMultilevel"/>
    <w:tmpl w:val="2CD8BF46"/>
    <w:lvl w:ilvl="0" w:tplc="3FA05436">
      <w:start w:val="8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10286">
    <w:abstractNumId w:val="1"/>
  </w:num>
  <w:num w:numId="2" w16cid:durableId="117738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loo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00EF1"/>
    <w:rsid w:val="00004435"/>
    <w:rsid w:val="00006C5F"/>
    <w:rsid w:val="00012F72"/>
    <w:rsid w:val="0001307E"/>
    <w:rsid w:val="000143ED"/>
    <w:rsid w:val="00015061"/>
    <w:rsid w:val="000171B5"/>
    <w:rsid w:val="000172C5"/>
    <w:rsid w:val="00020D29"/>
    <w:rsid w:val="00023610"/>
    <w:rsid w:val="00026FBF"/>
    <w:rsid w:val="00026FC3"/>
    <w:rsid w:val="00031585"/>
    <w:rsid w:val="00032AF8"/>
    <w:rsid w:val="00036C0E"/>
    <w:rsid w:val="00036FC4"/>
    <w:rsid w:val="0004681F"/>
    <w:rsid w:val="0004712D"/>
    <w:rsid w:val="000472F8"/>
    <w:rsid w:val="00056A2B"/>
    <w:rsid w:val="00057415"/>
    <w:rsid w:val="0006272B"/>
    <w:rsid w:val="000634CA"/>
    <w:rsid w:val="00066B48"/>
    <w:rsid w:val="00067FEB"/>
    <w:rsid w:val="0007070B"/>
    <w:rsid w:val="000711F4"/>
    <w:rsid w:val="00071879"/>
    <w:rsid w:val="00073150"/>
    <w:rsid w:val="000738EA"/>
    <w:rsid w:val="00074B9C"/>
    <w:rsid w:val="00080932"/>
    <w:rsid w:val="0008385E"/>
    <w:rsid w:val="00085E13"/>
    <w:rsid w:val="000906BA"/>
    <w:rsid w:val="00091072"/>
    <w:rsid w:val="00093AD6"/>
    <w:rsid w:val="000A2B22"/>
    <w:rsid w:val="000A6723"/>
    <w:rsid w:val="000B5738"/>
    <w:rsid w:val="000B62F5"/>
    <w:rsid w:val="000B7E45"/>
    <w:rsid w:val="000D1CDC"/>
    <w:rsid w:val="000D42F8"/>
    <w:rsid w:val="000D7EF5"/>
    <w:rsid w:val="000E4164"/>
    <w:rsid w:val="000F129C"/>
    <w:rsid w:val="000F38A9"/>
    <w:rsid w:val="000F41C6"/>
    <w:rsid w:val="000F5D82"/>
    <w:rsid w:val="0010126F"/>
    <w:rsid w:val="00101E6A"/>
    <w:rsid w:val="001037B1"/>
    <w:rsid w:val="00103BA2"/>
    <w:rsid w:val="001064DD"/>
    <w:rsid w:val="00106ADF"/>
    <w:rsid w:val="001077EF"/>
    <w:rsid w:val="001078F7"/>
    <w:rsid w:val="001115B2"/>
    <w:rsid w:val="001142EC"/>
    <w:rsid w:val="00114C57"/>
    <w:rsid w:val="00114E2B"/>
    <w:rsid w:val="001158EC"/>
    <w:rsid w:val="00117DF1"/>
    <w:rsid w:val="0012279B"/>
    <w:rsid w:val="00124848"/>
    <w:rsid w:val="0012624E"/>
    <w:rsid w:val="00137C0A"/>
    <w:rsid w:val="00144DBE"/>
    <w:rsid w:val="0014556B"/>
    <w:rsid w:val="00147DD0"/>
    <w:rsid w:val="00151CCE"/>
    <w:rsid w:val="001546EE"/>
    <w:rsid w:val="00156CA4"/>
    <w:rsid w:val="00163BC4"/>
    <w:rsid w:val="0016568D"/>
    <w:rsid w:val="0016709F"/>
    <w:rsid w:val="00167ED9"/>
    <w:rsid w:val="00170275"/>
    <w:rsid w:val="00170435"/>
    <w:rsid w:val="001739C5"/>
    <w:rsid w:val="00173F90"/>
    <w:rsid w:val="0017479F"/>
    <w:rsid w:val="001757AA"/>
    <w:rsid w:val="00180A1F"/>
    <w:rsid w:val="00180B33"/>
    <w:rsid w:val="00180E84"/>
    <w:rsid w:val="00181AEE"/>
    <w:rsid w:val="0018352C"/>
    <w:rsid w:val="00184ADF"/>
    <w:rsid w:val="00185EB0"/>
    <w:rsid w:val="00187382"/>
    <w:rsid w:val="001A089A"/>
    <w:rsid w:val="001A3C0D"/>
    <w:rsid w:val="001A6685"/>
    <w:rsid w:val="001B366A"/>
    <w:rsid w:val="001B5E29"/>
    <w:rsid w:val="001C01B0"/>
    <w:rsid w:val="001C156C"/>
    <w:rsid w:val="001D065B"/>
    <w:rsid w:val="001D1012"/>
    <w:rsid w:val="001D288F"/>
    <w:rsid w:val="001D36A7"/>
    <w:rsid w:val="001D48D1"/>
    <w:rsid w:val="001D4EEA"/>
    <w:rsid w:val="001D5F36"/>
    <w:rsid w:val="001D7BB2"/>
    <w:rsid w:val="001E08E3"/>
    <w:rsid w:val="001E2113"/>
    <w:rsid w:val="001E22D3"/>
    <w:rsid w:val="001E4867"/>
    <w:rsid w:val="001E59BC"/>
    <w:rsid w:val="001F3585"/>
    <w:rsid w:val="001F49BB"/>
    <w:rsid w:val="001F5DEF"/>
    <w:rsid w:val="00200DF4"/>
    <w:rsid w:val="00203DA6"/>
    <w:rsid w:val="0020563E"/>
    <w:rsid w:val="00210101"/>
    <w:rsid w:val="00211FBF"/>
    <w:rsid w:val="002215AE"/>
    <w:rsid w:val="002220B3"/>
    <w:rsid w:val="00222B13"/>
    <w:rsid w:val="00223E12"/>
    <w:rsid w:val="00230CB9"/>
    <w:rsid w:val="002320B8"/>
    <w:rsid w:val="002362B5"/>
    <w:rsid w:val="00250B9D"/>
    <w:rsid w:val="002517A8"/>
    <w:rsid w:val="00251AC0"/>
    <w:rsid w:val="0025201D"/>
    <w:rsid w:val="00252752"/>
    <w:rsid w:val="00253966"/>
    <w:rsid w:val="00256414"/>
    <w:rsid w:val="002570B7"/>
    <w:rsid w:val="00260117"/>
    <w:rsid w:val="002615C5"/>
    <w:rsid w:val="00264193"/>
    <w:rsid w:val="00264D3A"/>
    <w:rsid w:val="00265E37"/>
    <w:rsid w:val="00267178"/>
    <w:rsid w:val="00270DDE"/>
    <w:rsid w:val="00280DBE"/>
    <w:rsid w:val="0028702F"/>
    <w:rsid w:val="00290437"/>
    <w:rsid w:val="00293379"/>
    <w:rsid w:val="002A01DC"/>
    <w:rsid w:val="002A27E3"/>
    <w:rsid w:val="002A2AE0"/>
    <w:rsid w:val="002A4618"/>
    <w:rsid w:val="002A51AB"/>
    <w:rsid w:val="002B14A5"/>
    <w:rsid w:val="002B255D"/>
    <w:rsid w:val="002B28B0"/>
    <w:rsid w:val="002B3760"/>
    <w:rsid w:val="002C1671"/>
    <w:rsid w:val="002C2AE5"/>
    <w:rsid w:val="002D5470"/>
    <w:rsid w:val="002D63C0"/>
    <w:rsid w:val="002E2CD3"/>
    <w:rsid w:val="002E2ECC"/>
    <w:rsid w:val="002E51E3"/>
    <w:rsid w:val="002E7073"/>
    <w:rsid w:val="002F257E"/>
    <w:rsid w:val="002F5CCC"/>
    <w:rsid w:val="002F6F16"/>
    <w:rsid w:val="0030059E"/>
    <w:rsid w:val="00300A75"/>
    <w:rsid w:val="00300C88"/>
    <w:rsid w:val="00301B1A"/>
    <w:rsid w:val="00306E71"/>
    <w:rsid w:val="00310A9D"/>
    <w:rsid w:val="00310AE5"/>
    <w:rsid w:val="00312F4C"/>
    <w:rsid w:val="00313025"/>
    <w:rsid w:val="0031597A"/>
    <w:rsid w:val="00321922"/>
    <w:rsid w:val="00325BDB"/>
    <w:rsid w:val="00332929"/>
    <w:rsid w:val="00332C18"/>
    <w:rsid w:val="00333CD8"/>
    <w:rsid w:val="0033565C"/>
    <w:rsid w:val="003376A5"/>
    <w:rsid w:val="00341812"/>
    <w:rsid w:val="00343700"/>
    <w:rsid w:val="003446F8"/>
    <w:rsid w:val="00347B9B"/>
    <w:rsid w:val="00351027"/>
    <w:rsid w:val="0035538C"/>
    <w:rsid w:val="00355A3A"/>
    <w:rsid w:val="003578A0"/>
    <w:rsid w:val="0036275F"/>
    <w:rsid w:val="003651B1"/>
    <w:rsid w:val="003676A9"/>
    <w:rsid w:val="00367BD0"/>
    <w:rsid w:val="00371459"/>
    <w:rsid w:val="00377941"/>
    <w:rsid w:val="00386E4D"/>
    <w:rsid w:val="00390142"/>
    <w:rsid w:val="00393B28"/>
    <w:rsid w:val="00397294"/>
    <w:rsid w:val="003A4635"/>
    <w:rsid w:val="003B7815"/>
    <w:rsid w:val="003C0F47"/>
    <w:rsid w:val="003D117E"/>
    <w:rsid w:val="003D4833"/>
    <w:rsid w:val="003D56F3"/>
    <w:rsid w:val="003D67A4"/>
    <w:rsid w:val="003D6B97"/>
    <w:rsid w:val="003E1095"/>
    <w:rsid w:val="003F08F9"/>
    <w:rsid w:val="003F65DC"/>
    <w:rsid w:val="003F79DA"/>
    <w:rsid w:val="00403451"/>
    <w:rsid w:val="00407466"/>
    <w:rsid w:val="004133FF"/>
    <w:rsid w:val="00417215"/>
    <w:rsid w:val="004208C4"/>
    <w:rsid w:val="004238C3"/>
    <w:rsid w:val="0042705A"/>
    <w:rsid w:val="00431AC8"/>
    <w:rsid w:val="004324F2"/>
    <w:rsid w:val="0043308B"/>
    <w:rsid w:val="004333BC"/>
    <w:rsid w:val="00442A59"/>
    <w:rsid w:val="00447909"/>
    <w:rsid w:val="00447C6F"/>
    <w:rsid w:val="004539C0"/>
    <w:rsid w:val="00460050"/>
    <w:rsid w:val="00460C7D"/>
    <w:rsid w:val="00464B03"/>
    <w:rsid w:val="004661D4"/>
    <w:rsid w:val="00466BDF"/>
    <w:rsid w:val="00466DC3"/>
    <w:rsid w:val="004670A8"/>
    <w:rsid w:val="0046750A"/>
    <w:rsid w:val="00467681"/>
    <w:rsid w:val="0046770A"/>
    <w:rsid w:val="004711A3"/>
    <w:rsid w:val="00472878"/>
    <w:rsid w:val="0047732C"/>
    <w:rsid w:val="0048431A"/>
    <w:rsid w:val="0048537D"/>
    <w:rsid w:val="00487994"/>
    <w:rsid w:val="0049100D"/>
    <w:rsid w:val="0049157F"/>
    <w:rsid w:val="00491E89"/>
    <w:rsid w:val="004A1132"/>
    <w:rsid w:val="004A1363"/>
    <w:rsid w:val="004A3DF9"/>
    <w:rsid w:val="004A6173"/>
    <w:rsid w:val="004A7F5E"/>
    <w:rsid w:val="004B16B8"/>
    <w:rsid w:val="004B4FFE"/>
    <w:rsid w:val="004B6D3C"/>
    <w:rsid w:val="004C0D07"/>
    <w:rsid w:val="004C4F55"/>
    <w:rsid w:val="004D22D2"/>
    <w:rsid w:val="004D34F3"/>
    <w:rsid w:val="004D4B13"/>
    <w:rsid w:val="004E4389"/>
    <w:rsid w:val="004E43DE"/>
    <w:rsid w:val="004E5EE9"/>
    <w:rsid w:val="004F066C"/>
    <w:rsid w:val="004F655D"/>
    <w:rsid w:val="00500488"/>
    <w:rsid w:val="005011DE"/>
    <w:rsid w:val="0050241D"/>
    <w:rsid w:val="005041C2"/>
    <w:rsid w:val="0050554A"/>
    <w:rsid w:val="0051454D"/>
    <w:rsid w:val="0051643D"/>
    <w:rsid w:val="00521D61"/>
    <w:rsid w:val="00521FA4"/>
    <w:rsid w:val="00523468"/>
    <w:rsid w:val="00525F21"/>
    <w:rsid w:val="005265AB"/>
    <w:rsid w:val="00531D9A"/>
    <w:rsid w:val="00535089"/>
    <w:rsid w:val="00540272"/>
    <w:rsid w:val="005441E8"/>
    <w:rsid w:val="005454FB"/>
    <w:rsid w:val="00550176"/>
    <w:rsid w:val="00550E01"/>
    <w:rsid w:val="00551D5C"/>
    <w:rsid w:val="00555AE9"/>
    <w:rsid w:val="00567FBC"/>
    <w:rsid w:val="005723AF"/>
    <w:rsid w:val="00572FFA"/>
    <w:rsid w:val="0057682F"/>
    <w:rsid w:val="00577EC8"/>
    <w:rsid w:val="00581246"/>
    <w:rsid w:val="00581A22"/>
    <w:rsid w:val="0058201B"/>
    <w:rsid w:val="00583F2E"/>
    <w:rsid w:val="0059179E"/>
    <w:rsid w:val="0059522E"/>
    <w:rsid w:val="00595B33"/>
    <w:rsid w:val="005A0241"/>
    <w:rsid w:val="005A0FF3"/>
    <w:rsid w:val="005A4201"/>
    <w:rsid w:val="005B254C"/>
    <w:rsid w:val="005B38A0"/>
    <w:rsid w:val="005B411D"/>
    <w:rsid w:val="005B63F0"/>
    <w:rsid w:val="005B7C36"/>
    <w:rsid w:val="005C2EEF"/>
    <w:rsid w:val="005C70B2"/>
    <w:rsid w:val="005D142F"/>
    <w:rsid w:val="005D3968"/>
    <w:rsid w:val="005E3163"/>
    <w:rsid w:val="005E642D"/>
    <w:rsid w:val="005F3CCA"/>
    <w:rsid w:val="005F7A63"/>
    <w:rsid w:val="006008E7"/>
    <w:rsid w:val="00600F00"/>
    <w:rsid w:val="00601E11"/>
    <w:rsid w:val="00602A8F"/>
    <w:rsid w:val="006044BA"/>
    <w:rsid w:val="0060498F"/>
    <w:rsid w:val="006150F0"/>
    <w:rsid w:val="006167DF"/>
    <w:rsid w:val="00620BBE"/>
    <w:rsid w:val="0063429B"/>
    <w:rsid w:val="006410FB"/>
    <w:rsid w:val="00641A02"/>
    <w:rsid w:val="006423F0"/>
    <w:rsid w:val="00643BCE"/>
    <w:rsid w:val="00646DC6"/>
    <w:rsid w:val="006473D9"/>
    <w:rsid w:val="00651CA4"/>
    <w:rsid w:val="00652693"/>
    <w:rsid w:val="006720CF"/>
    <w:rsid w:val="00677AFE"/>
    <w:rsid w:val="006806CA"/>
    <w:rsid w:val="00682A22"/>
    <w:rsid w:val="0068405A"/>
    <w:rsid w:val="00690228"/>
    <w:rsid w:val="00692530"/>
    <w:rsid w:val="0069645C"/>
    <w:rsid w:val="006979BC"/>
    <w:rsid w:val="006A3B11"/>
    <w:rsid w:val="006B1FB8"/>
    <w:rsid w:val="006B224E"/>
    <w:rsid w:val="006B4BE2"/>
    <w:rsid w:val="006B61E1"/>
    <w:rsid w:val="006C3251"/>
    <w:rsid w:val="006D0962"/>
    <w:rsid w:val="006D16D3"/>
    <w:rsid w:val="006D27E4"/>
    <w:rsid w:val="006D3BE3"/>
    <w:rsid w:val="006D55EE"/>
    <w:rsid w:val="006D709C"/>
    <w:rsid w:val="006E0F20"/>
    <w:rsid w:val="006E2AB4"/>
    <w:rsid w:val="006E3739"/>
    <w:rsid w:val="006E3EDF"/>
    <w:rsid w:val="006F000F"/>
    <w:rsid w:val="006F06BB"/>
    <w:rsid w:val="006F22A7"/>
    <w:rsid w:val="006F4445"/>
    <w:rsid w:val="006F578B"/>
    <w:rsid w:val="006F7F3A"/>
    <w:rsid w:val="00700585"/>
    <w:rsid w:val="00701D71"/>
    <w:rsid w:val="00702F8D"/>
    <w:rsid w:val="00703469"/>
    <w:rsid w:val="00704AD1"/>
    <w:rsid w:val="0071012B"/>
    <w:rsid w:val="00712972"/>
    <w:rsid w:val="00713EFD"/>
    <w:rsid w:val="007233E1"/>
    <w:rsid w:val="007246D0"/>
    <w:rsid w:val="00725FE6"/>
    <w:rsid w:val="00727666"/>
    <w:rsid w:val="00731BA7"/>
    <w:rsid w:val="00732BDD"/>
    <w:rsid w:val="00736CE2"/>
    <w:rsid w:val="00736E1D"/>
    <w:rsid w:val="00742AC4"/>
    <w:rsid w:val="00742E94"/>
    <w:rsid w:val="007516AD"/>
    <w:rsid w:val="0075741D"/>
    <w:rsid w:val="0076531F"/>
    <w:rsid w:val="00765C94"/>
    <w:rsid w:val="00767DF2"/>
    <w:rsid w:val="0077453E"/>
    <w:rsid w:val="00775655"/>
    <w:rsid w:val="00775F43"/>
    <w:rsid w:val="0077769C"/>
    <w:rsid w:val="00777B29"/>
    <w:rsid w:val="00780B45"/>
    <w:rsid w:val="00781B7B"/>
    <w:rsid w:val="00782C5C"/>
    <w:rsid w:val="00783C0F"/>
    <w:rsid w:val="00786CB2"/>
    <w:rsid w:val="00787785"/>
    <w:rsid w:val="00790DDE"/>
    <w:rsid w:val="00790DF5"/>
    <w:rsid w:val="007A6DE9"/>
    <w:rsid w:val="007A7769"/>
    <w:rsid w:val="007B2277"/>
    <w:rsid w:val="007B26F1"/>
    <w:rsid w:val="007B459B"/>
    <w:rsid w:val="007B5D57"/>
    <w:rsid w:val="007C6B02"/>
    <w:rsid w:val="007D0302"/>
    <w:rsid w:val="007D10DD"/>
    <w:rsid w:val="007D2A99"/>
    <w:rsid w:val="007D3509"/>
    <w:rsid w:val="007D4596"/>
    <w:rsid w:val="007E6024"/>
    <w:rsid w:val="007E7E9A"/>
    <w:rsid w:val="007F1201"/>
    <w:rsid w:val="007F1A03"/>
    <w:rsid w:val="007F6235"/>
    <w:rsid w:val="00802B92"/>
    <w:rsid w:val="0081105B"/>
    <w:rsid w:val="008131F2"/>
    <w:rsid w:val="0081593E"/>
    <w:rsid w:val="0082115D"/>
    <w:rsid w:val="0082154C"/>
    <w:rsid w:val="00823591"/>
    <w:rsid w:val="0082545C"/>
    <w:rsid w:val="008274B3"/>
    <w:rsid w:val="00830AC8"/>
    <w:rsid w:val="00833353"/>
    <w:rsid w:val="00833EA1"/>
    <w:rsid w:val="0083531F"/>
    <w:rsid w:val="008373BD"/>
    <w:rsid w:val="008448A5"/>
    <w:rsid w:val="0084603D"/>
    <w:rsid w:val="00846973"/>
    <w:rsid w:val="00852C8C"/>
    <w:rsid w:val="0085475A"/>
    <w:rsid w:val="00854E05"/>
    <w:rsid w:val="00856EB5"/>
    <w:rsid w:val="00862852"/>
    <w:rsid w:val="008666ED"/>
    <w:rsid w:val="00874AC6"/>
    <w:rsid w:val="008760CE"/>
    <w:rsid w:val="00884AE2"/>
    <w:rsid w:val="00887040"/>
    <w:rsid w:val="0088708B"/>
    <w:rsid w:val="00891663"/>
    <w:rsid w:val="00891979"/>
    <w:rsid w:val="00893DFC"/>
    <w:rsid w:val="00894EFB"/>
    <w:rsid w:val="00895058"/>
    <w:rsid w:val="008B37A9"/>
    <w:rsid w:val="008C187F"/>
    <w:rsid w:val="008D00EF"/>
    <w:rsid w:val="008D03F4"/>
    <w:rsid w:val="008D41F2"/>
    <w:rsid w:val="008D47CF"/>
    <w:rsid w:val="008D6638"/>
    <w:rsid w:val="008D77E7"/>
    <w:rsid w:val="008E001E"/>
    <w:rsid w:val="008E096D"/>
    <w:rsid w:val="008E44D8"/>
    <w:rsid w:val="008E7C30"/>
    <w:rsid w:val="008F2784"/>
    <w:rsid w:val="00903404"/>
    <w:rsid w:val="00905970"/>
    <w:rsid w:val="00907F9B"/>
    <w:rsid w:val="00912D06"/>
    <w:rsid w:val="00915D0D"/>
    <w:rsid w:val="00923FA1"/>
    <w:rsid w:val="00927040"/>
    <w:rsid w:val="009342DA"/>
    <w:rsid w:val="00935E98"/>
    <w:rsid w:val="00940939"/>
    <w:rsid w:val="00941FD3"/>
    <w:rsid w:val="00943214"/>
    <w:rsid w:val="00943B75"/>
    <w:rsid w:val="0094601B"/>
    <w:rsid w:val="00946BDB"/>
    <w:rsid w:val="00953B99"/>
    <w:rsid w:val="00955F95"/>
    <w:rsid w:val="00956194"/>
    <w:rsid w:val="00957EB8"/>
    <w:rsid w:val="00961186"/>
    <w:rsid w:val="009641B4"/>
    <w:rsid w:val="0096515F"/>
    <w:rsid w:val="0097089B"/>
    <w:rsid w:val="00973F8D"/>
    <w:rsid w:val="00975D43"/>
    <w:rsid w:val="00977464"/>
    <w:rsid w:val="00977CE8"/>
    <w:rsid w:val="00990746"/>
    <w:rsid w:val="009916B4"/>
    <w:rsid w:val="00991C53"/>
    <w:rsid w:val="00992802"/>
    <w:rsid w:val="00994C0A"/>
    <w:rsid w:val="009A255D"/>
    <w:rsid w:val="009B08E7"/>
    <w:rsid w:val="009B207B"/>
    <w:rsid w:val="009B77A0"/>
    <w:rsid w:val="009C0FE8"/>
    <w:rsid w:val="009C3288"/>
    <w:rsid w:val="009C406B"/>
    <w:rsid w:val="009C5FA7"/>
    <w:rsid w:val="009C6AD9"/>
    <w:rsid w:val="009C7E5C"/>
    <w:rsid w:val="009D2018"/>
    <w:rsid w:val="009D43D9"/>
    <w:rsid w:val="009F39F6"/>
    <w:rsid w:val="00A0210C"/>
    <w:rsid w:val="00A04576"/>
    <w:rsid w:val="00A20D20"/>
    <w:rsid w:val="00A2531F"/>
    <w:rsid w:val="00A33DEC"/>
    <w:rsid w:val="00A3516F"/>
    <w:rsid w:val="00A54940"/>
    <w:rsid w:val="00A60277"/>
    <w:rsid w:val="00A603BB"/>
    <w:rsid w:val="00A70990"/>
    <w:rsid w:val="00A713A4"/>
    <w:rsid w:val="00A73BDB"/>
    <w:rsid w:val="00A74EF5"/>
    <w:rsid w:val="00A82524"/>
    <w:rsid w:val="00A847E7"/>
    <w:rsid w:val="00A8634F"/>
    <w:rsid w:val="00A911AF"/>
    <w:rsid w:val="00A94FCF"/>
    <w:rsid w:val="00A96A56"/>
    <w:rsid w:val="00A972E0"/>
    <w:rsid w:val="00A97A8F"/>
    <w:rsid w:val="00A97FC8"/>
    <w:rsid w:val="00AA036F"/>
    <w:rsid w:val="00AA04DB"/>
    <w:rsid w:val="00AA3D90"/>
    <w:rsid w:val="00AA70A9"/>
    <w:rsid w:val="00AB2648"/>
    <w:rsid w:val="00AB6D81"/>
    <w:rsid w:val="00AB79C6"/>
    <w:rsid w:val="00AC4B20"/>
    <w:rsid w:val="00AC5890"/>
    <w:rsid w:val="00AD2A52"/>
    <w:rsid w:val="00AD3199"/>
    <w:rsid w:val="00AD4D65"/>
    <w:rsid w:val="00AD519E"/>
    <w:rsid w:val="00AD6488"/>
    <w:rsid w:val="00AE1BBD"/>
    <w:rsid w:val="00AE5D88"/>
    <w:rsid w:val="00AE6B51"/>
    <w:rsid w:val="00AF28AF"/>
    <w:rsid w:val="00AF37AD"/>
    <w:rsid w:val="00AF42D1"/>
    <w:rsid w:val="00AF5A76"/>
    <w:rsid w:val="00AF7ED1"/>
    <w:rsid w:val="00B13C66"/>
    <w:rsid w:val="00B1684D"/>
    <w:rsid w:val="00B16D50"/>
    <w:rsid w:val="00B2251F"/>
    <w:rsid w:val="00B227AA"/>
    <w:rsid w:val="00B25F8F"/>
    <w:rsid w:val="00B26FD8"/>
    <w:rsid w:val="00B3060B"/>
    <w:rsid w:val="00B32DCB"/>
    <w:rsid w:val="00B3336D"/>
    <w:rsid w:val="00B338B9"/>
    <w:rsid w:val="00B34C4A"/>
    <w:rsid w:val="00B35294"/>
    <w:rsid w:val="00B36D39"/>
    <w:rsid w:val="00B376B7"/>
    <w:rsid w:val="00B41263"/>
    <w:rsid w:val="00B420BB"/>
    <w:rsid w:val="00B62B3E"/>
    <w:rsid w:val="00B630A0"/>
    <w:rsid w:val="00B632CB"/>
    <w:rsid w:val="00B64403"/>
    <w:rsid w:val="00B67431"/>
    <w:rsid w:val="00B70283"/>
    <w:rsid w:val="00B70DD8"/>
    <w:rsid w:val="00B72E32"/>
    <w:rsid w:val="00B7704F"/>
    <w:rsid w:val="00B77858"/>
    <w:rsid w:val="00B801D9"/>
    <w:rsid w:val="00B81B5F"/>
    <w:rsid w:val="00B825CA"/>
    <w:rsid w:val="00B84394"/>
    <w:rsid w:val="00B84DF6"/>
    <w:rsid w:val="00B8775E"/>
    <w:rsid w:val="00B9033C"/>
    <w:rsid w:val="00B949A5"/>
    <w:rsid w:val="00B94C47"/>
    <w:rsid w:val="00B9659B"/>
    <w:rsid w:val="00BA5318"/>
    <w:rsid w:val="00BB01A9"/>
    <w:rsid w:val="00BB1802"/>
    <w:rsid w:val="00BB1EE8"/>
    <w:rsid w:val="00BB250B"/>
    <w:rsid w:val="00BB3990"/>
    <w:rsid w:val="00BB52B9"/>
    <w:rsid w:val="00BC17CF"/>
    <w:rsid w:val="00BC4793"/>
    <w:rsid w:val="00BC6A2F"/>
    <w:rsid w:val="00BD0302"/>
    <w:rsid w:val="00BD2A4E"/>
    <w:rsid w:val="00BD43F0"/>
    <w:rsid w:val="00BD4F60"/>
    <w:rsid w:val="00BD5139"/>
    <w:rsid w:val="00BD6A8E"/>
    <w:rsid w:val="00BD7179"/>
    <w:rsid w:val="00BF233B"/>
    <w:rsid w:val="00BF45CB"/>
    <w:rsid w:val="00BF686E"/>
    <w:rsid w:val="00C0039C"/>
    <w:rsid w:val="00C0095D"/>
    <w:rsid w:val="00C00EF1"/>
    <w:rsid w:val="00C01082"/>
    <w:rsid w:val="00C06487"/>
    <w:rsid w:val="00C10552"/>
    <w:rsid w:val="00C11535"/>
    <w:rsid w:val="00C202E8"/>
    <w:rsid w:val="00C23676"/>
    <w:rsid w:val="00C23B60"/>
    <w:rsid w:val="00C252BA"/>
    <w:rsid w:val="00C25CC5"/>
    <w:rsid w:val="00C27442"/>
    <w:rsid w:val="00C347F1"/>
    <w:rsid w:val="00C37505"/>
    <w:rsid w:val="00C406DC"/>
    <w:rsid w:val="00C41163"/>
    <w:rsid w:val="00C417B4"/>
    <w:rsid w:val="00C45A57"/>
    <w:rsid w:val="00C46DCB"/>
    <w:rsid w:val="00C506A6"/>
    <w:rsid w:val="00C53459"/>
    <w:rsid w:val="00C53CEB"/>
    <w:rsid w:val="00C57C60"/>
    <w:rsid w:val="00C61C5D"/>
    <w:rsid w:val="00C7115A"/>
    <w:rsid w:val="00C7341B"/>
    <w:rsid w:val="00C75AA3"/>
    <w:rsid w:val="00C83E99"/>
    <w:rsid w:val="00C86934"/>
    <w:rsid w:val="00C86BA9"/>
    <w:rsid w:val="00C86DF9"/>
    <w:rsid w:val="00C95672"/>
    <w:rsid w:val="00C95767"/>
    <w:rsid w:val="00C9600B"/>
    <w:rsid w:val="00C96E99"/>
    <w:rsid w:val="00CB168D"/>
    <w:rsid w:val="00CB351A"/>
    <w:rsid w:val="00CB6A84"/>
    <w:rsid w:val="00CB6F5D"/>
    <w:rsid w:val="00CD0210"/>
    <w:rsid w:val="00CD14CF"/>
    <w:rsid w:val="00CE08E5"/>
    <w:rsid w:val="00CF2067"/>
    <w:rsid w:val="00D03B7E"/>
    <w:rsid w:val="00D05834"/>
    <w:rsid w:val="00D05C80"/>
    <w:rsid w:val="00D06EF5"/>
    <w:rsid w:val="00D14440"/>
    <w:rsid w:val="00D14554"/>
    <w:rsid w:val="00D1502A"/>
    <w:rsid w:val="00D1525F"/>
    <w:rsid w:val="00D207D5"/>
    <w:rsid w:val="00D2478B"/>
    <w:rsid w:val="00D24CFD"/>
    <w:rsid w:val="00D25635"/>
    <w:rsid w:val="00D26787"/>
    <w:rsid w:val="00D278BD"/>
    <w:rsid w:val="00D305CF"/>
    <w:rsid w:val="00D35D8D"/>
    <w:rsid w:val="00D41DE4"/>
    <w:rsid w:val="00D42A68"/>
    <w:rsid w:val="00D430D1"/>
    <w:rsid w:val="00D454A3"/>
    <w:rsid w:val="00D454B6"/>
    <w:rsid w:val="00D46F76"/>
    <w:rsid w:val="00D47354"/>
    <w:rsid w:val="00D513D1"/>
    <w:rsid w:val="00D539B8"/>
    <w:rsid w:val="00D55103"/>
    <w:rsid w:val="00D621AD"/>
    <w:rsid w:val="00D667CB"/>
    <w:rsid w:val="00D67956"/>
    <w:rsid w:val="00D7197C"/>
    <w:rsid w:val="00D7337E"/>
    <w:rsid w:val="00D82E59"/>
    <w:rsid w:val="00D866B3"/>
    <w:rsid w:val="00D87D0B"/>
    <w:rsid w:val="00D93490"/>
    <w:rsid w:val="00D94313"/>
    <w:rsid w:val="00D95096"/>
    <w:rsid w:val="00D9600A"/>
    <w:rsid w:val="00DB0002"/>
    <w:rsid w:val="00DB19F1"/>
    <w:rsid w:val="00DB3655"/>
    <w:rsid w:val="00DC2F76"/>
    <w:rsid w:val="00DC6981"/>
    <w:rsid w:val="00DC6EB7"/>
    <w:rsid w:val="00DD1646"/>
    <w:rsid w:val="00DD2162"/>
    <w:rsid w:val="00DD26E3"/>
    <w:rsid w:val="00DD322D"/>
    <w:rsid w:val="00DD726B"/>
    <w:rsid w:val="00DD7404"/>
    <w:rsid w:val="00DD7C08"/>
    <w:rsid w:val="00DE6AAC"/>
    <w:rsid w:val="00DF1A6E"/>
    <w:rsid w:val="00DF5318"/>
    <w:rsid w:val="00E06BC1"/>
    <w:rsid w:val="00E157D4"/>
    <w:rsid w:val="00E16A7E"/>
    <w:rsid w:val="00E20E4F"/>
    <w:rsid w:val="00E2274E"/>
    <w:rsid w:val="00E22C3D"/>
    <w:rsid w:val="00E31E3E"/>
    <w:rsid w:val="00E3402E"/>
    <w:rsid w:val="00E441DE"/>
    <w:rsid w:val="00E44F27"/>
    <w:rsid w:val="00E46911"/>
    <w:rsid w:val="00E51237"/>
    <w:rsid w:val="00E5373D"/>
    <w:rsid w:val="00E53AF1"/>
    <w:rsid w:val="00E54B2F"/>
    <w:rsid w:val="00E556DD"/>
    <w:rsid w:val="00E55E64"/>
    <w:rsid w:val="00E562A7"/>
    <w:rsid w:val="00E61181"/>
    <w:rsid w:val="00E63839"/>
    <w:rsid w:val="00E70B7D"/>
    <w:rsid w:val="00E71C30"/>
    <w:rsid w:val="00E73597"/>
    <w:rsid w:val="00E744C1"/>
    <w:rsid w:val="00E8153E"/>
    <w:rsid w:val="00E8201B"/>
    <w:rsid w:val="00E839E2"/>
    <w:rsid w:val="00E86468"/>
    <w:rsid w:val="00E86E99"/>
    <w:rsid w:val="00E960A3"/>
    <w:rsid w:val="00E97B5E"/>
    <w:rsid w:val="00E97DB2"/>
    <w:rsid w:val="00EA1BDF"/>
    <w:rsid w:val="00EA376C"/>
    <w:rsid w:val="00EA4292"/>
    <w:rsid w:val="00EA4330"/>
    <w:rsid w:val="00EB0A97"/>
    <w:rsid w:val="00EB3C64"/>
    <w:rsid w:val="00EB78EC"/>
    <w:rsid w:val="00EC1C98"/>
    <w:rsid w:val="00EC2836"/>
    <w:rsid w:val="00EC30E3"/>
    <w:rsid w:val="00ED195A"/>
    <w:rsid w:val="00ED36E2"/>
    <w:rsid w:val="00ED553B"/>
    <w:rsid w:val="00ED74D2"/>
    <w:rsid w:val="00EE6F3E"/>
    <w:rsid w:val="00EE7831"/>
    <w:rsid w:val="00EF2685"/>
    <w:rsid w:val="00EF2818"/>
    <w:rsid w:val="00EF484C"/>
    <w:rsid w:val="00F015B8"/>
    <w:rsid w:val="00F04C87"/>
    <w:rsid w:val="00F07D37"/>
    <w:rsid w:val="00F108E1"/>
    <w:rsid w:val="00F11DFB"/>
    <w:rsid w:val="00F2402F"/>
    <w:rsid w:val="00F350B2"/>
    <w:rsid w:val="00F35991"/>
    <w:rsid w:val="00F362E9"/>
    <w:rsid w:val="00F42C13"/>
    <w:rsid w:val="00F44028"/>
    <w:rsid w:val="00F5330D"/>
    <w:rsid w:val="00F53C79"/>
    <w:rsid w:val="00F5584F"/>
    <w:rsid w:val="00F5752D"/>
    <w:rsid w:val="00F61104"/>
    <w:rsid w:val="00F6311B"/>
    <w:rsid w:val="00F64F3D"/>
    <w:rsid w:val="00F66217"/>
    <w:rsid w:val="00F7346A"/>
    <w:rsid w:val="00F77F49"/>
    <w:rsid w:val="00F77F69"/>
    <w:rsid w:val="00F800DD"/>
    <w:rsid w:val="00F86332"/>
    <w:rsid w:val="00F93FD8"/>
    <w:rsid w:val="00F940B9"/>
    <w:rsid w:val="00F949BA"/>
    <w:rsid w:val="00F94D64"/>
    <w:rsid w:val="00FA2D1B"/>
    <w:rsid w:val="00FA3675"/>
    <w:rsid w:val="00FA4A03"/>
    <w:rsid w:val="00FA5324"/>
    <w:rsid w:val="00FA63B8"/>
    <w:rsid w:val="00FA714B"/>
    <w:rsid w:val="00FB1813"/>
    <w:rsid w:val="00FB40DE"/>
    <w:rsid w:val="00FB4B2C"/>
    <w:rsid w:val="00FC0562"/>
    <w:rsid w:val="00FC7993"/>
    <w:rsid w:val="00FD533B"/>
    <w:rsid w:val="00FE3B4A"/>
    <w:rsid w:val="00FE4554"/>
    <w:rsid w:val="00FE64E2"/>
    <w:rsid w:val="00FE671E"/>
    <w:rsid w:val="00FE7836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8BA55"/>
  <w15:chartTrackingRefBased/>
  <w15:docId w15:val="{00DFB6D9-FA25-4018-8DAB-34A1EC0B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0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0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E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E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E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E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E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E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0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E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E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E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E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EF1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Standard"/>
    <w:link w:val="EndNoteBibliographyTitleZchn"/>
    <w:rsid w:val="00A8634F"/>
    <w:pPr>
      <w:spacing w:after="0"/>
      <w:jc w:val="center"/>
    </w:pPr>
    <w:rPr>
      <w:rFonts w:ascii="Arial" w:hAnsi="Arial" w:cs="Arial"/>
      <w:noProof/>
      <w:sz w:val="22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8634F"/>
    <w:rPr>
      <w:rFonts w:ascii="Arial" w:hAnsi="Arial" w:cs="Arial"/>
      <w:noProof/>
      <w:sz w:val="22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A8634F"/>
    <w:pPr>
      <w:spacing w:line="240" w:lineRule="auto"/>
    </w:pPr>
    <w:rPr>
      <w:rFonts w:ascii="Arial" w:hAnsi="Arial" w:cs="Arial"/>
      <w:noProof/>
      <w:sz w:val="22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8634F"/>
    <w:rPr>
      <w:rFonts w:ascii="Arial" w:hAnsi="Arial" w:cs="Arial"/>
      <w:noProof/>
      <w:sz w:val="22"/>
      <w:lang w:val="en-US"/>
    </w:rPr>
  </w:style>
  <w:style w:type="paragraph" w:styleId="berarbeitung">
    <w:name w:val="Revision"/>
    <w:hidden/>
    <w:uiPriority w:val="99"/>
    <w:semiHidden/>
    <w:rsid w:val="0083531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3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31F"/>
  </w:style>
  <w:style w:type="paragraph" w:styleId="Fuzeile">
    <w:name w:val="footer"/>
    <w:basedOn w:val="Standard"/>
    <w:link w:val="FuzeileZchn"/>
    <w:uiPriority w:val="99"/>
    <w:unhideWhenUsed/>
    <w:rsid w:val="0083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531F"/>
  </w:style>
  <w:style w:type="character" w:styleId="Seitenzahl">
    <w:name w:val="page number"/>
    <w:basedOn w:val="Absatz-Standardschriftart"/>
    <w:uiPriority w:val="99"/>
    <w:semiHidden/>
    <w:unhideWhenUsed/>
    <w:rsid w:val="0083531F"/>
  </w:style>
  <w:style w:type="character" w:styleId="Hyperlink">
    <w:name w:val="Hyperlink"/>
    <w:basedOn w:val="Absatz-Standardschriftart"/>
    <w:uiPriority w:val="99"/>
    <w:unhideWhenUsed/>
    <w:rsid w:val="00B630A0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8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8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8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8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87F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1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70435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170435"/>
    <w:pPr>
      <w:spacing w:after="100" w:line="259" w:lineRule="auto"/>
      <w:ind w:left="220"/>
    </w:pPr>
    <w:rPr>
      <w:rFonts w:cs="Times New Roman"/>
      <w:kern w:val="0"/>
      <w:sz w:val="22"/>
      <w:szCs w:val="2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170435"/>
    <w:pPr>
      <w:spacing w:after="100" w:line="259" w:lineRule="auto"/>
    </w:pPr>
    <w:rPr>
      <w:rFonts w:cs="Times New Roman"/>
      <w:kern w:val="0"/>
      <w:sz w:val="22"/>
      <w:szCs w:val="22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170435"/>
    <w:pPr>
      <w:spacing w:after="100" w:line="259" w:lineRule="auto"/>
      <w:ind w:left="440"/>
    </w:pPr>
    <w:rPr>
      <w:rFonts w:cs="Times New Roman"/>
      <w:kern w:val="0"/>
      <w:sz w:val="22"/>
      <w:szCs w:val="2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Huajia Liem</dc:creator>
  <cp:keywords/>
  <dc:description/>
  <cp:lastModifiedBy>Björn Chapuy</cp:lastModifiedBy>
  <cp:revision>2</cp:revision>
  <cp:lastPrinted>2026-03-30T17:13:00Z</cp:lastPrinted>
  <dcterms:created xsi:type="dcterms:W3CDTF">2026-04-12T12:38:00Z</dcterms:created>
  <dcterms:modified xsi:type="dcterms:W3CDTF">2026-04-12T12:38:00Z</dcterms:modified>
</cp:coreProperties>
</file>