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160"/>
        <w:rPr/>
      </w:pPr>
      <w:r>
        <w:rPr>
          <w:b/>
        </w:rPr>
        <w:t xml:space="preserve">Table S1. </w:t>
      </w:r>
      <w:r>
        <w:rPr/>
        <w:t>Comprehensive 75K-baseline vs 118K Scope B comparison. All metrics evaluated on each version's held-out test split (75K: n = 11,340; v3: n = 28,274). Bold indicates 118K Scope B improvements. pp = percentage points.</w:t>
      </w:r>
    </w:p>
    <w:p>
      <w:pPr>
        <w:pStyle w:val="Normal"/>
        <w:rPr/>
      </w:pPr>
      <w:r>
        <w:rPr/>
      </w:r>
    </w:p>
    <w:tbl>
      <w:tblPr>
        <w:tblW w:w="910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57"/>
        <w:gridCol w:w="2164"/>
        <w:gridCol w:w="2160"/>
        <w:gridCol w:w="2624"/>
      </w:tblGrid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1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Metric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1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the 75K baseline (75K)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1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118K (this work)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1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Δ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Sample count (train)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63,777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118,263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+85%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Sample count (test)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11,340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28,274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+149%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UBERON tissue categories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Cell lines included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(curated)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Class balancing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Stratified 10K cap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Training time (RTX 4060)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~3 h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~5 h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Peak RAM (data loading)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50+ GB CSV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 GB HDF5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</w:rPr>
              <w:t>−50%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Balanced accuracy (Standard)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90.7%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94.9%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+4.2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Weighted F1 (Standard)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93.7%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96.2%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+2.5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Per-gene ρ (Standard)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0.914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0.935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+1.8%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Per-gene ρ (Denoising)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0.919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0.934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+1.5%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Per-sample ρ (Standard)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0.766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0.829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+6.3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Per-sample ρ (Denoising)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0.773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0.830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+5.7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  <w:shd w:fill="auto" w:val="clear"/>
              </w:rPr>
            </w:pPr>
            <w:r>
              <w:rPr>
                <w:rFonts w:eastAsia="MS Gothic;ＭＳ ゴシック" w:cs="Calibri"/>
                <w:b/>
                <w:bCs/>
                <w:sz w:val="18"/>
                <w:shd w:fill="auto" w:val="clear"/>
              </w:rPr>
              <w:t>Imputation @ 10% (Denoising)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sz w:val="18"/>
                <w:shd w:fill="auto" w:val="clear"/>
              </w:rPr>
              <w:t>0.852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  <w:shd w:fill="auto" w:val="clear"/>
              </w:rPr>
            </w:pPr>
            <w:r>
              <w:rPr>
                <w:b/>
                <w:sz w:val="18"/>
                <w:shd w:fill="auto" w:val="clear"/>
              </w:rPr>
              <w:t>0.880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sz w:val="18"/>
                <w:shd w:fill="auto" w:val="clear"/>
              </w:rPr>
              <w:t>+2.8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  <w:shd w:fill="auto" w:val="clear"/>
              </w:rPr>
            </w:pPr>
            <w:r>
              <w:rPr>
                <w:rFonts w:eastAsia="MS Gothic;ＭＳ ゴシック" w:cs="Calibri"/>
                <w:b/>
                <w:bCs/>
                <w:sz w:val="18"/>
                <w:shd w:fill="auto" w:val="clear"/>
              </w:rPr>
              <w:t>Imputation @ 20% (Denoising)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sz w:val="18"/>
                <w:shd w:fill="auto" w:val="clear"/>
              </w:rPr>
              <w:t>0.853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  <w:shd w:fill="auto" w:val="clear"/>
              </w:rPr>
            </w:pPr>
            <w:r>
              <w:rPr>
                <w:b/>
                <w:sz w:val="18"/>
                <w:shd w:fill="auto" w:val="clear"/>
              </w:rPr>
              <w:t>0.879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sz w:val="18"/>
                <w:shd w:fill="auto" w:val="clear"/>
              </w:rPr>
              <w:t>+2.6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  <w:shd w:fill="auto" w:val="clear"/>
              </w:rPr>
            </w:pPr>
            <w:r>
              <w:rPr>
                <w:rFonts w:eastAsia="MS Gothic;ＭＳ ゴシック" w:cs="Calibri"/>
                <w:b/>
                <w:bCs/>
                <w:sz w:val="18"/>
                <w:shd w:fill="auto" w:val="clear"/>
              </w:rPr>
              <w:t>Imputation @ 30% (Denoising)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sz w:val="18"/>
                <w:shd w:fill="auto" w:val="clear"/>
              </w:rPr>
              <w:t>0.855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  <w:shd w:fill="auto" w:val="clear"/>
              </w:rPr>
            </w:pPr>
            <w:r>
              <w:rPr>
                <w:b/>
                <w:sz w:val="18"/>
                <w:shd w:fill="auto" w:val="clear"/>
              </w:rPr>
              <w:t>0.879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hd w:fill="auto" w:val="clear"/>
              </w:rPr>
            </w:pPr>
            <w:r>
              <w:rPr>
                <w:sz w:val="18"/>
                <w:shd w:fill="auto" w:val="clear"/>
              </w:rPr>
              <w:t>+2.4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LISI / max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1.09 / 4.0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1.02 / 3.0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purer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kNN source mixing (k=20)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0.047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0.012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</w:rPr>
              <w:t>−74%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TARGET overall accuracy (n=734)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86.6%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84.6%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</w:rPr>
              <w:t>−2.0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/>
                <w:bCs/>
                <w:sz w:val="18"/>
              </w:rPr>
              <w:t xml:space="preserve">  </w:t>
            </w:r>
            <w:r>
              <w:rPr>
                <w:rFonts w:eastAsia="MS Gothic;ＭＳ ゴシック" w:cs="Calibri"/>
                <w:b/>
                <w:bCs/>
                <w:sz w:val="18"/>
              </w:rPr>
              <w:t>AML (n=196)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97%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+2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/>
                <w:bCs/>
                <w:sz w:val="18"/>
              </w:rPr>
              <w:t xml:space="preserve">  </w:t>
            </w:r>
            <w:r>
              <w:rPr>
                <w:rFonts w:eastAsia="MS Gothic;ＭＳ ゴシック" w:cs="Calibri"/>
                <w:b/>
                <w:bCs/>
                <w:sz w:val="18"/>
              </w:rPr>
              <w:t>ALL (n=194)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65%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+31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/>
                <w:bCs/>
                <w:sz w:val="18"/>
              </w:rPr>
              <w:t xml:space="preserve">  </w:t>
            </w:r>
            <w:r>
              <w:rPr>
                <w:rFonts w:eastAsia="MS Gothic;ＭＳ ゴシック" w:cs="Calibri"/>
                <w:b/>
                <w:bCs/>
                <w:sz w:val="18"/>
              </w:rPr>
              <w:t>AML Induction Failure (n=32)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94%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+6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/>
                <w:bCs/>
                <w:sz w:val="18"/>
              </w:rPr>
              <w:t xml:space="preserve">  </w:t>
            </w:r>
            <w:r>
              <w:rPr>
                <w:rFonts w:eastAsia="MS Gothic;ＭＳ ゴシック" w:cs="Calibri"/>
                <w:b/>
                <w:bCs/>
                <w:sz w:val="18"/>
              </w:rPr>
              <w:t>Neuroblastoma (n=162)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99%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72%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</w:rPr>
              <w:t>−27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/>
                <w:bCs/>
                <w:sz w:val="18"/>
              </w:rPr>
              <w:t xml:space="preserve">  </w:t>
            </w:r>
            <w:r>
              <w:rPr>
                <w:rFonts w:eastAsia="MS Gothic;ＭＳ ゴシック" w:cs="Calibri"/>
                <w:b/>
                <w:bCs/>
                <w:sz w:val="18"/>
              </w:rPr>
              <w:t>Wilms Tumor (n=132)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95%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65%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</w:rPr>
              <w:t>−30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b/>
                <w:bCs/>
                <w:sz w:val="18"/>
              </w:rPr>
              <w:t xml:space="preserve">  </w:t>
            </w:r>
            <w:r>
              <w:rPr>
                <w:rFonts w:eastAsia="MS Gothic;ＭＳ ゴシック" w:cs="Calibri"/>
                <w:b/>
                <w:bCs/>
                <w:sz w:val="18"/>
              </w:rPr>
              <w:t>Rhabdoid Tumor (n=5)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80%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+20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scGPT zero-shot (frozen)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61.0%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61.0%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All genes + kNN baseline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89.6%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92.6%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+3.0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Top-2000 HVG + kNN baseline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89.0%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93.4%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+4.3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All genes + PCA(121) + kNN baseline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87.4%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92.0%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+4.6 pp</w:t>
            </w:r>
          </w:p>
        </w:tc>
      </w:tr>
      <w:tr>
        <w:trPr/>
        <w:tc>
          <w:tcPr>
            <w:tcW w:w="2157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rPr>
                <w:rFonts w:eastAsia="MS Gothic;ＭＳ ゴシック" w:cs="Calibri"/>
                <w:b/>
                <w:bCs/>
                <w:sz w:val="18"/>
              </w:rPr>
            </w:pPr>
            <w:r>
              <w:rPr>
                <w:rFonts w:eastAsia="MS Gothic;ＭＳ ゴシック" w:cs="Calibri"/>
                <w:b/>
                <w:bCs/>
                <w:sz w:val="18"/>
              </w:rPr>
              <w:t>Supervised VAE advantage (vs all-kNN)</w:t>
            </w:r>
          </w:p>
        </w:tc>
        <w:tc>
          <w:tcPr>
            <w:tcW w:w="216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+1.1 pp</w:t>
            </w:r>
          </w:p>
        </w:tc>
        <w:tc>
          <w:tcPr>
            <w:tcW w:w="2160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+2.3 pp</w:t>
            </w:r>
          </w:p>
        </w:tc>
        <w:tc>
          <w:tcPr>
            <w:tcW w:w="2624" w:type="dxa"/>
            <w:tcBorders>
              <w:top w:val="single" w:sz="8" w:space="0" w:color="4F81BD"/>
              <w:start w:val="single" w:sz="8" w:space="0" w:color="4F81BD"/>
              <w:bottom w:val="single" w:sz="8" w:space="0" w:color="4F81BD"/>
              <w:end w:val="single" w:sz="8" w:space="0" w:color="4F81BD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wider</w:t>
            </w:r>
          </w:p>
        </w:tc>
      </w:tr>
    </w:tbl>
    <w:p>
      <w:pPr>
        <w:pStyle w:val="Normal"/>
        <w:spacing w:before="360" w:after="120"/>
        <w:rPr>
          <w:b/>
          <w:sz w:val="18"/>
          <w:szCs w:val="18"/>
        </w:rPr>
      </w:pPr>
      <w:r>
        <w:rPr>
          <w:b/>
          <w:sz w:val="20"/>
          <w:szCs w:val="20"/>
        </w:rPr>
        <w:t>Table S2. Developmental-origin rubric used to score TARGET tissue-of-origin transfer. For each paediatric cancer type, the expected adult UBERON tissue categories were defined a priori from its established developmental lineage, with the supporting reference. A prediction was scored correct if the assigned tissue fell within the expected set. The mappings reflect canonical developmental biology rather than post-hoc selection; alternative groupings at the germ-layer level (e.g. collapsing all intermediate-mesoderm derivatives) yield the same qualitative conclusions.</w:t>
      </w:r>
    </w:p>
    <w:tbl>
      <w:tblPr>
        <w:tblW w:w="9237" w:type="dxa"/>
        <w:jc w:val="start"/>
        <w:tblInd w:w="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896"/>
        <w:gridCol w:w="2206"/>
        <w:gridCol w:w="1975"/>
      </w:tblGrid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Cancer type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Developmental origin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Expected adult tissue categories</w:t>
            </w:r>
          </w:p>
        </w:tc>
        <w:tc>
          <w:tcPr>
            <w:tcW w:w="1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Reference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Acute myeloid leukaemia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Haematopoietic / myeloid progenitors (bone marrow)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blood, bone marrow, lymphoid</w:t>
            </w:r>
          </w:p>
        </w:tc>
        <w:tc>
          <w:tcPr>
            <w:tcW w:w="1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Bonnet &amp; Dick, Nat Med 1997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Acute lymphoblastic leukaemia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Haematopoietic / lymphoid progenitors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blood, bone marrow, lymphoid</w:t>
            </w:r>
          </w:p>
        </w:tc>
        <w:tc>
          <w:tcPr>
            <w:tcW w:w="1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Bonnet &amp; Dick, Nat Med 1997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AML, induction-failure subtype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Haematopoietic / myeloid progenitors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blood, bone marrow, lymphoid</w:t>
            </w:r>
          </w:p>
        </w:tc>
        <w:tc>
          <w:tcPr>
            <w:tcW w:w="1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Bonnet &amp; Dick, Nat Med 1997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Neuroblastoma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sympathetic nervous system (neural crest)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brain, nerve, adrenal gland</w:t>
            </w:r>
          </w:p>
        </w:tc>
        <w:tc>
          <w:tcPr>
            <w:tcW w:w="1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Maris, N Engl J Med 2010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Wilms tumour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Intermediate mesoderm (precursors of kidney, uterus, ovary, testis)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kidney, ovary, uterus, testis</w:t>
            </w:r>
          </w:p>
        </w:tc>
        <w:tc>
          <w:tcPr>
            <w:tcW w:w="1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Hohenstein et al., Genes Dev 2015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Kidney, rhabdoid tumour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Renal / metanephric mesenchyme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kidney</w:t>
            </w:r>
          </w:p>
        </w:tc>
        <w:tc>
          <w:tcPr>
            <w:tcW w:w="1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Hohenstein et al., Genes Dev 2015</w:t>
            </w:r>
          </w:p>
        </w:tc>
      </w:tr>
      <w:tr>
        <w:trPr>
          <w:trHeight w:val="83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Clear cell sarcoma of the kidney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Renal mesenchyme (no well-defined adult correlate)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kidney</w:t>
            </w:r>
          </w:p>
        </w:tc>
        <w:tc>
          <w:tcPr>
            <w:tcW w:w="1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Hohenstein et al., Genes Dev 2015</w:t>
            </w:r>
          </w:p>
        </w:tc>
      </w:tr>
    </w:tbl>
    <w:p>
      <w:pPr>
        <w:pStyle w:val="Normal"/>
        <w:spacing w:before="60" w:after="240"/>
        <w:rPr>
          <w:i/>
          <w:i/>
          <w:color w:val="1F3864"/>
          <w:sz w:val="16"/>
          <w:szCs w:val="16"/>
        </w:rPr>
      </w:pPr>
      <w:r>
        <w:rPr>
          <w:i/>
          <w:sz w:val="16"/>
          <w:szCs w:val="16"/>
        </w:rPr>
        <w:t>References: Bonnet D, Dick JE. Nat Med 1997;3:730-7. Maris JM. N Engl J Med 2010;362:2202-11. Hohenstein P, Pritchard-Jones K, Charlton J. Genes Dev 2015;29:467-82.</w:t>
      </w:r>
    </w:p>
    <w:p>
      <w:pPr>
        <w:pStyle w:val="Heading1"/>
        <w:spacing w:before="240" w:after="160"/>
        <w:ind w:hanging="0" w:start="0" w:end="0"/>
        <w:rPr>
          <w:i/>
          <w:i/>
          <w:color w:val="1F3864"/>
          <w:sz w:val="16"/>
          <w:szCs w:val="16"/>
        </w:rPr>
      </w:pPr>
      <w:r>
        <w:rPr>
          <w:i/>
          <w:color w:val="1F3864"/>
          <w:sz w:val="16"/>
          <w:szCs w:val="16"/>
        </w:rPr>
      </w:r>
    </w:p>
    <w:p>
      <w:pPr>
        <w:spacing w:before="240" w:after="120"/>
        <w:rPr>
          <w:b/>
        </w:rPr>
      </w:pPr>
      <w:r>
        <w:rPr>
          <w:b/>
        </w:rPr>
        <w:t>Table S3. Per-category tissue-of-origin accuracy on the TARGET cohort: supervised VAE versus BulkFormer.</w:t>
      </w:r>
      <w:r>
        <w:t xml:space="preserve"> Both models were evaluated out of the box on 734 TARGET paediatric tumours using the same k-nearest-neighbour protocol and developmental-expectation rubric (Table S2; Figure 6). Accuracy is the fraction of samples assigned to the expected adult tissue(s) of origin. BulkFormer was pretrained on GEO/ARCHS4 and may have encountered TARGET, so the transfer is out-of-distribution only for the supervised VAE.</w:t>
      </w:r>
    </w:p>
    <w:tbl>
      <w:tblPr>
        <w:tblW w:w="90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2706"/>
        <w:gridCol w:w="3610"/>
        <w:gridCol w:w="1355"/>
        <w:gridCol w:w="1355"/>
      </w:tblGrid>
      <w:tr>
        <w:tc>
          <w:tcPr>
            <w:tcW w:w="2706" w:type="dxa"/>
            <w:shd w:val="clear" w:fill="D5E8F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TARGET cancer category</w:t>
            </w:r>
          </w:p>
        </w:tc>
        <w:tc>
          <w:tcPr>
            <w:tcW w:w="3610" w:type="dxa"/>
            <w:shd w:val="clear" w:fill="D5E8F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Expected tissue of origin (developmental)</w:t>
            </w:r>
          </w:p>
        </w:tc>
        <w:tc>
          <w:tcPr>
            <w:tcW w:w="1355" w:type="dxa"/>
            <w:shd w:val="clear" w:fill="D5E8F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Supervised VAE</w:t>
            </w:r>
          </w:p>
        </w:tc>
        <w:tc>
          <w:tcPr>
            <w:tcW w:w="1355" w:type="dxa"/>
            <w:shd w:val="clear" w:fill="D5E8F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BulkFormer</w:t>
            </w:r>
          </w:p>
        </w:tc>
      </w:tr>
      <w:tr>
        <w:tc>
          <w:tcPr>
            <w:tcW w:w="2706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Haematopoietic (AML, ALL)</w:t>
            </w:r>
          </w:p>
        </w:tc>
        <w:tc>
          <w:tcPr>
            <w:tcW w:w="3610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Blood, bone marrow, lymphoid</w:t>
            </w:r>
          </w:p>
        </w:tc>
        <w:tc>
          <w:tcPr>
            <w:tcW w:w="1355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&gt;97%</w:t>
            </w:r>
          </w:p>
        </w:tc>
        <w:tc>
          <w:tcPr>
            <w:tcW w:w="1355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&gt;97%</w:t>
            </w:r>
          </w:p>
        </w:tc>
      </w:tr>
      <w:tr>
        <w:tc>
          <w:tcPr>
            <w:tcW w:w="2706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Neuroblastoma</w:t>
            </w:r>
          </w:p>
        </w:tc>
        <w:tc>
          <w:tcPr>
            <w:tcW w:w="3610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Brain, nerve, adrenal gland</w:t>
            </w:r>
          </w:p>
        </w:tc>
        <w:tc>
          <w:tcPr>
            <w:tcW w:w="1355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72.2%</w:t>
            </w:r>
          </w:p>
        </w:tc>
        <w:tc>
          <w:tcPr>
            <w:tcW w:w="1355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75.9%</w:t>
            </w:r>
          </w:p>
        </w:tc>
      </w:tr>
      <w:tr>
        <w:tc>
          <w:tcPr>
            <w:tcW w:w="2706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Wilms tumour</w:t>
            </w:r>
          </w:p>
        </w:tc>
        <w:tc>
          <w:tcPr>
            <w:tcW w:w="3610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Intermediate mesoderm (kidney, ovary, uterus)</w:t>
            </w:r>
          </w:p>
        </w:tc>
        <w:tc>
          <w:tcPr>
            <w:tcW w:w="1355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65.2%</w:t>
            </w:r>
          </w:p>
        </w:tc>
        <w:tc>
          <w:tcPr>
            <w:tcW w:w="1355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13.6%</w:t>
            </w:r>
          </w:p>
        </w:tc>
      </w:tr>
      <w:tr>
        <w:tc>
          <w:tcPr>
            <w:tcW w:w="2706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Clear cell sarcoma of the kidney</w:t>
            </w:r>
          </w:p>
        </w:tc>
        <w:tc>
          <w:tcPr>
            <w:tcW w:w="3610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Kidney (no clear adult correlate)</w:t>
            </w:r>
          </w:p>
        </w:tc>
        <w:tc>
          <w:tcPr>
            <w:tcW w:w="1355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355" w:type="dxa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>
        <w:tc>
          <w:tcPr>
            <w:tcW w:w="2706" w:type="dxa"/>
            <w:shd w:val="clear" w:fill="EEEEEE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Overall (734 samples)</w:t>
            </w:r>
          </w:p>
        </w:tc>
        <w:tc>
          <w:tcPr>
            <w:tcW w:w="3610" w:type="dxa"/>
            <w:shd w:val="clear" w:fill="EEEEEE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55" w:type="dxa"/>
            <w:shd w:val="clear" w:fill="EEEEEE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84.6%</w:t>
            </w:r>
          </w:p>
        </w:tc>
        <w:tc>
          <w:tcPr>
            <w:tcW w:w="1355" w:type="dxa"/>
            <w:shd w:val="clear" w:fill="EEEEEE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76.8%</w:t>
            </w:r>
          </w:p>
        </w:tc>
      </w:tr>
    </w:tbl>
    <w:p>
      <w:pPr>
        <w:pStyle w:val="Heading1"/>
        <w:spacing w:before="240" w:after="160"/>
        <w:ind w:hanging="0" w:start="0" w:end="0"/>
        <w:rPr/>
      </w:pPr>
      <w:r>
        <w:rPr>
          <w:color w:val="1F3864"/>
        </w:rPr>
        <w:t>Supplementary Figures</w:t>
      </w:r>
    </w:p>
    <w:p>
      <w:pPr>
        <w:pStyle w:val="Normal"/>
        <w:keepNext w:val="true"/>
        <w:spacing w:before="240" w:after="120"/>
        <w:jc w:val="center"/>
        <w:rPr>
          <w:b/>
          <w:sz w:val="20"/>
          <w:szCs w:val="20"/>
        </w:rPr>
      </w:pPr>
      <w:r>
        <w:rPr>
          <w:lang w:val="en-US" w:eastAsia="en-US"/>
        </w:rPr>
        <w:drawing>
          <wp:inline distT="0" distB="0" distL="0" distR="0">
            <wp:extent cx="5293360" cy="490918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200"/>
        <w:jc w:val="both"/>
        <w:rPr/>
      </w:pPr>
      <w:r>
        <w:rPr>
          <w:b/>
          <w:sz w:val="20"/>
          <w:szCs w:val="20"/>
        </w:rPr>
        <w:t xml:space="preserve">Figure S1. Normalized confusion matrix for the 118K supervised VAE classifier. </w:t>
      </w:r>
      <w:r>
        <w:rPr>
          <w:sz w:val="20"/>
          <w:szCs w:val="20"/>
        </w:rPr>
        <w:t>Row-normalized confusion matrix across the 42 UBERON tissue categories on the held-out 118K test split (n = 28,274). Rows are true tissue labels, columns are predicted labels; diagonal values are per-class recall (matching the per-tissue accuracies in Figure 2). Off-diagonal entries highlight the few biologically plausible confusions remaining after class balancing.</w:t>
      </w:r>
    </w:p>
    <w:p>
      <w:pPr>
        <w:pStyle w:val="Normal"/>
        <w:keepNext w:val="true"/>
        <w:spacing w:before="240" w:after="120"/>
        <w:jc w:val="center"/>
        <w:rPr/>
      </w:pPr>
      <w:r>
        <w:rPr/>
      </w:r>
    </w:p>
    <w:p>
      <w:pPr>
        <w:pStyle w:val="Normal"/>
        <w:spacing w:before="240" w:after="120"/>
        <w:jc w:val="center"/>
        <w:rPr>
          <w:b/>
          <w:sz w:val="20"/>
          <w:szCs w:val="20"/>
        </w:rPr>
      </w:pPr>
      <w:r>
        <w:rPr>
          <w:lang w:val="en-US" w:eastAsia="en-US"/>
        </w:rPr>
        <w:drawing>
          <wp:inline distT="0" distB="0" distL="0" distR="0">
            <wp:extent cx="5307965" cy="5305425"/>
            <wp:effectExtent l="0" t="0" r="0" b="0"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20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Figure S2. Per-gene reconstruction performance scatter. </w:t>
      </w:r>
      <w:r>
        <w:rPr>
          <w:sz w:val="20"/>
          <w:szCs w:val="20"/>
        </w:rPr>
        <w:t>Scatter of original versus reconstructed expression values, aggregated across all genes and samples in the held-out 118K test split, for the Standard VAE variant. Density coloring shows the high-density diagonal consistent with the median per-gene Spearman ρ = 0.935 reported in Figure 3a.</w:t>
      </w:r>
    </w:p>
    <w:p>
      <w:pPr>
        <w:pStyle w:val="Normal"/>
        <w:spacing w:before="60" w:after="20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true"/>
        <w:spacing w:before="360" w:after="1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360" w:after="1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360" w:after="120"/>
        <w:jc w:val="center"/>
        <w:rPr/>
      </w:pPr>
      <w:r>
        <w:rPr/>
      </w:r>
    </w:p>
    <w:p>
      <w:pPr>
        <w:pStyle w:val="Normal"/>
        <w:spacing w:before="360" w:after="120"/>
        <w:jc w:val="center"/>
        <w:rPr/>
      </w:pPr>
      <w:r>
        <w:rPr/>
      </w:r>
    </w:p>
    <w:p>
      <w:pPr>
        <w:pStyle w:val="Normal"/>
        <w:spacing w:before="60" w:after="200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85765" cy="3140710"/>
            <wp:effectExtent l="0" t="0" r="0" b="0"/>
            <wp:wrapSquare wrapText="largest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" t="-24" r="-1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sz w:val="20"/>
          <w:szCs w:val="20"/>
        </w:rPr>
        <w:t>Figure S3. Cell-line removal has a small, localized effect on TARGET developmental transfer.</w:t>
      </w:r>
      <w:r>
        <w:rPr>
          <w:sz w:val="20"/>
          <w:szCs w:val="20"/>
        </w:rPr>
        <w:t xml:space="preserve"> Per-cancer and overall accuracy for the published model (cell lines excluded, teal) versus a matched control in which ARCHS4 cell lines were retained under the same per-tissue capping policy and random seed (cell lines included, ochre); the two models differ only in cell-line inclusion. Excluding cell lines changes overall accuracy by 2.5 percentage points (87.1% with cell lines, 84.6% without), an effect confined almost entirely to neuroblastoma (72% versus 81%), the one cancer whose neural-crest lineage cell lines most directly represent. All other cancer types are unchanged, and Wilms tumour differs by under two points (65% versus 63%). Cell-line removal therefore carries only a minor, lineage-specific cost on developmental transfer, consistent with its role in producing a latent space less anchored to cell-line transcriptomes (Table 2).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isplayBackgroundShape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MS Mincho;ＭＳ 明朝" w:cs="Calibri"/>
      <w:color w:val="auto"/>
      <w:sz w:val="22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MS Gothic;ＭＳ ゴシック" w:cs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MS Gothic;ＭＳ ゴシック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MS Gothic;ＭＳ ゴシック" w:cs="Calibri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MS Gothic;ＭＳ ゴシック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MS Gothic;ＭＳ ゴシック" w:cs="Calibri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MS Gothic;ＭＳ ゴシック" w:cs="Calibri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MS Gothic;ＭＳ ゴシック" w:cs="Calibri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MS Gothic;ＭＳ ゴシック" w:cs="Calibri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MS Gothic;ＭＳ ゴシック" w:cs="Calibri"/>
      <w:i/>
      <w:iCs/>
      <w:color w:val="404040"/>
      <w:sz w:val="20"/>
      <w:szCs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qFormat/>
    <w:rPr>
      <w:rFonts w:ascii="Calibri" w:hAnsi="Calibri" w:eastAsia="MS Gothic;ＭＳ ゴシック" w:cs="Calibri"/>
      <w:b/>
      <w:bCs/>
      <w:color w:val="365F91"/>
      <w:sz w:val="28"/>
      <w:szCs w:val="28"/>
    </w:rPr>
  </w:style>
  <w:style w:type="character" w:styleId="Heading2Char">
    <w:name w:val="Heading 2 Char"/>
    <w:qFormat/>
    <w:rPr>
      <w:rFonts w:ascii="Calibri" w:hAnsi="Calibri" w:eastAsia="MS Gothic;ＭＳ ゴシック" w:cs="Calibri"/>
      <w:b/>
      <w:bCs/>
      <w:color w:val="4F81BD"/>
      <w:sz w:val="26"/>
      <w:szCs w:val="26"/>
    </w:rPr>
  </w:style>
  <w:style w:type="character" w:styleId="Heading3Char">
    <w:name w:val="Heading 3 Char"/>
    <w:qFormat/>
    <w:rPr>
      <w:rFonts w:ascii="Calibri" w:hAnsi="Calibri" w:eastAsia="MS Gothic;ＭＳ ゴシック" w:cs="Calibri"/>
      <w:b/>
      <w:bCs/>
      <w:color w:val="4F81BD"/>
    </w:rPr>
  </w:style>
  <w:style w:type="character" w:styleId="TitleChar">
    <w:name w:val="Title Char"/>
    <w:qFormat/>
    <w:rPr>
      <w:rFonts w:ascii="Calibri" w:hAnsi="Calibri" w:eastAsia="MS Gothic;ＭＳ ゴシック" w:cs="Calibri"/>
      <w:color w:val="17365D"/>
      <w:spacing w:val="5"/>
      <w:kern w:val="2"/>
      <w:sz w:val="52"/>
      <w:szCs w:val="52"/>
    </w:rPr>
  </w:style>
  <w:style w:type="character" w:styleId="SubtitleChar">
    <w:name w:val="Subtitle Char"/>
    <w:qFormat/>
    <w:rPr>
      <w:rFonts w:ascii="Calibri" w:hAnsi="Calibri" w:eastAsia="MS Gothic;ＭＳ ゴシック" w:cs="Calibri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qFormat/>
    <w:rPr>
      <w:sz w:val="16"/>
      <w:szCs w:val="16"/>
    </w:rPr>
  </w:style>
  <w:style w:type="character" w:styleId="MacroTextChar">
    <w:name w:val="Macro Text Char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qFormat/>
    <w:rPr>
      <w:i/>
      <w:iCs/>
      <w:color w:val="000000"/>
    </w:rPr>
  </w:style>
  <w:style w:type="character" w:styleId="Heading4Char">
    <w:name w:val="Heading 4 Char"/>
    <w:qFormat/>
    <w:rPr>
      <w:rFonts w:ascii="Calibri" w:hAnsi="Calibri" w:eastAsia="MS Gothic;ＭＳ ゴシック" w:cs="Calibri"/>
      <w:b/>
      <w:bCs/>
      <w:i/>
      <w:iCs/>
      <w:color w:val="4F81BD"/>
    </w:rPr>
  </w:style>
  <w:style w:type="character" w:styleId="Heading5Char">
    <w:name w:val="Heading 5 Char"/>
    <w:qFormat/>
    <w:rPr>
      <w:rFonts w:ascii="Calibri" w:hAnsi="Calibri" w:eastAsia="MS Gothic;ＭＳ ゴシック" w:cs="Calibri"/>
      <w:color w:val="243F60"/>
    </w:rPr>
  </w:style>
  <w:style w:type="character" w:styleId="Heading6Char">
    <w:name w:val="Heading 6 Char"/>
    <w:qFormat/>
    <w:rPr>
      <w:rFonts w:ascii="Calibri" w:hAnsi="Calibri" w:eastAsia="MS Gothic;ＭＳ ゴシック" w:cs="Calibri"/>
      <w:i/>
      <w:iCs/>
      <w:color w:val="243F60"/>
    </w:rPr>
  </w:style>
  <w:style w:type="character" w:styleId="Heading7Char">
    <w:name w:val="Heading 7 Char"/>
    <w:qFormat/>
    <w:rPr>
      <w:rFonts w:ascii="Calibri" w:hAnsi="Calibri" w:eastAsia="MS Gothic;ＭＳ ゴシック" w:cs="Calibri"/>
      <w:i/>
      <w:iCs/>
      <w:color w:val="404040"/>
    </w:rPr>
  </w:style>
  <w:style w:type="character" w:styleId="Heading8Char">
    <w:name w:val="Heading 8 Char"/>
    <w:qFormat/>
    <w:rPr>
      <w:rFonts w:ascii="Calibri" w:hAnsi="Calibri" w:eastAsia="MS Gothic;ＭＳ ゴシック" w:cs="Calibri"/>
      <w:color w:val="4F81BD"/>
      <w:sz w:val="20"/>
      <w:szCs w:val="20"/>
    </w:rPr>
  </w:style>
  <w:style w:type="character" w:styleId="Heading9Char">
    <w:name w:val="Heading 9 Char"/>
    <w:qFormat/>
    <w:rPr>
      <w:rFonts w:ascii="Calibri" w:hAnsi="Calibri" w:eastAsia="MS Gothic;ＭＳ ゴシック" w:cs="Calibri"/>
      <w:i/>
      <w:iCs/>
      <w:color w:val="404040"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IntenseQuoteChar">
    <w:name w:val="Intense Quote Char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 w:end="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</w:pPr>
    <w:rPr>
      <w:rFonts w:ascii="Cambria" w:hAnsi="Cambria" w:eastAsia="MS Mincho;ＭＳ 明朝" w:cs="Cambria"/>
      <w:color w:val="auto"/>
      <w:sz w:val="22"/>
      <w:szCs w:val="22"/>
      <w:lang w:val="en-US" w:eastAsia="zh-CN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MS Gothic;ＭＳ ゴシック" w:cs="Calibri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MS Gothic;ＭＳ ゴシック" w:cs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Bullet2">
    <w:name w:val="List Bullet 2"/>
    <w:basedOn w:val="Normal"/>
    <w:qFormat/>
    <w:pPr>
      <w:spacing w:before="0" w:after="200"/>
      <w:ind w:hanging="360" w:start="720" w:end="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ind w:hanging="360" w:start="1080" w:end="0"/>
      <w:contextualSpacing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spacing w:before="0" w:after="200"/>
      <w:contextualSpacing/>
    </w:pPr>
    <w:rPr/>
  </w:style>
  <w:style w:type="paragraph" w:styleId="ListBullet21">
    <w:name w:val="List Bullet 21"/>
    <w:basedOn w:val="Normal"/>
    <w:qFormat/>
    <w:pPr>
      <w:numPr>
        <w:ilvl w:val="0"/>
        <w:numId w:val="7"/>
      </w:numPr>
      <w:spacing w:before="0" w:after="200"/>
      <w:contextualSpacing/>
    </w:pPr>
    <w:rPr/>
  </w:style>
  <w:style w:type="paragraph" w:styleId="ListBullet31">
    <w:name w:val="List Bullet 31"/>
    <w:basedOn w:val="Normal"/>
    <w:qFormat/>
    <w:pPr>
      <w:numPr>
        <w:ilvl w:val="0"/>
        <w:numId w:val="6"/>
      </w:numPr>
      <w:spacing w:before="0" w:after="200"/>
      <w:contextualSpacing/>
    </w:pPr>
    <w:rPr/>
  </w:style>
  <w:style w:type="paragraph" w:styleId="ListNumber">
    <w:name w:val="List Number"/>
    <w:basedOn w:val="Normal"/>
    <w:qFormat/>
    <w:pPr>
      <w:numPr>
        <w:ilvl w:val="0"/>
        <w:numId w:val="3"/>
      </w:numPr>
      <w:spacing w:before="0" w:after="200"/>
      <w:contextualSpacing/>
    </w:pPr>
    <w:rPr/>
  </w:style>
  <w:style w:type="paragraph" w:styleId="ListNumber2">
    <w:name w:val="List Number 2"/>
    <w:basedOn w:val="Normal"/>
    <w:qFormat/>
    <w:pPr>
      <w:numPr>
        <w:ilvl w:val="0"/>
        <w:numId w:val="2"/>
      </w:numPr>
      <w:spacing w:before="0" w:after="200"/>
      <w:contextualSpacing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  <w:contextualSpacing/>
    </w:pPr>
    <w:rPr/>
  </w:style>
  <w:style w:type="paragraph" w:styleId="MacroText">
    <w:name w:val="Macro Text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</w:pPr>
    <w:rPr>
      <w:rFonts w:ascii="Courier;Courier New" w:hAnsi="Courier;Courier New" w:eastAsia="MS Mincho;ＭＳ 明朝" w:cs="Courier;Courier New"/>
      <w:color w:val="auto"/>
      <w:sz w:val="20"/>
      <w:szCs w:val="20"/>
      <w:lang w:val="en-US" w:eastAsia="zh-CN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hanging="0" w:start="936" w:end="936"/>
    </w:pPr>
    <w:rPr>
      <w:b/>
      <w:bCs/>
      <w:i/>
      <w:iCs/>
      <w:color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start="0" w:end="0"/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2026-06-07T14:00:02Z</dcterms:modified>
  <cp:revision>3</cp:revision>
  <dc:subject/>
  <dc:title/>
</cp:coreProperties>
</file>