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A5C91" w14:textId="77777777" w:rsidR="00356466" w:rsidRPr="00356466" w:rsidRDefault="00441D08" w:rsidP="00356466">
      <w:pPr>
        <w:spacing w:line="360" w:lineRule="auto"/>
        <w:jc w:val="center"/>
        <w:rPr>
          <w:rFonts w:ascii="Times New Roman" w:hAnsi="Times New Roman" w:cs="Times New Roman"/>
          <w:b/>
          <w:bCs/>
          <w:sz w:val="28"/>
          <w:szCs w:val="28"/>
          <w:lang w:val="en-US"/>
        </w:rPr>
      </w:pPr>
      <w:r w:rsidRPr="00356466">
        <w:rPr>
          <w:rFonts w:ascii="Times New Roman" w:hAnsi="Times New Roman" w:cs="Times New Roman"/>
          <w:b/>
          <w:bCs/>
          <w:sz w:val="28"/>
          <w:szCs w:val="28"/>
          <w:lang w:val="en-US"/>
        </w:rPr>
        <w:t>Supplement</w:t>
      </w:r>
    </w:p>
    <w:p w14:paraId="47934476" w14:textId="77777777" w:rsidR="00356466" w:rsidRDefault="00356466" w:rsidP="00356466">
      <w:pPr>
        <w:spacing w:line="360" w:lineRule="auto"/>
        <w:jc w:val="center"/>
        <w:rPr>
          <w:rFonts w:ascii="Times New Roman" w:hAnsi="Times New Roman" w:cs="Times New Roman"/>
          <w:b/>
          <w:bCs/>
          <w:lang w:val="en-GB"/>
        </w:rPr>
      </w:pPr>
    </w:p>
    <w:p w14:paraId="53E0704E" w14:textId="65173D30" w:rsidR="00240CD6" w:rsidRPr="00356466" w:rsidRDefault="00240CD6" w:rsidP="00356466">
      <w:pPr>
        <w:spacing w:line="360" w:lineRule="auto"/>
        <w:jc w:val="center"/>
        <w:rPr>
          <w:rFonts w:ascii="Times New Roman" w:hAnsi="Times New Roman" w:cs="Times New Roman"/>
          <w:b/>
          <w:bCs/>
          <w:lang w:val="en-GB"/>
        </w:rPr>
      </w:pPr>
      <w:r w:rsidRPr="00356466">
        <w:rPr>
          <w:rFonts w:ascii="Times New Roman" w:hAnsi="Times New Roman" w:cs="Times New Roman"/>
          <w:b/>
          <w:bCs/>
          <w:lang w:val="en-GB"/>
        </w:rPr>
        <w:t xml:space="preserve">High resolution, isotropic late gadolinium enhanced imaging for the quantification of left atrial fibrosis and post-ablation scarring </w:t>
      </w:r>
    </w:p>
    <w:p w14:paraId="7115D062" w14:textId="77777777" w:rsidR="00441D08" w:rsidRPr="00356466" w:rsidRDefault="00441D08" w:rsidP="00356466">
      <w:pPr>
        <w:spacing w:line="360" w:lineRule="auto"/>
        <w:rPr>
          <w:rFonts w:ascii="Times New Roman" w:hAnsi="Times New Roman" w:cs="Times New Roman"/>
          <w:b/>
          <w:bCs/>
          <w:i/>
          <w:iCs/>
          <w:lang w:val="en-US"/>
        </w:rPr>
      </w:pPr>
    </w:p>
    <w:p w14:paraId="4AC23B64" w14:textId="78B8CD57" w:rsidR="00821AC5" w:rsidRPr="00356466" w:rsidRDefault="00821AC5" w:rsidP="00356466">
      <w:pPr>
        <w:spacing w:line="360" w:lineRule="auto"/>
        <w:rPr>
          <w:rFonts w:ascii="Times New Roman" w:hAnsi="Times New Roman" w:cs="Times New Roman"/>
          <w:b/>
          <w:bCs/>
          <w:lang w:val="en-US"/>
        </w:rPr>
      </w:pPr>
      <w:r w:rsidRPr="00356466">
        <w:rPr>
          <w:rFonts w:ascii="Times New Roman" w:hAnsi="Times New Roman" w:cs="Times New Roman"/>
          <w:b/>
          <w:bCs/>
          <w:lang w:val="en-US"/>
        </w:rPr>
        <w:t>Methods</w:t>
      </w:r>
    </w:p>
    <w:p w14:paraId="3578D7F9" w14:textId="77777777" w:rsidR="00821AC5" w:rsidRPr="00356466" w:rsidRDefault="00821AC5" w:rsidP="00356466">
      <w:pPr>
        <w:spacing w:line="360" w:lineRule="auto"/>
        <w:rPr>
          <w:rFonts w:ascii="Times New Roman" w:hAnsi="Times New Roman" w:cs="Times New Roman"/>
          <w:b/>
          <w:bCs/>
          <w:i/>
          <w:iCs/>
          <w:lang w:val="en-US"/>
        </w:rPr>
      </w:pPr>
    </w:p>
    <w:p w14:paraId="266B4BD1" w14:textId="186D5594" w:rsidR="00441D08" w:rsidRPr="00356466" w:rsidRDefault="00441D08" w:rsidP="00356466">
      <w:pPr>
        <w:spacing w:line="360" w:lineRule="auto"/>
        <w:rPr>
          <w:rFonts w:ascii="Times New Roman" w:hAnsi="Times New Roman" w:cs="Times New Roman"/>
          <w:u w:val="single"/>
          <w:lang w:val="en-US"/>
        </w:rPr>
      </w:pPr>
      <w:r w:rsidRPr="00356466">
        <w:rPr>
          <w:rFonts w:ascii="Times New Roman" w:hAnsi="Times New Roman" w:cs="Times New Roman"/>
          <w:u w:val="single"/>
          <w:lang w:val="en-US"/>
        </w:rPr>
        <w:t>Integration of bipolar Electroanatomic mapping with 3D Dixon Late Gadolinium Enhancement Image segmentation shell</w:t>
      </w:r>
    </w:p>
    <w:p w14:paraId="5C7B76BA" w14:textId="18A1B568" w:rsidR="00441D08" w:rsidRPr="00356466" w:rsidRDefault="00441D08" w:rsidP="00356466">
      <w:pPr>
        <w:spacing w:line="360" w:lineRule="auto"/>
        <w:rPr>
          <w:rFonts w:ascii="Times New Roman" w:hAnsi="Times New Roman" w:cs="Times New Roman"/>
          <w:lang w:val="en-US"/>
        </w:rPr>
      </w:pPr>
      <w:r w:rsidRPr="00356466">
        <w:rPr>
          <w:rFonts w:ascii="Times New Roman" w:hAnsi="Times New Roman" w:cs="Times New Roman"/>
          <w:lang w:val="en-US"/>
        </w:rPr>
        <w:t>Electroanatomic mapping (EAM) data was exported from the workstation and converted to an open-source format</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{"citationID":"sAEYOOPR","properties":{"formattedCitation":"\\super 1\\nosupersub{}","plainCitation":"1","noteIndex":0},"citationItems":[{"id":2079,"uris":["http://zotero.org/users/10836734/items/WQD99WR6"],"itemData":{"id":2079,"type":"book","ISBN":"978-1-930934-19-1","publisher":"Kitware","title":"The Visualization Toolkit (4th ed.)","author":[{"family":"Schroeder","given":"Will"},{"family":"Martin","given":"Ken"},{"family":"Lorensen","given":"Bill"}],"issued":{"date-parts":[["2006"]]}}}],"schema":"https://github.com/citation-style-language/schema/raw/master/csl-citation.json"}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1</w:t>
      </w:r>
      <w:r w:rsidRPr="00356466">
        <w:rPr>
          <w:rFonts w:ascii="Times New Roman" w:hAnsi="Times New Roman" w:cs="Times New Roman"/>
          <w:lang w:val="en-US"/>
        </w:rPr>
        <w:fldChar w:fldCharType="end"/>
      </w:r>
      <w:r w:rsidRPr="00356466">
        <w:rPr>
          <w:rFonts w:ascii="Times New Roman" w:hAnsi="Times New Roman" w:cs="Times New Roman"/>
          <w:lang w:val="en-US"/>
        </w:rPr>
        <w:t xml:space="preserve"> using custom software based on a modified version of Hohmann et al.</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{"citationID":"0yyEAbxv","properties":{"formattedCitation":"\\super 2\\nosupersub{}","plainCitation":"2","noteIndex":0},"citationItems":[{"id":2080,"uris":["http://zotero.org/users/10836734/items/R3Y3BHRD"],"itemData":{"id":2080,"type":"article-journal","abstract":"Introduction Noninvasive ablative radiotherapy of cardiac arrhythmias (stereotactic ablative body radiation) has shown promising initial results. Precise targeting of the arrhythmogenic substrate is paramount to limit adverse effects to healthy myocardium, organs at risk, and cardiac implantable electronic devices. Using electroanatomic maps for treatment planning is technically challenging. Methods and Results Using the free open-source 3D Slicer software platform we established a workflow for high-precision target definition based on electroanatomic maps. An import plug-in for 3D Slicer has been designed that reads electroanatomic maps generated with three mapping systems in widespread clinical use. Using our proposed workflow in a real-world patient case we were able to align the map to the computed tomography (CT) with a mean distance of 3.1 mm. Thus, points defined on the map were translated into CT space with high accuracy and a radiotherapy treatment volume was defined in CT space based on these map-derived points. Conclusion We describe a novel high-precision target definition method for stereotactic ablation of cardiac arrhythmias. Multimodal integration of the electroanatomic map with the planning CT allows for highly accurate localization of previously identified electrophysiological features in CT space. It remains to be shown whether this novel planning workflow leads to superior ablation outcomes when compared with other approaches.","container-title":"Journal of Cardiovascular Electrophysiology","DOI":"10.1111/jce.14660","ISSN":"1540-8167","issue":"10","language":"en","license":"© 2020 The Authors. Journal of Cardiovascular Electrophysiology published by Wiley Periodicals LLC","note":"_eprint: https://onlinelibrary.wiley.com/doi/pdf/10.1111/jce.14660","page":"2689-2695","source":"Wiley Online Library","title":"A novel open-source software-based high-precision workflow for target definition in cardiac radioablation","volume":"31","author":[{"family":"Hohmann","given":"Stephan"},{"family":"Henkenberens","given":"Christoph"},{"family":"Zormpas","given":"Christos"},{"family":"Christiansen","given":"Hans"},{"family":"Bauersachs","given":"Johann"},{"family":"Duncker","given":"David"},{"family":"Veltmann","given":"Christian"}],"issued":{"date-parts":[["2020"]]}}}],"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2</w:t>
      </w:r>
      <w:r w:rsidRPr="00356466">
        <w:rPr>
          <w:rFonts w:ascii="Times New Roman" w:hAnsi="Times New Roman" w:cs="Times New Roman"/>
          <w:lang w:val="en-US"/>
        </w:rPr>
        <w:fldChar w:fldCharType="end"/>
      </w:r>
      <w:r w:rsidRPr="00356466">
        <w:rPr>
          <w:rFonts w:ascii="Times New Roman" w:hAnsi="Times New Roman" w:cs="Times New Roman"/>
          <w:lang w:val="en-US"/>
        </w:rPr>
        <w:t xml:space="preserve"> written in Python 3.11 with the NumPy 1.26, VTK 9.31 and PyVista 0.45.2 libraries</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{"citationID":"cH7M7Skn","properties":{"formattedCitation":"\\super 1,3,4\\nosupersub{}","plainCitation":"1,3,4","noteIndex":0},"citationItems":[{"id":2079,"uris":["http://zotero.org/users/10836734/items/WQD99WR6"],"itemData":{"id":2079,"type":"book","ISBN":"978-1-930934-19-1","publisher":"Kitware","title":"The Visualization Toolkit (4th ed.)","author":[{"family":"Schroeder","given":"Will"},{"family":"Martin","given":"Ken"},{"family":"Lorensen","given":"Bill"}],"issued":{"date-parts":[["2006"]]}}},{"id":2082,"uris":["http://zotero.org/users/10836734/items/4GK7ZVAD"],"itemData":{"id":2082,"type":"article-journal","container-title":"Nature","DOI":"10.1038/s41586-020-2649-2","issue":"7825","note":"publisher: Springer Science and Business Media LLC","page":"357–362","title":"Array programming with NumPy","volume":"585","author":[{"family":"Harris","given":"Charles R."},{"family":"Millman","given":"K. Jarrod"},{"family":"Walt","given":"Stéfan J.","dropping-particle":"van der"},{"family":"Gommers","given":"Ralf"},{"family":"Virtanen","given":"Pauli"},{"family":"Cournapeau","given":"David"},{"family":"Wieser","given":"Eric"},{"family":"Taylor","given":"Julian"},{"family":"Berg","given":"Sebastian"},{"family":"Smith","given":"Nathaniel J."},{"family":"Kern","given":"Robert"},{"family":"Picus","given":"Matti"},{"family":"Hoyer","given":"Stephan"},{"family":"Kerkwijk","given":"Marten H.","dropping-particle":"van"},{"family":"Brett","given":"Matthew"},{"family":"Haldane","given":"Allan"},{"family":"Río","given":"Jaime Fernández","dropping-particle":"del"},{"family":"Wiebe","given":"Mark"},{"family":"Peterson","given":"Pearu"},{"family":"Gérard-Marchant","given":"Pierre"},{"family":"Sheppard","given":"Kevin"},{"family":"Reddy","given":"Tyler"},{"family":"Weckesser","given":"Warren"},{"family":"Abbasi","given":"Hameer"},{"family":"Gohlke","given":"Christoph"},{"family":"Oliphant","given":"Travis E."}],"issued":{"date-parts":[["2020",9]]}}},{"id":2083,"uris":["http://zotero.org/users/10836734/items/5D3BVLCC"],"itemData":{"id":2083,"type":"article-journal","container-title":"Journal of Open Source Software","DOI":"10.21105/joss.01450","issue":"37","note":"publisher: The Open Journal","page":"1450","title":"PyVista: 3D plotting and mesh analysis through a streamlined interface for the Visualization Toolkit (VTK)","volume":"4","author":[{"family":"Sullivan","given":"Bane"},{"family":"Kaszynski","given":"Alexander"}],"issued":{"date-parts":[["2019",5]]}}}],"schema":"https://github.com/citation-style-language/schema/raw/master/csl-citation.json"}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1,3,4</w:t>
      </w:r>
      <w:r w:rsidRPr="00356466">
        <w:rPr>
          <w:rFonts w:ascii="Times New Roman" w:hAnsi="Times New Roman" w:cs="Times New Roman"/>
          <w:lang w:val="en-US"/>
        </w:rPr>
        <w:fldChar w:fldCharType="end"/>
      </w:r>
      <w:r w:rsidRPr="00356466">
        <w:rPr>
          <w:rFonts w:ascii="Times New Roman" w:hAnsi="Times New Roman" w:cs="Times New Roman"/>
          <w:lang w:val="en-US"/>
        </w:rPr>
        <w:t>. 3D Late Gadolinium Enhancement (LGE) segmentations were converted to meshes in the segmentation software</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{"citationID":"6ZDX6Sln","properties":{"formattedCitation":"\\super 5\\nosupersub{}","plainCitation":"5","noteIndex":0},"citationItems":[{"id":1542,"uris":["http://zotero.org/users/10836734/items/8RZ8X5P8"],"itemData":{"id":1542,"type":"article-journal","abstract":"Personalised medicine is based on the principle that each body is unique and will respond to therapies differently. In cardiology, characterising patient specific cardiovascular properties would help in personalising care. One promising approach for characterising these properties relies on performing computational analysis of multimodal imaging data. An interactive cardiac imaging environment, which can seamlessly render, manipulate, derive calculations, and otherwise prototype research activities, is therefore sought-after. We developed the Cardiac Electro-Mechanics Research Group Application (CemrgApp) as a platform with custom image processing and computer vision toolkits for applying statistical, machine learning and simulation approaches to study physiology, pathology, diagnosis and treatment of the cardiovascular system. CemrgApp provides an integrated environment, where cardiac data visualisation and workflow prototyping are presented through a common graphical user interface.","container-title":"SoftwareX","DOI":"10.1016/j.softx.2020.100570","ISSN":"2352-7110","journalAbbreviation":"SoftwareX","page":"100570","source":"ScienceDirect","title":"CemrgApp: An interactive medical imaging application with image processing, computer vision, and machine learning toolkits for cardiovascular research","title-short":"CemrgApp","volume":"12","author":[{"family":"Razeghi","given":"Orod"},{"family":"Solís-Lemus","given":"José Alonso"},{"family":"Lee","given":"Angela W. C."},{"family":"Karim","given":"Rashed"},{"family":"Corrado","given":"Cesare"},{"family":"Roney","given":"Caroline H."},{"family":"Vecchi","given":"Adelaide","non-dropping-particle":"de"},{"family":"Niederer","given":"Steven A."}],"issued":{"date-parts":[["2020",7,1]]}}}],"schema":"https://github.com/citation-style-language/schema/raw/master/csl-citation.json"}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5</w:t>
      </w:r>
      <w:r w:rsidRPr="00356466">
        <w:rPr>
          <w:rFonts w:ascii="Times New Roman" w:hAnsi="Times New Roman" w:cs="Times New Roman"/>
          <w:lang w:val="en-US"/>
        </w:rPr>
        <w:fldChar w:fldCharType="end"/>
      </w:r>
      <w:r w:rsidRPr="00356466">
        <w:rPr>
          <w:rFonts w:ascii="Times New Roman" w:hAnsi="Times New Roman" w:cs="Times New Roman"/>
          <w:lang w:val="en-US"/>
        </w:rPr>
        <w:t xml:space="preserve"> (Appendix Figure 1 A) and co-registered rigidly with the electroanatomic mapping mesh using the iterative closest point (ICP) algorithm (Appendix Figure 1 B).  ICP was initialized using the meshes’ </w:t>
      </w:r>
      <w:proofErr w:type="spellStart"/>
      <w:r w:rsidRPr="00356466">
        <w:rPr>
          <w:rFonts w:ascii="Times New Roman" w:hAnsi="Times New Roman" w:cs="Times New Roman"/>
          <w:lang w:val="en-US"/>
        </w:rPr>
        <w:t>centres</w:t>
      </w:r>
      <w:proofErr w:type="spellEnd"/>
      <w:r w:rsidRPr="00356466">
        <w:rPr>
          <w:rFonts w:ascii="Times New Roman" w:hAnsi="Times New Roman" w:cs="Times New Roman"/>
          <w:lang w:val="en-US"/>
        </w:rPr>
        <w:t xml:space="preserve"> of mass</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{"citationID":"XEPuvnMA","properties":{"formattedCitation":"\\super 4\\nosupersub{}","plainCitation":"4","noteIndex":0},"citationItems":[{"id":2083,"uris":["http://zotero.org/users/10836734/items/5D3BVLCC"],"itemData":{"id":2083,"type":"article-journal","container-title":"Journal of Open Source Software","DOI":"10.21105/joss.01450","issue":"37","note":"publisher: The Open Journal","page":"1450","title":"PyVista: 3D plotting and mesh analysis through a streamlined interface for the Visualization Toolkit (VTK)","volume":"4","author":[{"family":"Sullivan","given":"Bane"},{"family":"Kaszynski","given":"Alexander"}],"issued":{"date-parts":[["2019",5]]}}}],"schema":"https://github.com/citation-style-language/schema/raw/master/csl-citation.json"}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4</w:t>
      </w:r>
      <w:r w:rsidRPr="00356466">
        <w:rPr>
          <w:rFonts w:ascii="Times New Roman" w:hAnsi="Times New Roman" w:cs="Times New Roman"/>
          <w:lang w:val="en-US"/>
        </w:rPr>
        <w:fldChar w:fldCharType="end"/>
      </w:r>
      <w:r w:rsidRPr="00356466">
        <w:rPr>
          <w:rFonts w:ascii="Times New Roman" w:hAnsi="Times New Roman" w:cs="Times New Roman"/>
          <w:lang w:val="en-US"/>
        </w:rPr>
        <w:t>. Rigid alignment alone left residual misalignment, particularly in the atrial roof (Appendix Figure 1 B, yellow arrows). To address this, non-rigid registration was performed using as-rigid-as-possible surface (ARAP) deformation</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{"citationID":"jRd33Mts","properties":{"formattedCitation":"\\super 6\\nosupersub{}","plainCitation":"6","noteIndex":0},"citationItems":[{"id":1910,"uris":["http://zotero.org/users/10836734/items/ZFZDSXM2"],"itemData":{"id":1910,"type":"paper-conference","abstract":"Modeling tasks, such as surface deformation and editing, can be analyzed by observing the local behavior of the surface. We argue that defining a modeling operation by asking for rigidity of the local transformations is useful in various settings. Such formulation leads to a non-linear, yet conceptually simple energy formulation, which is to be minimized by the deformed surface under particular modeling constraints. We devise a simple iterative mesh editing scheme based on this principle, that leads to detail-preserving and intuitive deformations. Our algorithm is effective and notably easy to implement, making it attractive for practical modeling applications.","collection-title":"SGP '07","container-title":"Proceedings of the Fifth Eurographics Symposium on Geometry Processing","event-place":"Goslar, DEU","ISBN":"978-3-905673-46-3","note":"event-place: Barcelona, Spain","page":"109–116","publisher":"Eurographics Association","publisher-place":"Goslar, DEU","title":"As-rigid-as-possible surface modeling","author":[{"family":"Sorkine","given":"Olga"},{"family":"Alexa","given":"Marc"}],"issued":{"date-parts":[["2007"]]}}}],"schema":"https://github.com/citation-style-language/schema/raw/master/csl-citation.json"}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6</w:t>
      </w:r>
      <w:r w:rsidRPr="00356466">
        <w:rPr>
          <w:rFonts w:ascii="Times New Roman" w:hAnsi="Times New Roman" w:cs="Times New Roman"/>
          <w:lang w:val="en-US"/>
        </w:rPr>
        <w:fldChar w:fldCharType="end"/>
      </w:r>
      <w:r w:rsidRPr="00356466">
        <w:rPr>
          <w:rFonts w:ascii="Times New Roman" w:hAnsi="Times New Roman" w:cs="Times New Roman"/>
          <w:lang w:val="en-US"/>
        </w:rPr>
        <w:t xml:space="preserve"> with correspondence pairs based on closest points between the two meshes (Appendix Figure 1 C). Only corresponding vertices within a distance of &lt;5mm</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{"citationID":"1WFKaRzq","properties":{"formattedCitation":"\\super 7\\nosupersub{}","plainCitation":"7","noteIndex":0},"citationItems":[{"id":2087,"uris":["http://zotero.org/users/10836734/items/Z8XJ8BTR"],"itemData":{"id":2087,"type":"article-journal","abstract":"Purpose\n\nTo provide an overview of existing literature on the association between late gadolinium enhancement (LGE) cardiac MRI and low voltage areas (LVA) obtained with electroanatomic mapping (EAM) or histopathology when assessing atrial fibrosis.\n\nMaterials and Methods\n\nA systematic literature search was conducted in the PubMed, Embase, and Cochrane Library databases to identify all studies published until June 7, 2022, comparing LGE cardiac MRI to LVA EAM and/or histopathology for evaluation of atrial fibrosis. The study protocol was registered at PROSPERO (registration no. CRD42022338243). Two reviewers independently evaluated the studies for inclusion. Risk of bias and applicability for each included study were assessed using Quality Assessment of Diagnostic Accuracy Studies–2 (QUADAS-2) criteria. Data regarding demographics, electrophysiology, LGE cardiac MRI, and study outcomes were extracted.\n\nResults\n\nThe search yielded 1048 total results, of which 22 studies were included. Nineteen of the 22 included studies reported a significant correlation between high signal intensity at LGE cardiac MRI and LVA EAM or histopathology. However, there was great heterogeneity between included studies regarding study design, patient samples, cardiac MRI performance and postprocessing, and EAM performance.\n\nConclusion\n\nCurrent literature suggests a correlation between LGE cardiac MRI and LVA EAM or histopathology when evaluating atrial fibrosis but high heterogeneity between studies, demonstrating the need for uniform choices regarding cardiac MRI and EAM acquisition in future studies.\n\nKeywords: Cardiac, MR Imaging, Left Atrium\n\nSupplemental material is available for this article.\n\n© RSNA, 2022","container-title":"Radiology: Cardiothoracic Imaging","DOI":"10.1148/ryct.220061","issue":"5","note":"publisher: Radiological Society of North America","page":"e220061","source":"pubs.rsna.org (Atypon)","title":"Correlation between Cardiac MRI and Voltage Mapping in Evaluating                     Atrial Fibrosis: A Systematic Review","title-short":"Correlation between Cardiac MRI and Voltage Mapping in Evaluating                     Atrial Fibrosis","volume":"4","author":[{"family":"Bijvoet","given":"Geertruida                             P."},{"family":"Nies","given":"Hedwig M. J.                             M."},{"family":"Holtackers","given":"Robert                             J."},{"family":"Linz","given":"Dominik"},{"family":"Adriaans","given":"Bouke                             P."},{"family":"Nijveldt","given":"Robin"},{"family":"Wildberger","given":"Joachim                             E."},{"family":"Vernooy","given":"Kevin"},{"family":"Chaldoupi","given":"Sevasti-Maria"},{"family":"Mihl","given":"Casper"}],"issued":{"date-parts":[["2022",10]]}}}],"schema":"https://github.com/citation-style-language/schema/raw/master/csl-citation.json"}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7</w:t>
      </w:r>
      <w:r w:rsidRPr="00356466">
        <w:rPr>
          <w:rFonts w:ascii="Times New Roman" w:hAnsi="Times New Roman" w:cs="Times New Roman"/>
          <w:lang w:val="en-US"/>
        </w:rPr>
        <w:fldChar w:fldCharType="end"/>
      </w:r>
      <w:r w:rsidRPr="00356466">
        <w:rPr>
          <w:rFonts w:ascii="Times New Roman" w:hAnsi="Times New Roman" w:cs="Times New Roman"/>
          <w:lang w:val="en-US"/>
        </w:rPr>
        <w:t xml:space="preserve"> were included in the registration. Following registration, LGE-Image Intensity Ratio (IIR) samples within a radius of 5mm of EAM samples were combined linearly using weights determined by a Wendland weighting function</w:t>
      </w: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ZOTERO_ITEM CSL_CITATION {"citationID":"EjWsMcyR","properties":{"formattedCitation":"\\super 8\\nosupersub{}","plainCitation":"8","noteIndex":0},"citationItems":[{"id":2077,"uris":["http://zotero.org/users/10836734/items/I2J7IJU6"],"itemData":{"id":2077,"type":"article-journal","abstract":"Local polynomial reproduction is a key ingredient in providing error estimates for several approximation methods. To bound the Lebesgue constants is a hard task especially in a multivariate setting. We provide a result which allows us to bound the Lebesgue constants uniformly and independently of the space dimension by oversampling. We get explicit and small bounds for the Lebesgue constants. Moreover, we use these results to establish error estimates for the moving least squares approximation scheme, also with special emphasis on the involved constants. We discuss the numerical treatment of the method and analyse its effort. Finally, we give large scale examples.","container-title":"IMA Journal of Numerical Analysis","DOI":"10.1093/imanum/21.1.285","ISSN":"0272-4979","issue":"1","journalAbbreviation":"IMA J Numer Anal","page":"285-300","source":"Silverchair","title":"Local polynomial reproduction and moving least squares approximation","volume":"21","author":[{"family":"Wendland","given":"Holger"}],"issued":{"date-parts":[["2001",1,1]]}}}],"schema":"https://github.com/citation-style-language/schema/raw/master/csl-citation.json"} </w:instrText>
      </w:r>
      <w:r w:rsidRPr="00356466">
        <w:rPr>
          <w:rFonts w:ascii="Times New Roman" w:hAnsi="Times New Roman" w:cs="Times New Roman"/>
          <w:lang w:val="en-US"/>
        </w:rPr>
        <w:fldChar w:fldCharType="separate"/>
      </w:r>
      <w:r w:rsidRPr="00356466">
        <w:rPr>
          <w:rFonts w:ascii="Times New Roman" w:hAnsi="Times New Roman" w:cs="Times New Roman"/>
          <w:kern w:val="0"/>
          <w:vertAlign w:val="superscript"/>
          <w:lang w:val="en-GB"/>
        </w:rPr>
        <w:t>8</w:t>
      </w:r>
      <w:r w:rsidRPr="00356466">
        <w:rPr>
          <w:rFonts w:ascii="Times New Roman" w:hAnsi="Times New Roman" w:cs="Times New Roman"/>
          <w:lang w:val="en-US"/>
        </w:rPr>
        <w:fldChar w:fldCharType="end"/>
      </w:r>
      <w:r w:rsidRPr="00356466">
        <w:rPr>
          <w:rFonts w:ascii="Times New Roman" w:hAnsi="Times New Roman" w:cs="Times New Roman"/>
          <w:lang w:val="en-US"/>
        </w:rPr>
        <w:t xml:space="preserve"> to </w:t>
      </w:r>
      <w:proofErr w:type="spellStart"/>
      <w:r w:rsidRPr="00356466">
        <w:rPr>
          <w:rFonts w:ascii="Times New Roman" w:hAnsi="Times New Roman" w:cs="Times New Roman"/>
          <w:lang w:val="en-US"/>
        </w:rPr>
        <w:t>analyse</w:t>
      </w:r>
      <w:proofErr w:type="spellEnd"/>
      <w:r w:rsidRPr="00356466">
        <w:rPr>
          <w:rFonts w:ascii="Times New Roman" w:hAnsi="Times New Roman" w:cs="Times New Roman"/>
          <w:lang w:val="en-US"/>
        </w:rPr>
        <w:t xml:space="preserve"> the correspondence between LGE and EAM.</w:t>
      </w:r>
      <w:r w:rsidR="00386274">
        <w:rPr>
          <w:rFonts w:ascii="Times New Roman" w:hAnsi="Times New Roman" w:cs="Times New Roman"/>
          <w:lang w:val="en-US"/>
        </w:rPr>
        <w:t xml:space="preserve"> </w:t>
      </w:r>
      <w:r w:rsidR="00386274" w:rsidRPr="00386274">
        <w:rPr>
          <w:lang w:val="en-GB"/>
        </w:rPr>
        <w:t xml:space="preserve">To evaluate registration quality, average surface distance (ASD) was calculated after both the rigid and non-rigid registration steps for the total left atrial surface and posterior wall. </w:t>
      </w:r>
      <w:r w:rsidR="00482EF8">
        <w:rPr>
          <w:lang w:val="en-GB"/>
        </w:rPr>
        <w:t>Q</w:t>
      </w:r>
      <w:r w:rsidR="00386274" w:rsidRPr="00386274">
        <w:rPr>
          <w:lang w:val="en-GB"/>
        </w:rPr>
        <w:t xml:space="preserve">uantitative assessment of the image registration pipeline demonstrated average surface distances in the range of 1–2 voxels for both the total left atrial surface and posterior wall, supporting adequate spatial alignment between LGE and </w:t>
      </w:r>
      <w:proofErr w:type="spellStart"/>
      <w:r w:rsidR="00386274" w:rsidRPr="00386274">
        <w:rPr>
          <w:lang w:val="en-GB"/>
        </w:rPr>
        <w:t>electroanatomical</w:t>
      </w:r>
      <w:proofErr w:type="spellEnd"/>
      <w:r w:rsidR="00386274" w:rsidRPr="00386274">
        <w:rPr>
          <w:lang w:val="en-GB"/>
        </w:rPr>
        <w:t xml:space="preserve"> mapping datasets.</w:t>
      </w:r>
    </w:p>
    <w:p w14:paraId="00FA3429" w14:textId="77777777" w:rsidR="00441D08" w:rsidRPr="00356466" w:rsidRDefault="00441D08" w:rsidP="00356466">
      <w:pPr>
        <w:spacing w:line="360" w:lineRule="auto"/>
        <w:rPr>
          <w:rFonts w:ascii="Times New Roman" w:hAnsi="Times New Roman" w:cs="Times New Roman"/>
          <w:b/>
          <w:bCs/>
          <w:lang w:val="en-US"/>
        </w:rPr>
      </w:pPr>
    </w:p>
    <w:p w14:paraId="07B784B8" w14:textId="77777777" w:rsidR="00441D08" w:rsidRPr="00356466" w:rsidRDefault="00441D08" w:rsidP="00356466">
      <w:pPr>
        <w:spacing w:line="360" w:lineRule="auto"/>
        <w:rPr>
          <w:rFonts w:ascii="Times New Roman" w:hAnsi="Times New Roman" w:cs="Times New Roman"/>
          <w:b/>
          <w:bCs/>
          <w:lang w:val="en-US"/>
        </w:rPr>
      </w:pPr>
    </w:p>
    <w:p w14:paraId="3778725F" w14:textId="2FDB6FD2" w:rsidR="00E8387C" w:rsidRPr="00356466" w:rsidRDefault="00E8387C" w:rsidP="00356466">
      <w:pPr>
        <w:spacing w:line="360" w:lineRule="auto"/>
        <w:jc w:val="center"/>
        <w:rPr>
          <w:rFonts w:ascii="Times New Roman" w:hAnsi="Times New Roman" w:cs="Times New Roman"/>
          <w:b/>
          <w:bCs/>
          <w:lang w:val="en-US"/>
        </w:rPr>
      </w:pPr>
      <w:r w:rsidRPr="00356466">
        <w:rPr>
          <w:rFonts w:ascii="Times New Roman" w:hAnsi="Times New Roman" w:cs="Times New Roman"/>
          <w:b/>
          <w:bCs/>
          <w:noProof/>
          <w:lang w:val="en-US"/>
        </w:rPr>
        <w:lastRenderedPageBreak/>
        <w:drawing>
          <wp:inline distT="0" distB="0" distL="0" distR="0" wp14:anchorId="105D8AD5" wp14:editId="146AEB84">
            <wp:extent cx="4894072" cy="6917635"/>
            <wp:effectExtent l="0" t="0" r="0" b="4445"/>
            <wp:docPr id="107149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93582" name="Picture 10714935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5803" cy="7132102"/>
                    </a:xfrm>
                    <a:prstGeom prst="rect">
                      <a:avLst/>
                    </a:prstGeom>
                  </pic:spPr>
                </pic:pic>
              </a:graphicData>
            </a:graphic>
          </wp:inline>
        </w:drawing>
      </w:r>
    </w:p>
    <w:p w14:paraId="256ED4E2" w14:textId="010B6449" w:rsidR="009966B1" w:rsidRPr="00356466" w:rsidRDefault="00356466" w:rsidP="00356466">
      <w:pPr>
        <w:spacing w:line="360" w:lineRule="auto"/>
        <w:rPr>
          <w:rFonts w:ascii="Times New Roman" w:hAnsi="Times New Roman" w:cs="Times New Roman"/>
          <w:b/>
          <w:bCs/>
          <w:sz w:val="22"/>
          <w:szCs w:val="22"/>
          <w:u w:val="single"/>
          <w:lang w:val="en-US"/>
        </w:rPr>
      </w:pPr>
      <w:r w:rsidRPr="00356466">
        <w:rPr>
          <w:rFonts w:ascii="Times New Roman" w:hAnsi="Times New Roman" w:cs="Times New Roman"/>
          <w:b/>
          <w:bCs/>
          <w:sz w:val="22"/>
          <w:szCs w:val="22"/>
          <w:u w:val="single"/>
          <w:lang w:val="en-US"/>
        </w:rPr>
        <w:t>Supplement</w:t>
      </w:r>
      <w:r w:rsidR="00957577" w:rsidRPr="00356466">
        <w:rPr>
          <w:rFonts w:ascii="Times New Roman" w:hAnsi="Times New Roman" w:cs="Times New Roman"/>
          <w:b/>
          <w:bCs/>
          <w:sz w:val="22"/>
          <w:szCs w:val="22"/>
          <w:u w:val="single"/>
          <w:lang w:val="en-US"/>
        </w:rPr>
        <w:t xml:space="preserve"> Figure </w:t>
      </w:r>
      <w:r w:rsidR="00441D08" w:rsidRPr="00356466">
        <w:rPr>
          <w:rFonts w:ascii="Times New Roman" w:hAnsi="Times New Roman" w:cs="Times New Roman"/>
          <w:b/>
          <w:bCs/>
          <w:sz w:val="22"/>
          <w:szCs w:val="22"/>
          <w:u w:val="single"/>
          <w:lang w:val="en-US"/>
        </w:rPr>
        <w:t>1</w:t>
      </w:r>
    </w:p>
    <w:p w14:paraId="427E8A56" w14:textId="544FDD4C" w:rsidR="009433A1" w:rsidRPr="00356466" w:rsidRDefault="00EB67AA" w:rsidP="00356466">
      <w:pPr>
        <w:spacing w:line="360" w:lineRule="auto"/>
        <w:rPr>
          <w:rFonts w:ascii="Times New Roman" w:hAnsi="Times New Roman" w:cs="Times New Roman"/>
          <w:sz w:val="22"/>
          <w:szCs w:val="22"/>
          <w:lang w:val="en-US"/>
        </w:rPr>
      </w:pPr>
      <w:r w:rsidRPr="00356466">
        <w:rPr>
          <w:rFonts w:ascii="Times New Roman" w:hAnsi="Times New Roman" w:cs="Times New Roman"/>
          <w:sz w:val="22"/>
          <w:szCs w:val="22"/>
          <w:lang w:val="en-US"/>
        </w:rPr>
        <w:t>A</w:t>
      </w:r>
      <w:r w:rsidR="009433A1" w:rsidRPr="00356466">
        <w:rPr>
          <w:rFonts w:ascii="Times New Roman" w:hAnsi="Times New Roman" w:cs="Times New Roman"/>
          <w:sz w:val="22"/>
          <w:szCs w:val="22"/>
          <w:lang w:val="en-US"/>
        </w:rPr>
        <w:t xml:space="preserve"> left</w:t>
      </w:r>
      <w:r w:rsidRPr="00356466">
        <w:rPr>
          <w:rFonts w:ascii="Times New Roman" w:hAnsi="Times New Roman" w:cs="Times New Roman"/>
          <w:sz w:val="22"/>
          <w:szCs w:val="22"/>
          <w:lang w:val="en-US"/>
        </w:rPr>
        <w:t xml:space="preserve">: </w:t>
      </w:r>
      <w:r w:rsidR="009433A1" w:rsidRPr="00356466">
        <w:rPr>
          <w:rFonts w:ascii="Times New Roman" w:hAnsi="Times New Roman" w:cs="Times New Roman"/>
          <w:sz w:val="22"/>
          <w:szCs w:val="22"/>
          <w:lang w:val="en-US"/>
        </w:rPr>
        <w:t>R</w:t>
      </w:r>
      <w:r w:rsidR="005F74EA" w:rsidRPr="00356466">
        <w:rPr>
          <w:rFonts w:ascii="Times New Roman" w:hAnsi="Times New Roman" w:cs="Times New Roman"/>
          <w:sz w:val="22"/>
          <w:szCs w:val="22"/>
          <w:lang w:val="en-US"/>
        </w:rPr>
        <w:t xml:space="preserve">econstruction </w:t>
      </w:r>
      <w:r w:rsidRPr="00356466">
        <w:rPr>
          <w:rFonts w:ascii="Times New Roman" w:hAnsi="Times New Roman" w:cs="Times New Roman"/>
          <w:sz w:val="22"/>
          <w:szCs w:val="22"/>
          <w:lang w:val="en-US"/>
        </w:rPr>
        <w:t xml:space="preserve">of </w:t>
      </w:r>
      <w:r w:rsidR="00957577" w:rsidRPr="00356466">
        <w:rPr>
          <w:rFonts w:ascii="Times New Roman" w:hAnsi="Times New Roman" w:cs="Times New Roman"/>
          <w:sz w:val="22"/>
          <w:szCs w:val="22"/>
          <w:lang w:val="en-US"/>
        </w:rPr>
        <w:t>3D Late Gadolinium Enhancement</w:t>
      </w:r>
      <w:r w:rsidRPr="00356466">
        <w:rPr>
          <w:rFonts w:ascii="Times New Roman" w:hAnsi="Times New Roman" w:cs="Times New Roman"/>
          <w:sz w:val="22"/>
          <w:szCs w:val="22"/>
          <w:lang w:val="en-US"/>
        </w:rPr>
        <w:t xml:space="preserve"> (LGE)</w:t>
      </w:r>
      <w:r w:rsidR="00957577" w:rsidRPr="00356466">
        <w:rPr>
          <w:rFonts w:ascii="Times New Roman" w:hAnsi="Times New Roman" w:cs="Times New Roman"/>
          <w:sz w:val="22"/>
          <w:szCs w:val="22"/>
          <w:lang w:val="en-US"/>
        </w:rPr>
        <w:t xml:space="preserve"> surface shell</w:t>
      </w:r>
      <w:r w:rsidR="009433A1" w:rsidRPr="00356466">
        <w:rPr>
          <w:rFonts w:ascii="Times New Roman" w:hAnsi="Times New Roman" w:cs="Times New Roman"/>
          <w:sz w:val="22"/>
          <w:szCs w:val="22"/>
          <w:lang w:val="en-US"/>
        </w:rPr>
        <w:t xml:space="preserve">. Image </w:t>
      </w:r>
      <w:proofErr w:type="spellStart"/>
      <w:r w:rsidR="009433A1" w:rsidRPr="00356466">
        <w:rPr>
          <w:rFonts w:ascii="Times New Roman" w:hAnsi="Times New Roman" w:cs="Times New Roman"/>
          <w:sz w:val="22"/>
          <w:szCs w:val="22"/>
          <w:lang w:val="en-US"/>
        </w:rPr>
        <w:t>Intesity</w:t>
      </w:r>
      <w:proofErr w:type="spellEnd"/>
      <w:r w:rsidR="009433A1" w:rsidRPr="00356466">
        <w:rPr>
          <w:rFonts w:ascii="Times New Roman" w:hAnsi="Times New Roman" w:cs="Times New Roman"/>
          <w:sz w:val="22"/>
          <w:szCs w:val="22"/>
          <w:lang w:val="en-US"/>
        </w:rPr>
        <w:t xml:space="preserve"> Ratio (IIR) values &gt;1.34 indicating fibrosis on LGE marked in red. A Right: export of bipolar Electroanatomic mapping (EAM), Voltages &lt;0.5mV marked in red</w:t>
      </w:r>
      <w:r w:rsidRPr="00356466">
        <w:rPr>
          <w:rFonts w:ascii="Times New Roman" w:hAnsi="Times New Roman" w:cs="Times New Roman"/>
          <w:sz w:val="22"/>
          <w:szCs w:val="22"/>
          <w:lang w:val="en-US"/>
        </w:rPr>
        <w:t xml:space="preserve">. Red dots denote ablation sites. </w:t>
      </w:r>
    </w:p>
    <w:p w14:paraId="42B2CB3E" w14:textId="04657574" w:rsidR="00CD5155" w:rsidRPr="00356466" w:rsidRDefault="00EB67AA" w:rsidP="00356466">
      <w:pPr>
        <w:spacing w:line="360" w:lineRule="auto"/>
        <w:rPr>
          <w:rFonts w:ascii="Times New Roman" w:hAnsi="Times New Roman" w:cs="Times New Roman"/>
          <w:sz w:val="22"/>
          <w:szCs w:val="22"/>
          <w:lang w:val="en-US"/>
        </w:rPr>
      </w:pPr>
      <w:r w:rsidRPr="00356466">
        <w:rPr>
          <w:rFonts w:ascii="Times New Roman" w:hAnsi="Times New Roman" w:cs="Times New Roman"/>
          <w:sz w:val="22"/>
          <w:szCs w:val="22"/>
          <w:lang w:val="en-US"/>
        </w:rPr>
        <w:t xml:space="preserve">B: </w:t>
      </w:r>
      <w:r w:rsidR="009433A1" w:rsidRPr="00356466">
        <w:rPr>
          <w:rFonts w:ascii="Times New Roman" w:hAnsi="Times New Roman" w:cs="Times New Roman"/>
          <w:sz w:val="22"/>
          <w:szCs w:val="22"/>
          <w:lang w:val="en-US"/>
        </w:rPr>
        <w:t>R</w:t>
      </w:r>
      <w:r w:rsidR="009966B1" w:rsidRPr="00356466">
        <w:rPr>
          <w:rFonts w:ascii="Times New Roman" w:hAnsi="Times New Roman" w:cs="Times New Roman"/>
          <w:sz w:val="22"/>
          <w:szCs w:val="22"/>
          <w:lang w:val="en-US"/>
        </w:rPr>
        <w:t xml:space="preserve">esidual misalignment between the meshes </w:t>
      </w:r>
      <w:r w:rsidRPr="00356466">
        <w:rPr>
          <w:rFonts w:ascii="Times New Roman" w:hAnsi="Times New Roman" w:cs="Times New Roman"/>
          <w:sz w:val="22"/>
          <w:szCs w:val="22"/>
          <w:lang w:val="en-US"/>
        </w:rPr>
        <w:t xml:space="preserve">after initial rigid registration </w:t>
      </w:r>
      <w:r w:rsidR="009433A1" w:rsidRPr="00356466">
        <w:rPr>
          <w:rFonts w:ascii="Times New Roman" w:hAnsi="Times New Roman" w:cs="Times New Roman"/>
          <w:sz w:val="22"/>
          <w:szCs w:val="22"/>
          <w:lang w:val="en-US"/>
        </w:rPr>
        <w:t xml:space="preserve">using the iterative closest points algorithm (ICP) </w:t>
      </w:r>
      <w:r w:rsidRPr="00356466">
        <w:rPr>
          <w:rFonts w:ascii="Times New Roman" w:hAnsi="Times New Roman" w:cs="Times New Roman"/>
          <w:sz w:val="22"/>
          <w:szCs w:val="22"/>
          <w:lang w:val="en-US"/>
        </w:rPr>
        <w:t xml:space="preserve">indicated by </w:t>
      </w:r>
      <w:r w:rsidR="009966B1" w:rsidRPr="00356466">
        <w:rPr>
          <w:rFonts w:ascii="Times New Roman" w:hAnsi="Times New Roman" w:cs="Times New Roman"/>
          <w:sz w:val="22"/>
          <w:szCs w:val="22"/>
          <w:lang w:val="en-US"/>
        </w:rPr>
        <w:t>yellow arrows</w:t>
      </w:r>
      <w:r w:rsidRPr="00356466">
        <w:rPr>
          <w:rFonts w:ascii="Times New Roman" w:hAnsi="Times New Roman" w:cs="Times New Roman"/>
          <w:sz w:val="22"/>
          <w:szCs w:val="22"/>
          <w:lang w:val="en-US"/>
        </w:rPr>
        <w:t>.</w:t>
      </w:r>
      <w:r w:rsidR="009966B1" w:rsidRPr="00356466">
        <w:rPr>
          <w:rFonts w:ascii="Times New Roman" w:hAnsi="Times New Roman" w:cs="Times New Roman"/>
          <w:sz w:val="22"/>
          <w:szCs w:val="22"/>
          <w:lang w:val="en-US"/>
        </w:rPr>
        <w:t xml:space="preserve"> C: </w:t>
      </w:r>
      <w:r w:rsidR="009433A1" w:rsidRPr="00356466">
        <w:rPr>
          <w:rFonts w:ascii="Times New Roman" w:hAnsi="Times New Roman" w:cs="Times New Roman"/>
          <w:sz w:val="22"/>
          <w:szCs w:val="22"/>
          <w:lang w:val="en-US"/>
        </w:rPr>
        <w:t>N</w:t>
      </w:r>
      <w:r w:rsidR="009966B1" w:rsidRPr="00356466">
        <w:rPr>
          <w:rFonts w:ascii="Times New Roman" w:hAnsi="Times New Roman" w:cs="Times New Roman"/>
          <w:sz w:val="22"/>
          <w:szCs w:val="22"/>
          <w:lang w:val="en-US"/>
        </w:rPr>
        <w:t xml:space="preserve">-rigid registration </w:t>
      </w:r>
      <w:r w:rsidR="00F427FD" w:rsidRPr="00356466">
        <w:rPr>
          <w:rFonts w:ascii="Times New Roman" w:hAnsi="Times New Roman" w:cs="Times New Roman"/>
          <w:sz w:val="22"/>
          <w:szCs w:val="22"/>
          <w:lang w:val="en-US"/>
        </w:rPr>
        <w:t xml:space="preserve">using as-rigid-as-possible surface deformation </w:t>
      </w:r>
      <w:r w:rsidR="009433A1" w:rsidRPr="00356466">
        <w:rPr>
          <w:rFonts w:ascii="Times New Roman" w:hAnsi="Times New Roman" w:cs="Times New Roman"/>
          <w:sz w:val="22"/>
          <w:szCs w:val="22"/>
          <w:lang w:val="en-US"/>
        </w:rPr>
        <w:t xml:space="preserve">addressed this, </w:t>
      </w:r>
      <w:r w:rsidRPr="00356466">
        <w:rPr>
          <w:rFonts w:ascii="Times New Roman" w:hAnsi="Times New Roman" w:cs="Times New Roman"/>
          <w:sz w:val="22"/>
          <w:szCs w:val="22"/>
          <w:lang w:val="en-US"/>
        </w:rPr>
        <w:t xml:space="preserve">indicated by </w:t>
      </w:r>
      <w:r w:rsidR="009966B1" w:rsidRPr="00356466">
        <w:rPr>
          <w:rFonts w:ascii="Times New Roman" w:hAnsi="Times New Roman" w:cs="Times New Roman"/>
          <w:sz w:val="22"/>
          <w:szCs w:val="22"/>
          <w:lang w:val="en-US"/>
        </w:rPr>
        <w:t>green arrows.</w:t>
      </w:r>
    </w:p>
    <w:p w14:paraId="602BE11D" w14:textId="77777777" w:rsidR="00CD5155" w:rsidRPr="00356466" w:rsidRDefault="00CD5155" w:rsidP="00356466">
      <w:pPr>
        <w:spacing w:line="360" w:lineRule="auto"/>
        <w:rPr>
          <w:rFonts w:ascii="Times New Roman" w:hAnsi="Times New Roman" w:cs="Times New Roman"/>
          <w:u w:val="single"/>
          <w:lang w:val="en-US"/>
        </w:rPr>
      </w:pPr>
      <w:r w:rsidRPr="00356466">
        <w:rPr>
          <w:rFonts w:ascii="Times New Roman" w:hAnsi="Times New Roman" w:cs="Times New Roman"/>
          <w:u w:val="single"/>
          <w:lang w:val="en-US"/>
        </w:rPr>
        <w:lastRenderedPageBreak/>
        <w:t>Electro-anatomical mapping settings</w:t>
      </w:r>
    </w:p>
    <w:p w14:paraId="0E67FC57" w14:textId="07E70C26" w:rsidR="00CD5155" w:rsidRPr="00356466" w:rsidRDefault="00CD5155" w:rsidP="00356466">
      <w:pPr>
        <w:spacing w:line="360" w:lineRule="auto"/>
        <w:rPr>
          <w:rFonts w:ascii="Times New Roman" w:hAnsi="Times New Roman" w:cs="Times New Roman"/>
          <w:lang w:val="en-US"/>
        </w:rPr>
      </w:pPr>
      <w:r w:rsidRPr="00356466">
        <w:rPr>
          <w:rFonts w:ascii="Times New Roman" w:hAnsi="Times New Roman" w:cs="Times New Roman"/>
          <w:lang w:val="en-US"/>
        </w:rPr>
        <w:t xml:space="preserve">Bipolar endocardial LA voltage maps (mean </w:t>
      </w:r>
      <w:r w:rsidR="00974F98">
        <w:rPr>
          <w:rFonts w:ascii="Times New Roman" w:hAnsi="Times New Roman" w:cs="Times New Roman"/>
          <w:lang w:val="en-GB"/>
        </w:rPr>
        <w:t>1032 ± 562 sites</w:t>
      </w:r>
      <w:r w:rsidRPr="00356466">
        <w:rPr>
          <w:rFonts w:ascii="Times New Roman" w:hAnsi="Times New Roman" w:cs="Times New Roman"/>
          <w:lang w:val="en-US"/>
        </w:rPr>
        <w:t xml:space="preserve">) were acquired in sinus rhythm prior to catheter ablation using either a Lasso-Nav in 18 patients or a </w:t>
      </w:r>
      <w:proofErr w:type="spellStart"/>
      <w:r w:rsidRPr="00356466">
        <w:rPr>
          <w:rFonts w:ascii="Times New Roman" w:hAnsi="Times New Roman" w:cs="Times New Roman"/>
          <w:lang w:val="en-US"/>
        </w:rPr>
        <w:t>Pentaray</w:t>
      </w:r>
      <w:proofErr w:type="spellEnd"/>
      <w:r w:rsidRPr="00356466">
        <w:rPr>
          <w:rFonts w:ascii="Times New Roman" w:hAnsi="Times New Roman" w:cs="Times New Roman"/>
          <w:lang w:val="en-US"/>
        </w:rPr>
        <w:t xml:space="preserve"> diagnostic mapping catheter (</w:t>
      </w:r>
      <w:proofErr w:type="spellStart"/>
      <w:r w:rsidRPr="00356466">
        <w:rPr>
          <w:rFonts w:ascii="Times New Roman" w:hAnsi="Times New Roman" w:cs="Times New Roman"/>
          <w:i/>
          <w:iCs/>
          <w:lang w:val="en-US"/>
        </w:rPr>
        <w:t>Biosense</w:t>
      </w:r>
      <w:proofErr w:type="spellEnd"/>
      <w:r w:rsidRPr="00356466">
        <w:rPr>
          <w:rFonts w:ascii="Times New Roman" w:hAnsi="Times New Roman" w:cs="Times New Roman"/>
          <w:i/>
          <w:iCs/>
          <w:lang w:val="en-US"/>
        </w:rPr>
        <w:t xml:space="preserve"> Webster, Diamond Bar, CA) </w:t>
      </w:r>
      <w:r w:rsidRPr="00356466">
        <w:rPr>
          <w:rFonts w:ascii="Times New Roman" w:hAnsi="Times New Roman" w:cs="Times New Roman"/>
          <w:lang w:val="en-US"/>
        </w:rPr>
        <w:t>in 10 patients in combination with the endocardial mapping system CARTO-3. Patients presenting in AF were cardioverted into sinus rhythm if necessary. We aimed to acquire a point density of min. 700 points evenly covering the entire LA (posterior, anterior, septal, lateral walls, pulmonary vein ostia, LA appendage ostium, inferior wall/“LA floor”). The following settings were used:</w:t>
      </w:r>
    </w:p>
    <w:p w14:paraId="4648512C" w14:textId="77777777" w:rsidR="00CD5155" w:rsidRPr="00356466" w:rsidRDefault="00CD5155" w:rsidP="00356466">
      <w:pPr>
        <w:spacing w:line="360" w:lineRule="auto"/>
        <w:rPr>
          <w:rFonts w:ascii="Times New Roman" w:hAnsi="Times New Roman" w:cs="Times New Roman"/>
          <w:b/>
          <w:bCs/>
          <w:u w:val="single"/>
          <w:lang w:val="en-US"/>
        </w:rPr>
      </w:pPr>
      <w:r w:rsidRPr="00356466">
        <w:rPr>
          <w:rStyle w:val="Fett"/>
          <w:rFonts w:ascii="Times New Roman" w:eastAsiaTheme="majorEastAsia" w:hAnsi="Times New Roman" w:cs="Times New Roman"/>
          <w:b w:val="0"/>
          <w:bCs w:val="0"/>
          <w:u w:val="single"/>
          <w:lang w:val="en-US"/>
        </w:rPr>
        <w:t>Mapping Catheter:</w:t>
      </w:r>
    </w:p>
    <w:p w14:paraId="1EBCBC4D" w14:textId="77777777" w:rsidR="00356466" w:rsidRPr="00356466" w:rsidRDefault="00CD5155" w:rsidP="00356466">
      <w:pPr>
        <w:numPr>
          <w:ilvl w:val="0"/>
          <w:numId w:val="1"/>
        </w:numPr>
        <w:spacing w:before="100" w:beforeAutospacing="1" w:line="360" w:lineRule="auto"/>
        <w:rPr>
          <w:rFonts w:ascii="Times New Roman" w:hAnsi="Times New Roman" w:cs="Times New Roman"/>
          <w:lang w:val="en-US"/>
        </w:rPr>
      </w:pPr>
      <w:r w:rsidRPr="00356466">
        <w:rPr>
          <w:rFonts w:ascii="Times New Roman" w:hAnsi="Times New Roman" w:cs="Times New Roman"/>
          <w:lang w:val="en-US"/>
        </w:rPr>
        <w:t>Lasso® 2515, NAV eco, 12 electrodes, electrode spacing: 8mm (</w:t>
      </w:r>
      <w:proofErr w:type="spellStart"/>
      <w:r w:rsidRPr="00356466">
        <w:rPr>
          <w:rFonts w:ascii="Times New Roman" w:hAnsi="Times New Roman" w:cs="Times New Roman"/>
          <w:lang w:val="en-US"/>
        </w:rPr>
        <w:t>Biosense</w:t>
      </w:r>
      <w:proofErr w:type="spellEnd"/>
      <w:r w:rsidRPr="00356466">
        <w:rPr>
          <w:rFonts w:ascii="Times New Roman" w:hAnsi="Times New Roman" w:cs="Times New Roman"/>
          <w:lang w:val="en-US"/>
        </w:rPr>
        <w:t xml:space="preserve"> Webster, Diamond Bar, CA) </w:t>
      </w:r>
    </w:p>
    <w:p w14:paraId="1317531E" w14:textId="2045AC39" w:rsidR="00356466" w:rsidRPr="00356466" w:rsidRDefault="00356466" w:rsidP="00356466">
      <w:pPr>
        <w:spacing w:before="100" w:beforeAutospacing="1" w:line="360" w:lineRule="auto"/>
        <w:ind w:left="720"/>
        <w:rPr>
          <w:rFonts w:ascii="Times New Roman" w:hAnsi="Times New Roman" w:cs="Times New Roman"/>
          <w:lang w:val="en-US"/>
        </w:rPr>
      </w:pPr>
      <w:r w:rsidRPr="00356466">
        <w:rPr>
          <w:rFonts w:ascii="Times New Roman" w:hAnsi="Times New Roman" w:cs="Times New Roman"/>
          <w:b/>
          <w:bCs/>
          <w:lang w:val="en-US"/>
        </w:rPr>
        <w:t>O</w:t>
      </w:r>
      <w:r w:rsidR="00CD5155" w:rsidRPr="00356466">
        <w:rPr>
          <w:rFonts w:ascii="Times New Roman" w:hAnsi="Times New Roman" w:cs="Times New Roman"/>
          <w:b/>
          <w:bCs/>
          <w:lang w:val="en-US"/>
        </w:rPr>
        <w:t xml:space="preserve">R </w:t>
      </w:r>
    </w:p>
    <w:p w14:paraId="5F5EEE55" w14:textId="27A54D15" w:rsidR="00CD5155" w:rsidRPr="00356466" w:rsidRDefault="00CD5155" w:rsidP="00356466">
      <w:pPr>
        <w:numPr>
          <w:ilvl w:val="0"/>
          <w:numId w:val="1"/>
        </w:numPr>
        <w:spacing w:before="100" w:beforeAutospacing="1" w:line="360" w:lineRule="auto"/>
        <w:rPr>
          <w:rFonts w:ascii="Times New Roman" w:hAnsi="Times New Roman" w:cs="Times New Roman"/>
          <w:lang w:val="en-US"/>
        </w:rPr>
      </w:pPr>
      <w:proofErr w:type="spellStart"/>
      <w:r w:rsidRPr="00356466">
        <w:rPr>
          <w:rFonts w:ascii="Times New Roman" w:hAnsi="Times New Roman" w:cs="Times New Roman"/>
          <w:lang w:val="en-US"/>
        </w:rPr>
        <w:t>Pentaray</w:t>
      </w:r>
      <w:proofErr w:type="spellEnd"/>
      <w:r w:rsidRPr="00356466">
        <w:rPr>
          <w:rFonts w:ascii="Times New Roman" w:hAnsi="Times New Roman" w:cs="Times New Roman"/>
          <w:lang w:val="en-US"/>
        </w:rPr>
        <w:t>™ NAV eco, 20 electro</w:t>
      </w:r>
      <w:r w:rsidR="00356466">
        <w:rPr>
          <w:rFonts w:ascii="Times New Roman" w:hAnsi="Times New Roman" w:cs="Times New Roman"/>
          <w:lang w:val="en-US"/>
        </w:rPr>
        <w:t>d</w:t>
      </w:r>
      <w:r w:rsidRPr="00356466">
        <w:rPr>
          <w:rFonts w:ascii="Times New Roman" w:hAnsi="Times New Roman" w:cs="Times New Roman"/>
          <w:lang w:val="en-US"/>
        </w:rPr>
        <w:t>e, electrode spacing: 2-6-2mm (</w:t>
      </w:r>
      <w:proofErr w:type="spellStart"/>
      <w:r w:rsidRPr="00356466">
        <w:rPr>
          <w:rFonts w:ascii="Times New Roman" w:hAnsi="Times New Roman" w:cs="Times New Roman"/>
          <w:lang w:val="en-US"/>
        </w:rPr>
        <w:t>Biosense</w:t>
      </w:r>
      <w:proofErr w:type="spellEnd"/>
      <w:r w:rsidRPr="00356466">
        <w:rPr>
          <w:rFonts w:ascii="Times New Roman" w:hAnsi="Times New Roman" w:cs="Times New Roman"/>
          <w:lang w:val="en-US"/>
        </w:rPr>
        <w:t xml:space="preserve"> Webster, Diamond Bar, CA)</w:t>
      </w:r>
    </w:p>
    <w:p w14:paraId="57EA1B8D" w14:textId="77777777" w:rsidR="00CD5155" w:rsidRPr="00356466" w:rsidRDefault="00CD5155" w:rsidP="00356466">
      <w:pPr>
        <w:pStyle w:val="StandardWeb"/>
        <w:spacing w:before="0" w:beforeAutospacing="0" w:after="0" w:afterAutospacing="0" w:line="360" w:lineRule="auto"/>
        <w:rPr>
          <w:rStyle w:val="Fett"/>
          <w:rFonts w:eastAsiaTheme="majorEastAsia"/>
          <w:lang w:val="en-US"/>
        </w:rPr>
      </w:pPr>
    </w:p>
    <w:p w14:paraId="4B2FE6E9" w14:textId="77777777" w:rsidR="00CD5155" w:rsidRPr="00356466" w:rsidRDefault="00CD5155" w:rsidP="00356466">
      <w:pPr>
        <w:pStyle w:val="StandardWeb"/>
        <w:spacing w:before="0" w:beforeAutospacing="0" w:after="0" w:afterAutospacing="0" w:line="360" w:lineRule="auto"/>
        <w:rPr>
          <w:b/>
          <w:bCs/>
          <w:u w:val="single"/>
          <w:lang w:val="en-US"/>
        </w:rPr>
      </w:pPr>
      <w:r w:rsidRPr="00356466">
        <w:rPr>
          <w:rStyle w:val="Fett"/>
          <w:rFonts w:eastAsiaTheme="majorEastAsia"/>
          <w:b w:val="0"/>
          <w:bCs w:val="0"/>
          <w:u w:val="single"/>
          <w:lang w:val="en-US"/>
        </w:rPr>
        <w:t>CARTO Settings:</w:t>
      </w:r>
    </w:p>
    <w:p w14:paraId="07BA47B3" w14:textId="77777777" w:rsidR="00CD5155" w:rsidRPr="00356466" w:rsidRDefault="00CD5155" w:rsidP="00356466">
      <w:pPr>
        <w:pStyle w:val="StandardWeb"/>
        <w:spacing w:before="0" w:beforeAutospacing="0" w:after="0" w:afterAutospacing="0" w:line="360" w:lineRule="auto"/>
        <w:rPr>
          <w:lang w:val="en-US"/>
        </w:rPr>
      </w:pPr>
      <w:r w:rsidRPr="00356466">
        <w:rPr>
          <w:rStyle w:val="Fett"/>
          <w:rFonts w:eastAsiaTheme="majorEastAsia"/>
          <w:lang w:val="en-US"/>
        </w:rPr>
        <w:t>Tissue Proximity Index (TPI):</w:t>
      </w:r>
      <w:r w:rsidRPr="00356466">
        <w:rPr>
          <w:lang w:val="en-US"/>
        </w:rPr>
        <w:t xml:space="preserve"> "ON" (Measures impedance difference between the blood pool and myocardium, a point is registered for the map only after a certain impedance difference is detected), </w:t>
      </w:r>
      <w:r w:rsidRPr="00356466">
        <w:rPr>
          <w:rStyle w:val="Fett"/>
          <w:rFonts w:eastAsiaTheme="majorEastAsia"/>
          <w:lang w:val="en-US"/>
        </w:rPr>
        <w:t>Cycle Length:</w:t>
      </w:r>
      <w:r w:rsidRPr="00356466">
        <w:rPr>
          <w:lang w:val="en-US"/>
        </w:rPr>
        <w:t xml:space="preserve"> 700-1300 </w:t>
      </w:r>
      <w:proofErr w:type="spellStart"/>
      <w:r w:rsidRPr="00356466">
        <w:rPr>
          <w:lang w:val="en-US"/>
        </w:rPr>
        <w:t>ms</w:t>
      </w:r>
      <w:proofErr w:type="spellEnd"/>
      <w:r w:rsidRPr="00356466">
        <w:rPr>
          <w:lang w:val="en-US"/>
        </w:rPr>
        <w:t xml:space="preserve"> (Only electrograms within this cycle length range are registered, prevents registration of premature atrial contractions (which have shorter cycle lengths), </w:t>
      </w:r>
      <w:r w:rsidRPr="00356466">
        <w:rPr>
          <w:rStyle w:val="Fett"/>
          <w:rFonts w:eastAsiaTheme="majorEastAsia"/>
          <w:lang w:val="en-US"/>
        </w:rPr>
        <w:t>Position Stability:</w:t>
      </w:r>
      <w:r w:rsidRPr="00356466">
        <w:rPr>
          <w:lang w:val="en-US"/>
        </w:rPr>
        <w:t xml:space="preserve"> 6mm, </w:t>
      </w:r>
      <w:r w:rsidRPr="00356466">
        <w:rPr>
          <w:rStyle w:val="Fett"/>
          <w:rFonts w:eastAsiaTheme="majorEastAsia"/>
          <w:lang w:val="en-US"/>
        </w:rPr>
        <w:t>Local Activity Time:</w:t>
      </w:r>
      <w:r w:rsidRPr="00356466">
        <w:rPr>
          <w:lang w:val="en-US"/>
        </w:rPr>
        <w:t xml:space="preserve"> 6ms, </w:t>
      </w:r>
      <w:r w:rsidRPr="00356466">
        <w:rPr>
          <w:rStyle w:val="Fett"/>
          <w:rFonts w:eastAsiaTheme="majorEastAsia"/>
          <w:lang w:val="en-US"/>
        </w:rPr>
        <w:t>Density:</w:t>
      </w:r>
      <w:r w:rsidRPr="00356466">
        <w:rPr>
          <w:lang w:val="en-US"/>
        </w:rPr>
        <w:t xml:space="preserve"> "Maximum density" = 0.25mm (No additional point is registered within a 0.25mm distance), </w:t>
      </w:r>
      <w:r w:rsidRPr="00356466">
        <w:rPr>
          <w:rStyle w:val="Fett"/>
          <w:rFonts w:eastAsiaTheme="majorEastAsia"/>
          <w:lang w:val="en-US"/>
        </w:rPr>
        <w:t>Color:</w:t>
      </w:r>
      <w:r w:rsidRPr="00356466">
        <w:rPr>
          <w:lang w:val="en-US"/>
        </w:rPr>
        <w:t xml:space="preserve"> 10mm (An area is only filled with color if the distance between the mapped point and the next point is ≤ 10mm, </w:t>
      </w:r>
      <w:r w:rsidRPr="00356466">
        <w:rPr>
          <w:rStyle w:val="Fett"/>
          <w:rFonts w:eastAsiaTheme="majorEastAsia"/>
          <w:lang w:val="en-US"/>
        </w:rPr>
        <w:t>Point Filtering:</w:t>
      </w:r>
      <w:r w:rsidRPr="00356466">
        <w:rPr>
          <w:lang w:val="en-US"/>
        </w:rPr>
        <w:t xml:space="preserve"> 6mm.</w:t>
      </w:r>
    </w:p>
    <w:p w14:paraId="105D4358" w14:textId="77777777" w:rsidR="00CD5155" w:rsidRDefault="00CD5155" w:rsidP="00356466">
      <w:pPr>
        <w:pStyle w:val="StandardWeb"/>
        <w:spacing w:before="0" w:beforeAutospacing="0" w:after="0" w:afterAutospacing="0" w:line="360" w:lineRule="auto"/>
        <w:rPr>
          <w:lang w:val="en-US"/>
        </w:rPr>
      </w:pPr>
    </w:p>
    <w:p w14:paraId="6B4E7D94" w14:textId="77777777" w:rsidR="00356466" w:rsidRDefault="00356466" w:rsidP="00356466">
      <w:pPr>
        <w:pStyle w:val="StandardWeb"/>
        <w:spacing w:before="0" w:beforeAutospacing="0" w:after="0" w:afterAutospacing="0" w:line="360" w:lineRule="auto"/>
        <w:rPr>
          <w:lang w:val="en-US"/>
        </w:rPr>
      </w:pPr>
    </w:p>
    <w:p w14:paraId="20DEEFE7" w14:textId="77777777" w:rsidR="00356466" w:rsidRDefault="00356466" w:rsidP="00356466">
      <w:pPr>
        <w:pStyle w:val="StandardWeb"/>
        <w:spacing w:before="0" w:beforeAutospacing="0" w:after="0" w:afterAutospacing="0" w:line="360" w:lineRule="auto"/>
        <w:rPr>
          <w:lang w:val="en-US"/>
        </w:rPr>
      </w:pPr>
    </w:p>
    <w:p w14:paraId="38396394" w14:textId="77777777" w:rsidR="00356466" w:rsidRDefault="00356466" w:rsidP="00356466">
      <w:pPr>
        <w:pStyle w:val="StandardWeb"/>
        <w:spacing w:before="0" w:beforeAutospacing="0" w:after="0" w:afterAutospacing="0" w:line="360" w:lineRule="auto"/>
        <w:rPr>
          <w:lang w:val="en-US"/>
        </w:rPr>
      </w:pPr>
    </w:p>
    <w:p w14:paraId="0A217114" w14:textId="77777777" w:rsidR="00356466" w:rsidRDefault="00356466" w:rsidP="00356466">
      <w:pPr>
        <w:pStyle w:val="StandardWeb"/>
        <w:spacing w:before="0" w:beforeAutospacing="0" w:after="0" w:afterAutospacing="0" w:line="360" w:lineRule="auto"/>
        <w:rPr>
          <w:lang w:val="en-US"/>
        </w:rPr>
      </w:pPr>
    </w:p>
    <w:p w14:paraId="39537E0C" w14:textId="77777777" w:rsidR="00356466" w:rsidRDefault="00356466" w:rsidP="00356466">
      <w:pPr>
        <w:pStyle w:val="StandardWeb"/>
        <w:spacing w:before="0" w:beforeAutospacing="0" w:after="0" w:afterAutospacing="0" w:line="360" w:lineRule="auto"/>
        <w:rPr>
          <w:lang w:val="en-US"/>
        </w:rPr>
      </w:pPr>
    </w:p>
    <w:p w14:paraId="449052D9" w14:textId="77777777" w:rsidR="00356466" w:rsidRDefault="00356466" w:rsidP="00356466">
      <w:pPr>
        <w:pStyle w:val="StandardWeb"/>
        <w:spacing w:before="0" w:beforeAutospacing="0" w:after="0" w:afterAutospacing="0" w:line="360" w:lineRule="auto"/>
        <w:rPr>
          <w:lang w:val="en-US"/>
        </w:rPr>
      </w:pPr>
    </w:p>
    <w:p w14:paraId="43B59F95" w14:textId="77777777" w:rsidR="00356466" w:rsidRPr="00356466" w:rsidRDefault="00356466" w:rsidP="00356466">
      <w:pPr>
        <w:pStyle w:val="StandardWeb"/>
        <w:spacing w:before="0" w:beforeAutospacing="0" w:after="0" w:afterAutospacing="0" w:line="360" w:lineRule="auto"/>
        <w:rPr>
          <w:lang w:val="en-US"/>
        </w:rPr>
      </w:pPr>
    </w:p>
    <w:p w14:paraId="7E889AD2" w14:textId="5F5C6464" w:rsidR="00CD5155" w:rsidRPr="00356466" w:rsidRDefault="00821AC5" w:rsidP="00356466">
      <w:pPr>
        <w:pStyle w:val="StandardWeb"/>
        <w:spacing w:before="0" w:beforeAutospacing="0" w:after="0" w:afterAutospacing="0" w:line="360" w:lineRule="auto"/>
        <w:rPr>
          <w:b/>
          <w:bCs/>
          <w:lang w:val="en-US"/>
        </w:rPr>
      </w:pPr>
      <w:r w:rsidRPr="00356466">
        <w:rPr>
          <w:b/>
          <w:bCs/>
          <w:lang w:val="en-US"/>
        </w:rPr>
        <w:lastRenderedPageBreak/>
        <w:t>Results</w:t>
      </w:r>
    </w:p>
    <w:p w14:paraId="3935ED6E" w14:textId="7780ED1F" w:rsidR="00821AC5" w:rsidRDefault="00821AC5" w:rsidP="00356466">
      <w:pPr>
        <w:spacing w:line="360" w:lineRule="auto"/>
        <w:rPr>
          <w:rFonts w:ascii="Times New Roman" w:hAnsi="Times New Roman" w:cs="Times New Roman"/>
          <w:u w:val="single"/>
          <w:lang w:val="en-US"/>
        </w:rPr>
      </w:pPr>
      <w:r w:rsidRPr="00356466">
        <w:rPr>
          <w:rFonts w:ascii="Times New Roman" w:hAnsi="Times New Roman" w:cs="Times New Roman"/>
          <w:u w:val="single"/>
          <w:lang w:val="en-US"/>
        </w:rPr>
        <w:t>Intra-reader</w:t>
      </w:r>
      <w:r w:rsidR="00240CD6" w:rsidRPr="00356466">
        <w:rPr>
          <w:rFonts w:ascii="Times New Roman" w:hAnsi="Times New Roman" w:cs="Times New Roman"/>
          <w:u w:val="single"/>
          <w:lang w:val="en-US"/>
        </w:rPr>
        <w:t xml:space="preserve"> comparison</w:t>
      </w:r>
    </w:p>
    <w:p w14:paraId="75A23E3A" w14:textId="77777777" w:rsidR="00386274" w:rsidRDefault="00386274" w:rsidP="00386274">
      <w:pPr>
        <w:spacing w:line="360" w:lineRule="auto"/>
        <w:rPr>
          <w:rFonts w:ascii="Times New Roman" w:hAnsi="Times New Roman" w:cs="Times New Roman"/>
          <w:b/>
          <w:bCs/>
          <w:i/>
          <w:iCs/>
          <w:lang w:val="en-US"/>
        </w:rPr>
      </w:pPr>
    </w:p>
    <w:p w14:paraId="18ABC7DC" w14:textId="70D7A664" w:rsidR="00386274" w:rsidRDefault="00821AC5" w:rsidP="00386274">
      <w:pPr>
        <w:spacing w:line="360" w:lineRule="auto"/>
        <w:rPr>
          <w:lang w:val="en-US"/>
        </w:rPr>
      </w:pPr>
      <w:r w:rsidRPr="00356466">
        <w:rPr>
          <w:rFonts w:ascii="Times New Roman" w:hAnsi="Times New Roman" w:cs="Times New Roman"/>
          <w:b/>
          <w:bCs/>
          <w:i/>
          <w:iCs/>
          <w:noProof/>
          <w:lang w:val="en-US"/>
        </w:rPr>
        <w:drawing>
          <wp:inline distT="0" distB="0" distL="0" distR="0" wp14:anchorId="5CCD2B23" wp14:editId="45FCBC20">
            <wp:extent cx="5072657" cy="2885440"/>
            <wp:effectExtent l="0" t="0" r="0" b="0"/>
            <wp:docPr id="2498285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28597" name="Grafik 249828597"/>
                    <pic:cNvPicPr/>
                  </pic:nvPicPr>
                  <pic:blipFill rotWithShape="1">
                    <a:blip r:embed="rId8"/>
                    <a:srcRect l="11944"/>
                    <a:stretch>
                      <a:fillRect/>
                    </a:stretch>
                  </pic:blipFill>
                  <pic:spPr bwMode="auto">
                    <a:xfrm>
                      <a:off x="0" y="0"/>
                      <a:ext cx="5072657" cy="2885440"/>
                    </a:xfrm>
                    <a:prstGeom prst="rect">
                      <a:avLst/>
                    </a:prstGeom>
                    <a:ln>
                      <a:noFill/>
                    </a:ln>
                    <a:extLst>
                      <a:ext uri="{53640926-AAD7-44D8-BBD7-CCE9431645EC}">
                        <a14:shadowObscured xmlns:a14="http://schemas.microsoft.com/office/drawing/2010/main"/>
                      </a:ext>
                    </a:extLst>
                  </pic:spPr>
                </pic:pic>
              </a:graphicData>
            </a:graphic>
          </wp:inline>
        </w:drawing>
      </w:r>
    </w:p>
    <w:p w14:paraId="323F1247" w14:textId="11D7B51B" w:rsidR="00386274" w:rsidRPr="007576FF" w:rsidRDefault="00386274" w:rsidP="00356466">
      <w:pPr>
        <w:pStyle w:val="StandardWeb"/>
        <w:spacing w:before="0" w:beforeAutospacing="0" w:after="0" w:afterAutospacing="0" w:line="360" w:lineRule="auto"/>
        <w:rPr>
          <w:sz w:val="22"/>
          <w:szCs w:val="22"/>
          <w:lang w:val="en-US"/>
        </w:rPr>
      </w:pPr>
      <w:r w:rsidRPr="00386274">
        <w:rPr>
          <w:b/>
          <w:bCs/>
          <w:sz w:val="22"/>
          <w:szCs w:val="22"/>
          <w:u w:val="single"/>
          <w:lang w:val="en-US"/>
        </w:rPr>
        <w:t xml:space="preserve">Supplement Figure 2 </w:t>
      </w:r>
      <w:r w:rsidRPr="007576FF">
        <w:rPr>
          <w:sz w:val="22"/>
          <w:szCs w:val="22"/>
          <w:lang w:val="en-US"/>
        </w:rPr>
        <w:t>Intra Reader Comparison for left atrial LGE assessment</w:t>
      </w:r>
    </w:p>
    <w:p w14:paraId="57C2B40B" w14:textId="77777777" w:rsidR="00386274" w:rsidRDefault="00386274" w:rsidP="00356466">
      <w:pPr>
        <w:pStyle w:val="StandardWeb"/>
        <w:spacing w:before="0" w:beforeAutospacing="0" w:after="0" w:afterAutospacing="0" w:line="360" w:lineRule="auto"/>
        <w:rPr>
          <w:u w:val="single"/>
          <w:lang w:val="en-US"/>
        </w:rPr>
      </w:pPr>
    </w:p>
    <w:p w14:paraId="6C5199AE" w14:textId="0F2A793E" w:rsidR="00386274" w:rsidRDefault="00386274" w:rsidP="00356466">
      <w:pPr>
        <w:pStyle w:val="StandardWeb"/>
        <w:spacing w:before="0" w:beforeAutospacing="0" w:after="0" w:afterAutospacing="0" w:line="360" w:lineRule="auto"/>
        <w:rPr>
          <w:u w:val="single"/>
          <w:lang w:val="en-US"/>
        </w:rPr>
      </w:pPr>
      <w:r w:rsidRPr="00386274">
        <w:rPr>
          <w:u w:val="single"/>
          <w:lang w:val="en-US"/>
        </w:rPr>
        <w:t xml:space="preserve">Registration </w:t>
      </w:r>
      <w:r w:rsidR="00D9179C">
        <w:rPr>
          <w:u w:val="single"/>
          <w:lang w:val="en-US"/>
        </w:rPr>
        <w:t>accuracy</w:t>
      </w:r>
      <w:r w:rsidRPr="00386274">
        <w:rPr>
          <w:u w:val="single"/>
          <w:lang w:val="en-US"/>
        </w:rPr>
        <w:t xml:space="preserve"> between EAM and LGE</w:t>
      </w:r>
    </w:p>
    <w:p w14:paraId="5D485B8A" w14:textId="0EF48EAE" w:rsidR="00386274" w:rsidRDefault="00386274" w:rsidP="00356466">
      <w:pPr>
        <w:pStyle w:val="StandardWeb"/>
        <w:spacing w:before="0" w:beforeAutospacing="0" w:after="0" w:afterAutospacing="0" w:line="360" w:lineRule="auto"/>
        <w:rPr>
          <w:u w:val="single"/>
          <w:lang w:val="en-US"/>
        </w:rPr>
      </w:pPr>
      <w:r w:rsidRPr="0038759D">
        <w:rPr>
          <w:rFonts w:ascii="Arial" w:hAnsi="Arial" w:cs="Arial"/>
          <w:lang w:val="en-GB"/>
        </w:rPr>
        <w:t>The average surface distance values of the two main registration steps, assessed for both the total left atrial surface and the posterior wall, were generally in the range of 1–2 voxels at 1.3 mm³ isotropic resolution</w:t>
      </w:r>
      <w:r w:rsidR="00D9179C">
        <w:rPr>
          <w:rFonts w:ascii="Arial" w:hAnsi="Arial" w:cs="Arial"/>
          <w:lang w:val="en-GB"/>
        </w:rPr>
        <w:t xml:space="preserve"> after the second step of the registration pipeline</w:t>
      </w:r>
      <w:r w:rsidRPr="0038759D">
        <w:rPr>
          <w:rFonts w:ascii="Arial" w:hAnsi="Arial" w:cs="Arial"/>
          <w:lang w:val="en-GB"/>
        </w:rPr>
        <w:t>.</w:t>
      </w:r>
    </w:p>
    <w:p w14:paraId="385C0D68" w14:textId="3CEFF748" w:rsidR="00386274" w:rsidRPr="0038759D" w:rsidRDefault="00386274" w:rsidP="00386274">
      <w:pPr>
        <w:rPr>
          <w:rFonts w:ascii="Arial" w:eastAsia="Times New Roman" w:hAnsi="Arial" w:cs="Arial"/>
          <w:color w:val="000000" w:themeColor="text1"/>
          <w:kern w:val="0"/>
          <w:lang w:val="en-GB" w:eastAsia="en-GB"/>
          <w14:ligatures w14:val="none"/>
        </w:rPr>
      </w:pPr>
    </w:p>
    <w:p w14:paraId="59A864CC" w14:textId="7E66858D" w:rsidR="00CD5155" w:rsidRPr="00356466" w:rsidRDefault="00D9179C" w:rsidP="00356466">
      <w:pPr>
        <w:pStyle w:val="StandardWeb"/>
        <w:spacing w:before="0" w:beforeAutospacing="0" w:after="0" w:afterAutospacing="0" w:line="360" w:lineRule="auto"/>
        <w:rPr>
          <w:lang w:val="en-US"/>
        </w:rPr>
      </w:pPr>
      <w:r>
        <w:rPr>
          <w:noProof/>
          <w:lang w:val="en-US"/>
          <w14:ligatures w14:val="standardContextual"/>
        </w:rPr>
        <w:lastRenderedPageBreak/>
        <w:drawing>
          <wp:inline distT="0" distB="0" distL="0" distR="0" wp14:anchorId="3E1E6CCE" wp14:editId="623A7C02">
            <wp:extent cx="5731510" cy="3158490"/>
            <wp:effectExtent l="0" t="0" r="0" b="3810"/>
            <wp:docPr id="11513432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3242" name="Graphic 1151343242"/>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158490"/>
                    </a:xfrm>
                    <a:prstGeom prst="rect">
                      <a:avLst/>
                    </a:prstGeom>
                  </pic:spPr>
                </pic:pic>
              </a:graphicData>
            </a:graphic>
          </wp:inline>
        </w:drawing>
      </w:r>
    </w:p>
    <w:p w14:paraId="79D12C83" w14:textId="604BD8CC" w:rsidR="007576FF" w:rsidRDefault="007576FF" w:rsidP="003001AE">
      <w:pPr>
        <w:pStyle w:val="StandardWeb"/>
        <w:spacing w:before="0" w:beforeAutospacing="0" w:after="0" w:afterAutospacing="0" w:line="360" w:lineRule="auto"/>
        <w:rPr>
          <w:color w:val="000000" w:themeColor="text1"/>
          <w:sz w:val="22"/>
          <w:szCs w:val="22"/>
          <w:lang w:val="en-GB" w:eastAsia="en-GB"/>
        </w:rPr>
      </w:pPr>
      <w:r w:rsidRPr="00386274">
        <w:rPr>
          <w:b/>
          <w:bCs/>
          <w:sz w:val="22"/>
          <w:szCs w:val="22"/>
          <w:u w:val="single"/>
          <w:lang w:val="en-US"/>
        </w:rPr>
        <w:t>Supplement Figure 3</w:t>
      </w:r>
      <w:r w:rsidR="003001AE">
        <w:rPr>
          <w:b/>
          <w:bCs/>
          <w:sz w:val="22"/>
          <w:szCs w:val="22"/>
          <w:u w:val="single"/>
          <w:lang w:val="en-US"/>
        </w:rPr>
        <w:t xml:space="preserve"> </w:t>
      </w:r>
      <w:r w:rsidRPr="00386274">
        <w:rPr>
          <w:color w:val="000000" w:themeColor="text1"/>
          <w:sz w:val="22"/>
          <w:szCs w:val="22"/>
          <w:lang w:val="en-GB" w:eastAsia="en-GB"/>
        </w:rPr>
        <w:t>Average Surface Distance (ASD) of the two main registration steps assessed for the total Left-Atrial surface and the posterior wall. Overall, the pipeline achieved ASD-values in the range of 1-2 Voxels at 1.3mm</w:t>
      </w:r>
      <w:r w:rsidRPr="00386274">
        <w:rPr>
          <w:color w:val="000000" w:themeColor="text1"/>
          <w:sz w:val="22"/>
          <w:szCs w:val="22"/>
          <w:vertAlign w:val="superscript"/>
          <w:lang w:val="en-GB" w:eastAsia="en-GB"/>
        </w:rPr>
        <w:t>3</w:t>
      </w:r>
      <w:r w:rsidRPr="00386274">
        <w:rPr>
          <w:color w:val="000000" w:themeColor="text1"/>
          <w:sz w:val="22"/>
          <w:szCs w:val="22"/>
          <w:lang w:val="en-GB" w:eastAsia="en-GB"/>
        </w:rPr>
        <w:t xml:space="preserve"> isotropic resolution.</w:t>
      </w:r>
    </w:p>
    <w:p w14:paraId="0B55FE68" w14:textId="77777777" w:rsidR="003001AE" w:rsidRDefault="003001AE" w:rsidP="007576FF">
      <w:pPr>
        <w:rPr>
          <w:rFonts w:ascii="Times New Roman" w:eastAsia="Times New Roman" w:hAnsi="Times New Roman" w:cs="Times New Roman"/>
          <w:color w:val="000000" w:themeColor="text1"/>
          <w:kern w:val="0"/>
          <w:sz w:val="22"/>
          <w:szCs w:val="22"/>
          <w:lang w:val="en-GB" w:eastAsia="en-GB"/>
          <w14:ligatures w14:val="none"/>
        </w:rPr>
      </w:pPr>
    </w:p>
    <w:p w14:paraId="7C8EC404" w14:textId="77A46C0B" w:rsidR="001541D5" w:rsidRDefault="001541D5" w:rsidP="00356466">
      <w:pPr>
        <w:spacing w:line="360" w:lineRule="auto"/>
        <w:rPr>
          <w:rFonts w:ascii="Times New Roman" w:eastAsia="Times New Roman" w:hAnsi="Times New Roman" w:cs="Times New Roman"/>
          <w:color w:val="000000" w:themeColor="text1"/>
          <w:kern w:val="0"/>
          <w:sz w:val="22"/>
          <w:szCs w:val="22"/>
          <w:lang w:val="en-GB" w:eastAsia="en-GB"/>
          <w14:ligatures w14:val="none"/>
        </w:rPr>
      </w:pPr>
    </w:p>
    <w:p w14:paraId="17D36D3B" w14:textId="525B0853" w:rsidR="003001AE" w:rsidRPr="003001AE" w:rsidRDefault="003001AE" w:rsidP="00356466">
      <w:pPr>
        <w:spacing w:line="360" w:lineRule="auto"/>
        <w:rPr>
          <w:rFonts w:ascii="Times New Roman" w:hAnsi="Times New Roman" w:cs="Times New Roman"/>
          <w:u w:val="single"/>
          <w:lang w:val="en-US"/>
        </w:rPr>
      </w:pPr>
      <w:r w:rsidRPr="003001AE">
        <w:rPr>
          <w:rFonts w:ascii="Times New Roman" w:hAnsi="Times New Roman" w:cs="Times New Roman"/>
          <w:color w:val="000000"/>
          <w:u w:val="single"/>
        </w:rPr>
        <w:t xml:space="preserve">Image </w:t>
      </w:r>
      <w:proofErr w:type="spellStart"/>
      <w:r w:rsidRPr="003001AE">
        <w:rPr>
          <w:rFonts w:ascii="Times New Roman" w:hAnsi="Times New Roman" w:cs="Times New Roman"/>
          <w:color w:val="000000"/>
          <w:u w:val="single"/>
        </w:rPr>
        <w:t>Intensity</w:t>
      </w:r>
      <w:proofErr w:type="spellEnd"/>
      <w:r w:rsidRPr="003001AE">
        <w:rPr>
          <w:rFonts w:ascii="Times New Roman" w:hAnsi="Times New Roman" w:cs="Times New Roman"/>
          <w:color w:val="000000"/>
          <w:u w:val="single"/>
        </w:rPr>
        <w:t xml:space="preserve"> </w:t>
      </w:r>
      <w:proofErr w:type="spellStart"/>
      <w:r w:rsidRPr="003001AE">
        <w:rPr>
          <w:rFonts w:ascii="Times New Roman" w:hAnsi="Times New Roman" w:cs="Times New Roman"/>
          <w:color w:val="000000"/>
          <w:u w:val="single"/>
        </w:rPr>
        <w:t>ratio</w:t>
      </w:r>
      <w:proofErr w:type="spellEnd"/>
      <w:r w:rsidRPr="003001AE">
        <w:rPr>
          <w:rFonts w:ascii="Times New Roman" w:hAnsi="Times New Roman" w:cs="Times New Roman"/>
          <w:color w:val="000000"/>
          <w:u w:val="single"/>
        </w:rPr>
        <w:t xml:space="preserve"> </w:t>
      </w:r>
      <w:proofErr w:type="spellStart"/>
      <w:r w:rsidRPr="003001AE">
        <w:rPr>
          <w:rFonts w:ascii="Times New Roman" w:hAnsi="Times New Roman" w:cs="Times New Roman"/>
          <w:color w:val="000000"/>
          <w:u w:val="single"/>
        </w:rPr>
        <w:t>values</w:t>
      </w:r>
      <w:r w:rsidRPr="003001AE">
        <w:rPr>
          <w:rFonts w:ascii="Times New Roman" w:hAnsi="Times New Roman" w:cs="Times New Roman"/>
          <w:color w:val="000000"/>
          <w:u w:val="single"/>
        </w:rPr>
        <w:t xml:space="preserve"> distribution</w:t>
      </w:r>
      <w:proofErr w:type="spellEnd"/>
      <w:r w:rsidRPr="003001AE">
        <w:rPr>
          <w:rFonts w:ascii="Times New Roman" w:hAnsi="Times New Roman" w:cs="Times New Roman"/>
          <w:color w:val="000000"/>
          <w:u w:val="single"/>
        </w:rPr>
        <w:t xml:space="preserve"> in </w:t>
      </w:r>
      <w:proofErr w:type="spellStart"/>
      <w:r w:rsidRPr="003001AE">
        <w:rPr>
          <w:rFonts w:ascii="Times New Roman" w:hAnsi="Times New Roman" w:cs="Times New Roman"/>
          <w:color w:val="000000"/>
          <w:u w:val="single"/>
        </w:rPr>
        <w:t>the</w:t>
      </w:r>
      <w:proofErr w:type="spellEnd"/>
      <w:r w:rsidRPr="003001AE">
        <w:rPr>
          <w:rFonts w:ascii="Times New Roman" w:hAnsi="Times New Roman" w:cs="Times New Roman"/>
          <w:color w:val="000000"/>
          <w:u w:val="single"/>
        </w:rPr>
        <w:t xml:space="preserve"> </w:t>
      </w:r>
      <w:proofErr w:type="spellStart"/>
      <w:r w:rsidRPr="003001AE">
        <w:rPr>
          <w:rFonts w:ascii="Times New Roman" w:hAnsi="Times New Roman" w:cs="Times New Roman"/>
          <w:color w:val="000000"/>
          <w:u w:val="single"/>
        </w:rPr>
        <w:t>healthy</w:t>
      </w:r>
      <w:proofErr w:type="spellEnd"/>
      <w:r w:rsidRPr="003001AE">
        <w:rPr>
          <w:rFonts w:ascii="Times New Roman" w:hAnsi="Times New Roman" w:cs="Times New Roman"/>
          <w:color w:val="000000"/>
          <w:u w:val="single"/>
        </w:rPr>
        <w:t xml:space="preserve"> </w:t>
      </w:r>
      <w:proofErr w:type="spellStart"/>
      <w:r w:rsidRPr="003001AE">
        <w:rPr>
          <w:rFonts w:ascii="Times New Roman" w:hAnsi="Times New Roman" w:cs="Times New Roman"/>
          <w:color w:val="000000"/>
          <w:u w:val="single"/>
        </w:rPr>
        <w:t>volunteer</w:t>
      </w:r>
      <w:proofErr w:type="spellEnd"/>
      <w:r w:rsidRPr="003001AE">
        <w:rPr>
          <w:rFonts w:ascii="Times New Roman" w:hAnsi="Times New Roman" w:cs="Times New Roman"/>
          <w:color w:val="000000"/>
          <w:u w:val="single"/>
        </w:rPr>
        <w:t xml:space="preserve"> </w:t>
      </w:r>
      <w:proofErr w:type="spellStart"/>
      <w:r w:rsidRPr="003001AE">
        <w:rPr>
          <w:rFonts w:ascii="Times New Roman" w:hAnsi="Times New Roman" w:cs="Times New Roman"/>
          <w:color w:val="000000"/>
          <w:u w:val="single"/>
        </w:rPr>
        <w:t>cohort</w:t>
      </w:r>
      <w:proofErr w:type="spellEnd"/>
    </w:p>
    <w:p w14:paraId="199B244D" w14:textId="4FBE0EC0" w:rsidR="003001AE" w:rsidRPr="003001AE" w:rsidRDefault="003001AE" w:rsidP="003001AE">
      <w:pPr>
        <w:rPr>
          <w:rFonts w:ascii="Times New Roman" w:hAnsi="Times New Roman" w:cs="Times New Roman"/>
          <w:lang w:val="en-GB" w:eastAsia="en-GB"/>
        </w:rPr>
      </w:pPr>
      <w:r w:rsidRPr="003001AE">
        <w:rPr>
          <w:rFonts w:ascii="Times New Roman" w:hAnsi="Times New Roman" w:cs="Times New Roman"/>
          <w:lang w:val="en-GB" w:eastAsia="en-GB"/>
        </w:rPr>
        <w:t>We performed a visual analysis</w:t>
      </w:r>
      <w:r w:rsidRPr="003001AE">
        <w:rPr>
          <w:rFonts w:ascii="Times New Roman" w:hAnsi="Times New Roman" w:cs="Times New Roman"/>
          <w:lang w:val="en-GB" w:eastAsia="en-GB"/>
        </w:rPr>
        <w:t xml:space="preserve"> of the IIR-distribution within the healthy volunteer cohort</w:t>
      </w:r>
      <w:r w:rsidRPr="003001AE">
        <w:rPr>
          <w:rFonts w:ascii="Times New Roman" w:hAnsi="Times New Roman" w:cs="Times New Roman"/>
          <w:lang w:val="en-GB" w:eastAsia="en-GB"/>
        </w:rPr>
        <w:t xml:space="preserve"> using Q-Q-plots (see </w:t>
      </w:r>
      <w:r w:rsidRPr="003001AE">
        <w:rPr>
          <w:rFonts w:ascii="Times New Roman" w:hAnsi="Times New Roman" w:cs="Times New Roman"/>
          <w:lang w:val="en-GB" w:eastAsia="en-GB"/>
        </w:rPr>
        <w:t>Supplement Figure 4 and 5</w:t>
      </w:r>
      <w:r w:rsidRPr="003001AE">
        <w:rPr>
          <w:rFonts w:ascii="Times New Roman" w:hAnsi="Times New Roman" w:cs="Times New Roman"/>
          <w:lang w:val="en-GB" w:eastAsia="en-GB"/>
        </w:rPr>
        <w:t xml:space="preserve">). </w:t>
      </w:r>
      <w:r w:rsidRPr="003001AE">
        <w:rPr>
          <w:rFonts w:ascii="Times New Roman" w:hAnsi="Times New Roman" w:cs="Times New Roman"/>
          <w:lang w:val="en-GB" w:eastAsia="en-GB"/>
        </w:rPr>
        <w:t>According to a</w:t>
      </w:r>
      <w:r w:rsidRPr="003001AE">
        <w:rPr>
          <w:rFonts w:ascii="Times New Roman" w:hAnsi="Times New Roman" w:cs="Times New Roman"/>
          <w:lang w:val="en-GB" w:eastAsia="en-GB"/>
        </w:rPr>
        <w:t xml:space="preserve"> Shapiro-Wilk-Test for normality</w:t>
      </w:r>
      <w:r w:rsidRPr="003001AE">
        <w:rPr>
          <w:rFonts w:ascii="Times New Roman" w:hAnsi="Times New Roman" w:cs="Times New Roman"/>
          <w:lang w:val="en-GB" w:eastAsia="en-GB"/>
        </w:rPr>
        <w:t>,</w:t>
      </w:r>
      <w:r w:rsidRPr="003001AE">
        <w:rPr>
          <w:rFonts w:ascii="Times New Roman" w:hAnsi="Times New Roman" w:cs="Times New Roman"/>
          <w:lang w:val="en-GB" w:eastAsia="en-GB"/>
        </w:rPr>
        <w:t xml:space="preserve"> the volunteer’s IIR values not</w:t>
      </w:r>
      <w:r w:rsidRPr="003001AE">
        <w:rPr>
          <w:rFonts w:ascii="Times New Roman" w:hAnsi="Times New Roman" w:cs="Times New Roman"/>
          <w:lang w:val="en-GB" w:eastAsia="en-GB"/>
        </w:rPr>
        <w:t xml:space="preserve"> </w:t>
      </w:r>
      <w:r w:rsidRPr="003001AE">
        <w:rPr>
          <w:rFonts w:ascii="Times New Roman" w:hAnsi="Times New Roman" w:cs="Times New Roman"/>
          <w:lang w:val="en-GB" w:eastAsia="en-GB"/>
        </w:rPr>
        <w:t xml:space="preserve">normally distributed </w:t>
      </w:r>
      <w:r w:rsidRPr="003001AE">
        <w:rPr>
          <w:rFonts w:ascii="Times New Roman" w:hAnsi="Times New Roman" w:cs="Times New Roman"/>
          <w:lang w:val="en-GB"/>
        </w:rPr>
        <w:t xml:space="preserve">(Test Statistic=.9445, p&lt;.001.). </w:t>
      </w:r>
      <w:r w:rsidRPr="003001AE">
        <w:rPr>
          <w:rFonts w:ascii="Times New Roman" w:hAnsi="Times New Roman" w:cs="Times New Roman"/>
          <w:lang w:val="en-GB" w:eastAsia="en-GB"/>
        </w:rPr>
        <w:t>T</w:t>
      </w:r>
      <w:r w:rsidRPr="003001AE">
        <w:rPr>
          <w:rFonts w:ascii="Times New Roman" w:hAnsi="Times New Roman" w:cs="Times New Roman"/>
          <w:lang w:val="en-GB" w:eastAsia="en-GB"/>
        </w:rPr>
        <w:t xml:space="preserve">he healthy cohort’s normalized IIR data </w:t>
      </w:r>
      <w:r w:rsidRPr="003001AE">
        <w:rPr>
          <w:rFonts w:ascii="Times New Roman" w:hAnsi="Times New Roman" w:cs="Times New Roman"/>
          <w:lang w:val="en-GB" w:eastAsia="en-GB"/>
        </w:rPr>
        <w:t xml:space="preserve">was </w:t>
      </w:r>
      <w:r w:rsidRPr="003001AE">
        <w:rPr>
          <w:rFonts w:ascii="Times New Roman" w:hAnsi="Times New Roman" w:cs="Times New Roman"/>
          <w:lang w:val="en-GB" w:eastAsia="en-GB"/>
        </w:rPr>
        <w:t xml:space="preserve">also not distributed according to a Rice-Distribution (Kolmogorov-Smirnov Test, K-S-Test-Statistic= .0958, p&lt;.0001). We then calculated the Kolmogorov-Smirnov-Statistic for different possible distributions yielding a similar K-S statistic for Gaussian and Rice-Distributions. We used </w:t>
      </w:r>
      <w:proofErr w:type="spellStart"/>
      <w:r w:rsidRPr="003001AE">
        <w:rPr>
          <w:rFonts w:ascii="Times New Roman" w:hAnsi="Times New Roman" w:cs="Times New Roman"/>
          <w:lang w:val="en-GB" w:eastAsia="en-GB"/>
        </w:rPr>
        <w:t>scipy</w:t>
      </w:r>
      <w:proofErr w:type="spellEnd"/>
      <w:r w:rsidRPr="003001AE">
        <w:rPr>
          <w:rFonts w:ascii="Times New Roman" w:hAnsi="Times New Roman" w:cs="Times New Roman"/>
          <w:lang w:val="en-GB" w:eastAsia="en-GB"/>
        </w:rPr>
        <w:t>: 1.14.1 for calculation of the test statistics</w:t>
      </w:r>
      <w:r w:rsidRPr="003001AE">
        <w:rPr>
          <w:rFonts w:ascii="Times New Roman" w:hAnsi="Times New Roman" w:cs="Times New Roman"/>
          <w:lang w:val="en-GB" w:eastAsia="en-GB"/>
        </w:rPr>
        <w:t xml:space="preserve">. </w:t>
      </w:r>
    </w:p>
    <w:p w14:paraId="6FCC6022" w14:textId="77777777" w:rsidR="003001AE" w:rsidRPr="003001AE" w:rsidRDefault="003001AE" w:rsidP="003001AE">
      <w:pPr>
        <w:rPr>
          <w:rFonts w:ascii="Times New Roman" w:hAnsi="Times New Roman" w:cs="Times New Roman"/>
          <w:lang w:val="en-GB" w:eastAsia="en-GB"/>
        </w:rPr>
      </w:pPr>
    </w:p>
    <w:p w14:paraId="0E90E11B" w14:textId="77777777"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r w:rsidRPr="003001AE">
        <w:rPr>
          <w:rFonts w:ascii="Times New Roman" w:eastAsia="Times New Roman" w:hAnsi="Times New Roman" w:cs="Times New Roman"/>
          <w:color w:val="000000" w:themeColor="text1"/>
          <w:kern w:val="0"/>
          <w:lang w:val="en-GB" w:eastAsia="en-GB"/>
          <w14:ligatures w14:val="none"/>
        </w:rPr>
        <w:t>Distribution    | K-S Statistic   | p-Value</w:t>
      </w:r>
    </w:p>
    <w:p w14:paraId="671879E2" w14:textId="77777777"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r w:rsidRPr="003001AE">
        <w:rPr>
          <w:rFonts w:ascii="Times New Roman" w:eastAsia="Times New Roman" w:hAnsi="Times New Roman" w:cs="Times New Roman"/>
          <w:color w:val="000000" w:themeColor="text1"/>
          <w:kern w:val="0"/>
          <w:lang w:val="en-GB" w:eastAsia="en-GB"/>
          <w14:ligatures w14:val="none"/>
        </w:rPr>
        <w:t>---------------------------------------------</w:t>
      </w:r>
    </w:p>
    <w:p w14:paraId="3108D255" w14:textId="772BB053"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r w:rsidRPr="003001AE">
        <w:rPr>
          <w:rFonts w:ascii="Times New Roman" w:eastAsia="Times New Roman" w:hAnsi="Times New Roman" w:cs="Times New Roman"/>
          <w:color w:val="000000" w:themeColor="text1"/>
          <w:kern w:val="0"/>
          <w:lang w:val="en-GB" w:eastAsia="en-GB"/>
          <w14:ligatures w14:val="none"/>
        </w:rPr>
        <w:t xml:space="preserve">norm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0.0958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3A79CAB1" w14:textId="28AF6E6A"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r w:rsidRPr="003001AE">
        <w:rPr>
          <w:rFonts w:ascii="Times New Roman" w:eastAsia="Times New Roman" w:hAnsi="Times New Roman" w:cs="Times New Roman"/>
          <w:color w:val="000000" w:themeColor="text1"/>
          <w:kern w:val="0"/>
          <w:lang w:val="en-GB" w:eastAsia="en-GB"/>
          <w14:ligatures w14:val="none"/>
        </w:rPr>
        <w:t xml:space="preserve">rice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0.0958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6D61AA89" w14:textId="1819BD21"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proofErr w:type="spellStart"/>
      <w:r w:rsidRPr="003001AE">
        <w:rPr>
          <w:rFonts w:ascii="Times New Roman" w:eastAsia="Times New Roman" w:hAnsi="Times New Roman" w:cs="Times New Roman"/>
          <w:color w:val="000000" w:themeColor="text1"/>
          <w:kern w:val="0"/>
          <w:lang w:val="en-GB" w:eastAsia="en-GB"/>
          <w14:ligatures w14:val="none"/>
        </w:rPr>
        <w:t>rayleigh</w:t>
      </w:r>
      <w:proofErr w:type="spellEnd"/>
      <w:r w:rsidRPr="003001AE">
        <w:rPr>
          <w:rFonts w:ascii="Times New Roman" w:eastAsia="Times New Roman" w:hAnsi="Times New Roman" w:cs="Times New Roman"/>
          <w:color w:val="000000" w:themeColor="text1"/>
          <w:kern w:val="0"/>
          <w:lang w:val="en-GB" w:eastAsia="en-GB"/>
          <w14:ligatures w14:val="none"/>
        </w:rPr>
        <w:t xml:space="preserve">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0.3380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56D8397D" w14:textId="527A13B1"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proofErr w:type="spellStart"/>
      <w:r w:rsidRPr="003001AE">
        <w:rPr>
          <w:rFonts w:ascii="Times New Roman" w:eastAsia="Times New Roman" w:hAnsi="Times New Roman" w:cs="Times New Roman"/>
          <w:color w:val="000000" w:themeColor="text1"/>
          <w:kern w:val="0"/>
          <w:lang w:val="en-GB" w:eastAsia="en-GB"/>
          <w14:ligatures w14:val="none"/>
        </w:rPr>
        <w:t>nakagami</w:t>
      </w:r>
      <w:proofErr w:type="spellEnd"/>
      <w:r w:rsidRPr="003001AE">
        <w:rPr>
          <w:rFonts w:ascii="Times New Roman" w:eastAsia="Times New Roman" w:hAnsi="Times New Roman" w:cs="Times New Roman"/>
          <w:color w:val="000000" w:themeColor="text1"/>
          <w:kern w:val="0"/>
          <w:lang w:val="en-GB" w:eastAsia="en-GB"/>
          <w14:ligatures w14:val="none"/>
        </w:rPr>
        <w:t xml:space="preserve">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0.0975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402243A8" w14:textId="379DABEA"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proofErr w:type="spellStart"/>
      <w:r w:rsidRPr="003001AE">
        <w:rPr>
          <w:rFonts w:ascii="Times New Roman" w:eastAsia="Times New Roman" w:hAnsi="Times New Roman" w:cs="Times New Roman"/>
          <w:color w:val="000000" w:themeColor="text1"/>
          <w:kern w:val="0"/>
          <w:lang w:val="en-GB" w:eastAsia="en-GB"/>
          <w14:ligatures w14:val="none"/>
        </w:rPr>
        <w:t>lognorm</w:t>
      </w:r>
      <w:proofErr w:type="spellEnd"/>
      <w:r w:rsidRPr="003001AE">
        <w:rPr>
          <w:rFonts w:ascii="Times New Roman" w:eastAsia="Times New Roman" w:hAnsi="Times New Roman" w:cs="Times New Roman"/>
          <w:color w:val="000000" w:themeColor="text1"/>
          <w:kern w:val="0"/>
          <w:lang w:val="en-GB" w:eastAsia="en-GB"/>
          <w14:ligatures w14:val="none"/>
        </w:rPr>
        <w:t xml:space="preserve">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0.0963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7D8A564D" w14:textId="57C7881F"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proofErr w:type="spellStart"/>
      <w:r w:rsidRPr="003001AE">
        <w:rPr>
          <w:rFonts w:ascii="Times New Roman" w:eastAsia="Times New Roman" w:hAnsi="Times New Roman" w:cs="Times New Roman"/>
          <w:color w:val="000000" w:themeColor="text1"/>
          <w:kern w:val="0"/>
          <w:lang w:val="en-GB" w:eastAsia="en-GB"/>
          <w14:ligatures w14:val="none"/>
        </w:rPr>
        <w:t>weibull_min</w:t>
      </w:r>
      <w:proofErr w:type="spellEnd"/>
      <w:r w:rsidRPr="003001AE">
        <w:rPr>
          <w:rFonts w:ascii="Times New Roman" w:eastAsia="Times New Roman" w:hAnsi="Times New Roman" w:cs="Times New Roman"/>
          <w:color w:val="000000" w:themeColor="text1"/>
          <w:kern w:val="0"/>
          <w:lang w:val="en-GB" w:eastAsia="en-GB"/>
          <w14:ligatures w14:val="none"/>
        </w:rPr>
        <w:t xml:space="preserve">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0.0782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3F1DB2BF" w14:textId="74119E89" w:rsidR="003001AE" w:rsidRPr="003001AE" w:rsidRDefault="003001AE" w:rsidP="003001AE">
      <w:pPr>
        <w:pBdr>
          <w:bottom w:val="single" w:sz="6" w:space="1" w:color="auto"/>
        </w:pBdr>
        <w:rPr>
          <w:rFonts w:ascii="Times New Roman" w:eastAsia="Times New Roman" w:hAnsi="Times New Roman" w:cs="Times New Roman"/>
          <w:color w:val="000000" w:themeColor="text1"/>
          <w:kern w:val="0"/>
          <w:lang w:val="en-GB" w:eastAsia="en-GB"/>
          <w14:ligatures w14:val="none"/>
        </w:rPr>
      </w:pPr>
      <w:r w:rsidRPr="003001AE">
        <w:rPr>
          <w:rFonts w:ascii="Times New Roman" w:eastAsia="Times New Roman" w:hAnsi="Times New Roman" w:cs="Times New Roman"/>
          <w:color w:val="000000" w:themeColor="text1"/>
          <w:kern w:val="0"/>
          <w:lang w:val="en-GB" w:eastAsia="en-GB"/>
          <w14:ligatures w14:val="none"/>
        </w:rPr>
        <w:t xml:space="preserve">gamma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xml:space="preserve">| 0.1136          </w:t>
      </w:r>
      <w:r>
        <w:rPr>
          <w:rFonts w:ascii="Times New Roman" w:eastAsia="Times New Roman" w:hAnsi="Times New Roman" w:cs="Times New Roman"/>
          <w:color w:val="000000" w:themeColor="text1"/>
          <w:kern w:val="0"/>
          <w:lang w:val="en-GB" w:eastAsia="en-GB"/>
          <w14:ligatures w14:val="none"/>
        </w:rPr>
        <w:tab/>
      </w:r>
      <w:r w:rsidRPr="003001AE">
        <w:rPr>
          <w:rFonts w:ascii="Times New Roman" w:eastAsia="Times New Roman" w:hAnsi="Times New Roman" w:cs="Times New Roman"/>
          <w:color w:val="000000" w:themeColor="text1"/>
          <w:kern w:val="0"/>
          <w:lang w:val="en-GB" w:eastAsia="en-GB"/>
          <w14:ligatures w14:val="none"/>
        </w:rPr>
        <w:t>| 0.0000</w:t>
      </w:r>
    </w:p>
    <w:p w14:paraId="715F1D14" w14:textId="77777777" w:rsidR="003001AE" w:rsidRPr="003001AE" w:rsidRDefault="003001AE" w:rsidP="003001AE">
      <w:pPr>
        <w:rPr>
          <w:rFonts w:ascii="Times New Roman" w:eastAsia="Times New Roman" w:hAnsi="Times New Roman" w:cs="Times New Roman"/>
          <w:color w:val="000000" w:themeColor="text1"/>
          <w:kern w:val="0"/>
          <w:lang w:val="en-GB" w:eastAsia="en-GB"/>
          <w14:ligatures w14:val="none"/>
        </w:rPr>
      </w:pPr>
    </w:p>
    <w:p w14:paraId="4C7C7166" w14:textId="1788EDD6" w:rsidR="007576FF" w:rsidRPr="003001AE" w:rsidRDefault="003001AE" w:rsidP="003001AE">
      <w:pPr>
        <w:rPr>
          <w:rFonts w:ascii="Times New Roman" w:eastAsia="Times New Roman" w:hAnsi="Times New Roman" w:cs="Times New Roman"/>
          <w:color w:val="000000" w:themeColor="text1"/>
          <w:kern w:val="0"/>
          <w:lang w:val="en-GB" w:eastAsia="en-GB"/>
          <w14:ligatures w14:val="none"/>
        </w:rPr>
      </w:pPr>
      <w:r w:rsidRPr="003001AE">
        <w:rPr>
          <w:rFonts w:ascii="Times New Roman" w:eastAsia="Times New Roman" w:hAnsi="Times New Roman" w:cs="Times New Roman"/>
          <w:color w:val="000000" w:themeColor="text1"/>
          <w:kern w:val="0"/>
          <w:lang w:val="en-GB" w:eastAsia="en-GB"/>
          <w14:ligatures w14:val="none"/>
        </w:rPr>
        <w:t>Fitting a Rice Distribution to the Volunteer cohort’s data to determine the IIR cutoff value based on the 97.72nd percentile (equivalent to mean + 2SD in Gaussian distribution), yields an IIR-cutoff of 1.3363</w:t>
      </w:r>
      <m:oMath>
        <m:r>
          <w:rPr>
            <w:rFonts w:ascii="Cambria Math" w:eastAsia="Times New Roman" w:hAnsi="Cambria Math" w:cs="Times New Roman"/>
            <w:color w:val="000000" w:themeColor="text1"/>
            <w:kern w:val="0"/>
            <w:lang w:val="en-GB" w:eastAsia="en-GB"/>
            <w14:ligatures w14:val="none"/>
          </w:rPr>
          <m:t>≈</m:t>
        </m:r>
      </m:oMath>
      <w:r w:rsidRPr="003001AE">
        <w:rPr>
          <w:rFonts w:ascii="Times New Roman" w:eastAsia="Times New Roman" w:hAnsi="Times New Roman" w:cs="Times New Roman"/>
          <w:color w:val="000000" w:themeColor="text1"/>
          <w:kern w:val="0"/>
          <w:lang w:val="en-GB" w:eastAsia="en-GB"/>
          <w14:ligatures w14:val="none"/>
        </w:rPr>
        <w:t xml:space="preserve">1.34, </w:t>
      </w:r>
      <w:proofErr w:type="gramStart"/>
      <w:r w:rsidRPr="003001AE">
        <w:rPr>
          <w:rFonts w:ascii="Times New Roman" w:eastAsia="Times New Roman" w:hAnsi="Times New Roman" w:cs="Times New Roman"/>
          <w:color w:val="000000" w:themeColor="text1"/>
          <w:kern w:val="0"/>
          <w:lang w:val="en-GB" w:eastAsia="en-GB"/>
          <w14:ligatures w14:val="none"/>
        </w:rPr>
        <w:t>similar to</w:t>
      </w:r>
      <w:proofErr w:type="gramEnd"/>
      <w:r w:rsidRPr="003001AE">
        <w:rPr>
          <w:rFonts w:ascii="Times New Roman" w:eastAsia="Times New Roman" w:hAnsi="Times New Roman" w:cs="Times New Roman"/>
          <w:color w:val="000000" w:themeColor="text1"/>
          <w:kern w:val="0"/>
          <w:lang w:val="en-GB" w:eastAsia="en-GB"/>
          <w14:ligatures w14:val="none"/>
        </w:rPr>
        <w:t xml:space="preserve"> the Cutoff derived from the mean + 2SD approach: 1.3354</w:t>
      </w:r>
      <m:oMath>
        <m:r>
          <w:rPr>
            <w:rFonts w:ascii="Cambria Math" w:eastAsia="Times New Roman" w:hAnsi="Cambria Math" w:cs="Times New Roman"/>
            <w:color w:val="000000" w:themeColor="text1"/>
            <w:kern w:val="0"/>
            <w:lang w:val="en-GB" w:eastAsia="en-GB"/>
            <w14:ligatures w14:val="none"/>
          </w:rPr>
          <m:t>≈</m:t>
        </m:r>
      </m:oMath>
      <w:r w:rsidRPr="003001AE">
        <w:rPr>
          <w:rFonts w:ascii="Times New Roman" w:eastAsia="Times New Roman" w:hAnsi="Times New Roman" w:cs="Times New Roman"/>
          <w:color w:val="000000" w:themeColor="text1"/>
          <w:kern w:val="0"/>
          <w:lang w:val="en-GB" w:eastAsia="en-GB"/>
          <w14:ligatures w14:val="none"/>
        </w:rPr>
        <w:t>1.34.</w:t>
      </w:r>
    </w:p>
    <w:p w14:paraId="0E4D0A19" w14:textId="77777777" w:rsidR="003001AE" w:rsidRDefault="003001AE" w:rsidP="003001AE">
      <w:pPr>
        <w:keepNext/>
        <w:spacing w:line="360" w:lineRule="auto"/>
      </w:pPr>
      <w:r>
        <w:rPr>
          <w:rFonts w:ascii="Menlo" w:eastAsia="Times New Roman" w:hAnsi="Menlo" w:cs="Menlo"/>
          <w:noProof/>
          <w:color w:val="000000" w:themeColor="text1"/>
          <w:kern w:val="0"/>
          <w:sz w:val="18"/>
          <w:szCs w:val="18"/>
          <w:lang w:eastAsia="en-GB"/>
        </w:rPr>
        <w:lastRenderedPageBreak/>
        <w:drawing>
          <wp:inline distT="0" distB="0" distL="0" distR="0" wp14:anchorId="22CA10EE" wp14:editId="21BA5F35">
            <wp:extent cx="4881459" cy="3739243"/>
            <wp:effectExtent l="0" t="0" r="0" b="0"/>
            <wp:docPr id="199359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91979" name="Picture 19935919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2662" cy="3755485"/>
                    </a:xfrm>
                    <a:prstGeom prst="rect">
                      <a:avLst/>
                    </a:prstGeom>
                  </pic:spPr>
                </pic:pic>
              </a:graphicData>
            </a:graphic>
          </wp:inline>
        </w:drawing>
      </w:r>
    </w:p>
    <w:p w14:paraId="7938DB3A" w14:textId="6DFB49E6" w:rsidR="003001AE" w:rsidRPr="003001AE" w:rsidRDefault="003001AE" w:rsidP="003001AE">
      <w:pPr>
        <w:pStyle w:val="Beschriftung"/>
        <w:rPr>
          <w:rFonts w:ascii="Times New Roman" w:hAnsi="Times New Roman" w:cs="Times New Roman"/>
          <w:lang w:val="en-US"/>
        </w:rPr>
      </w:pPr>
      <w:r w:rsidRPr="003001AE">
        <w:rPr>
          <w:rFonts w:ascii="Times New Roman" w:hAnsi="Times New Roman" w:cs="Times New Roman"/>
          <w:b/>
          <w:bCs/>
          <w:i w:val="0"/>
          <w:iCs w:val="0"/>
          <w:sz w:val="22"/>
          <w:szCs w:val="22"/>
          <w:u w:val="single"/>
        </w:rPr>
        <w:t>Supplement Figure 5</w:t>
      </w:r>
      <w:r w:rsidRPr="003001AE">
        <w:rPr>
          <w:rFonts w:ascii="Times New Roman" w:hAnsi="Times New Roman" w:cs="Times New Roman"/>
        </w:rPr>
        <w:t xml:space="preserve"> </w:t>
      </w:r>
      <w:r w:rsidRPr="003001AE">
        <w:rPr>
          <w:rFonts w:ascii="Times New Roman" w:hAnsi="Times New Roman" w:cs="Times New Roman"/>
          <w:i w:val="0"/>
          <w:iCs w:val="0"/>
          <w:color w:val="000000" w:themeColor="text1"/>
          <w:sz w:val="22"/>
          <w:szCs w:val="22"/>
        </w:rPr>
        <w:t xml:space="preserve">QQ-Plot </w:t>
      </w:r>
      <w:proofErr w:type="spellStart"/>
      <w:r w:rsidRPr="003001AE">
        <w:rPr>
          <w:rFonts w:ascii="Times New Roman" w:hAnsi="Times New Roman" w:cs="Times New Roman"/>
          <w:i w:val="0"/>
          <w:iCs w:val="0"/>
          <w:color w:val="000000" w:themeColor="text1"/>
          <w:sz w:val="22"/>
          <w:szCs w:val="22"/>
        </w:rPr>
        <w:t>for</w:t>
      </w:r>
      <w:proofErr w:type="spellEnd"/>
      <w:r w:rsidRPr="003001AE">
        <w:rPr>
          <w:rFonts w:ascii="Times New Roman" w:hAnsi="Times New Roman" w:cs="Times New Roman"/>
          <w:i w:val="0"/>
          <w:iCs w:val="0"/>
          <w:color w:val="000000" w:themeColor="text1"/>
          <w:sz w:val="22"/>
          <w:szCs w:val="22"/>
        </w:rPr>
        <w:t xml:space="preserve"> a </w:t>
      </w:r>
      <w:proofErr w:type="spellStart"/>
      <w:r w:rsidRPr="003001AE">
        <w:rPr>
          <w:rFonts w:ascii="Times New Roman" w:hAnsi="Times New Roman" w:cs="Times New Roman"/>
          <w:i w:val="0"/>
          <w:iCs w:val="0"/>
          <w:color w:val="000000" w:themeColor="text1"/>
          <w:sz w:val="22"/>
          <w:szCs w:val="22"/>
        </w:rPr>
        <w:t>Gaussian</w:t>
      </w:r>
      <w:proofErr w:type="spellEnd"/>
      <w:r w:rsidRPr="003001AE">
        <w:rPr>
          <w:rFonts w:ascii="Times New Roman" w:hAnsi="Times New Roman" w:cs="Times New Roman"/>
          <w:i w:val="0"/>
          <w:iCs w:val="0"/>
          <w:color w:val="000000" w:themeColor="text1"/>
          <w:sz w:val="22"/>
          <w:szCs w:val="22"/>
        </w:rPr>
        <w:t xml:space="preserve"> Distribution</w:t>
      </w:r>
    </w:p>
    <w:p w14:paraId="651B8E65" w14:textId="77777777" w:rsidR="003001AE" w:rsidRDefault="003001AE" w:rsidP="003001AE">
      <w:pPr>
        <w:keepNext/>
        <w:spacing w:line="360" w:lineRule="auto"/>
      </w:pPr>
      <w:r>
        <w:rPr>
          <w:rFonts w:ascii="Menlo" w:eastAsia="Times New Roman" w:hAnsi="Menlo" w:cs="Menlo"/>
          <w:noProof/>
          <w:color w:val="000000" w:themeColor="text1"/>
          <w:kern w:val="0"/>
          <w:sz w:val="18"/>
          <w:szCs w:val="18"/>
          <w:lang w:eastAsia="en-GB"/>
        </w:rPr>
        <w:drawing>
          <wp:inline distT="0" distB="0" distL="0" distR="0" wp14:anchorId="2A3A8A4A" wp14:editId="5C1EB95F">
            <wp:extent cx="4881245" cy="3739079"/>
            <wp:effectExtent l="0" t="0" r="0" b="0"/>
            <wp:docPr id="134499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9758" name="Picture 13449997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4034" cy="3748876"/>
                    </a:xfrm>
                    <a:prstGeom prst="rect">
                      <a:avLst/>
                    </a:prstGeom>
                  </pic:spPr>
                </pic:pic>
              </a:graphicData>
            </a:graphic>
          </wp:inline>
        </w:drawing>
      </w:r>
    </w:p>
    <w:p w14:paraId="0DDCEBB7" w14:textId="33E19AC0" w:rsidR="003001AE" w:rsidRPr="003001AE" w:rsidRDefault="003001AE" w:rsidP="003001AE">
      <w:pPr>
        <w:pStyle w:val="Beschriftung"/>
        <w:rPr>
          <w:rFonts w:ascii="Times New Roman" w:hAnsi="Times New Roman" w:cs="Times New Roman"/>
          <w:i w:val="0"/>
          <w:iCs w:val="0"/>
          <w:sz w:val="22"/>
          <w:szCs w:val="22"/>
          <w:lang w:val="en-US"/>
        </w:rPr>
      </w:pPr>
      <w:r w:rsidRPr="003001AE">
        <w:rPr>
          <w:rFonts w:ascii="Times New Roman" w:hAnsi="Times New Roman" w:cs="Times New Roman"/>
          <w:b/>
          <w:bCs/>
          <w:i w:val="0"/>
          <w:iCs w:val="0"/>
          <w:sz w:val="22"/>
          <w:szCs w:val="22"/>
        </w:rPr>
        <w:t xml:space="preserve">Supplement Figure </w:t>
      </w:r>
      <w:r w:rsidRPr="003001AE">
        <w:rPr>
          <w:rFonts w:ascii="Times New Roman" w:hAnsi="Times New Roman" w:cs="Times New Roman"/>
          <w:b/>
          <w:bCs/>
          <w:i w:val="0"/>
          <w:iCs w:val="0"/>
          <w:sz w:val="22"/>
          <w:szCs w:val="22"/>
        </w:rPr>
        <w:t>6</w:t>
      </w:r>
      <w:r w:rsidRPr="003001AE">
        <w:rPr>
          <w:rFonts w:ascii="Times New Roman" w:hAnsi="Times New Roman" w:cs="Times New Roman"/>
          <w:i w:val="0"/>
          <w:iCs w:val="0"/>
          <w:sz w:val="22"/>
          <w:szCs w:val="22"/>
        </w:rPr>
        <w:t xml:space="preserve"> QQ-Plot </w:t>
      </w:r>
      <w:proofErr w:type="spellStart"/>
      <w:r w:rsidRPr="003001AE">
        <w:rPr>
          <w:rFonts w:ascii="Times New Roman" w:hAnsi="Times New Roman" w:cs="Times New Roman"/>
          <w:i w:val="0"/>
          <w:iCs w:val="0"/>
          <w:sz w:val="22"/>
          <w:szCs w:val="22"/>
        </w:rPr>
        <w:t>for</w:t>
      </w:r>
      <w:proofErr w:type="spellEnd"/>
      <w:r w:rsidRPr="003001AE">
        <w:rPr>
          <w:rFonts w:ascii="Times New Roman" w:hAnsi="Times New Roman" w:cs="Times New Roman"/>
          <w:i w:val="0"/>
          <w:iCs w:val="0"/>
          <w:sz w:val="22"/>
          <w:szCs w:val="22"/>
        </w:rPr>
        <w:t xml:space="preserve"> a </w:t>
      </w:r>
      <w:proofErr w:type="spellStart"/>
      <w:r w:rsidRPr="003001AE">
        <w:rPr>
          <w:rFonts w:ascii="Times New Roman" w:hAnsi="Times New Roman" w:cs="Times New Roman"/>
          <w:i w:val="0"/>
          <w:iCs w:val="0"/>
          <w:sz w:val="22"/>
          <w:szCs w:val="22"/>
        </w:rPr>
        <w:t>Rician</w:t>
      </w:r>
      <w:r w:rsidRPr="003001AE">
        <w:rPr>
          <w:rFonts w:ascii="Times New Roman" w:hAnsi="Times New Roman" w:cs="Times New Roman"/>
          <w:i w:val="0"/>
          <w:iCs w:val="0"/>
          <w:sz w:val="22"/>
          <w:szCs w:val="22"/>
        </w:rPr>
        <w:t xml:space="preserve"> Distribution</w:t>
      </w:r>
      <w:proofErr w:type="spellEnd"/>
    </w:p>
    <w:p w14:paraId="10C026FA" w14:textId="77777777" w:rsidR="003001AE" w:rsidRDefault="003001AE" w:rsidP="00356466">
      <w:pPr>
        <w:spacing w:line="360" w:lineRule="auto"/>
        <w:rPr>
          <w:rFonts w:ascii="Times New Roman" w:hAnsi="Times New Roman" w:cs="Times New Roman"/>
          <w:lang w:val="en-US"/>
        </w:rPr>
      </w:pPr>
    </w:p>
    <w:p w14:paraId="3EBF182C" w14:textId="77777777" w:rsidR="003001AE" w:rsidRDefault="003001AE" w:rsidP="00356466">
      <w:pPr>
        <w:spacing w:line="360" w:lineRule="auto"/>
        <w:rPr>
          <w:rFonts w:ascii="Times New Roman" w:hAnsi="Times New Roman" w:cs="Times New Roman"/>
          <w:lang w:val="en-US"/>
        </w:rPr>
      </w:pPr>
    </w:p>
    <w:p w14:paraId="0A837EDB" w14:textId="0A3D51BD" w:rsidR="00386274" w:rsidRPr="00356466" w:rsidRDefault="00386274" w:rsidP="00356466">
      <w:pPr>
        <w:spacing w:line="360" w:lineRule="auto"/>
        <w:rPr>
          <w:rFonts w:ascii="Times New Roman" w:hAnsi="Times New Roman" w:cs="Times New Roman"/>
          <w:lang w:val="en-US"/>
        </w:rPr>
      </w:pPr>
      <w:r>
        <w:rPr>
          <w:rFonts w:ascii="Times New Roman" w:hAnsi="Times New Roman" w:cs="Times New Roman"/>
          <w:lang w:val="en-US"/>
        </w:rPr>
        <w:lastRenderedPageBreak/>
        <w:t>Supplement References</w:t>
      </w:r>
    </w:p>
    <w:p w14:paraId="6E135D2E" w14:textId="77777777" w:rsidR="005E635A" w:rsidRPr="00356466" w:rsidRDefault="001541D5" w:rsidP="00356466">
      <w:pPr>
        <w:pStyle w:val="Literaturverzeichnis"/>
        <w:spacing w:line="360" w:lineRule="auto"/>
        <w:rPr>
          <w:rFonts w:ascii="Times New Roman" w:hAnsi="Times New Roman" w:cs="Times New Roman"/>
        </w:rPr>
      </w:pPr>
      <w:r w:rsidRPr="00356466">
        <w:rPr>
          <w:rFonts w:ascii="Times New Roman" w:hAnsi="Times New Roman" w:cs="Times New Roman"/>
          <w:lang w:val="en-US"/>
        </w:rPr>
        <w:fldChar w:fldCharType="begin"/>
      </w:r>
      <w:r w:rsidRPr="00356466">
        <w:rPr>
          <w:rFonts w:ascii="Times New Roman" w:hAnsi="Times New Roman" w:cs="Times New Roman"/>
          <w:lang w:val="en-US"/>
        </w:rPr>
        <w:instrText xml:space="preserve"> ADDIN ZOTERO_BIBL {"uncited":[],"omitted":[],"custom":[]} CSL_BIBLIOGRAPHY </w:instrText>
      </w:r>
      <w:r w:rsidRPr="00356466">
        <w:rPr>
          <w:rFonts w:ascii="Times New Roman" w:hAnsi="Times New Roman" w:cs="Times New Roman"/>
          <w:lang w:val="en-US"/>
        </w:rPr>
        <w:fldChar w:fldCharType="separate"/>
      </w:r>
      <w:r w:rsidR="005E635A" w:rsidRPr="00356466">
        <w:rPr>
          <w:rFonts w:ascii="Times New Roman" w:hAnsi="Times New Roman" w:cs="Times New Roman"/>
          <w:lang w:val="en-GB"/>
        </w:rPr>
        <w:t xml:space="preserve">1. </w:t>
      </w:r>
      <w:r w:rsidR="005E635A" w:rsidRPr="00356466">
        <w:rPr>
          <w:rFonts w:ascii="Times New Roman" w:hAnsi="Times New Roman" w:cs="Times New Roman"/>
          <w:lang w:val="en-GB"/>
        </w:rPr>
        <w:tab/>
        <w:t xml:space="preserve">Schroeder W, Martin K, Lorensen B. The Visualization Toolkit (4th ed.). </w:t>
      </w:r>
      <w:r w:rsidR="005E635A" w:rsidRPr="00356466">
        <w:rPr>
          <w:rFonts w:ascii="Times New Roman" w:hAnsi="Times New Roman" w:cs="Times New Roman"/>
        </w:rPr>
        <w:t xml:space="preserve">Kitware; 2006. </w:t>
      </w:r>
    </w:p>
    <w:p w14:paraId="77EA93C3"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rPr>
        <w:t xml:space="preserve">2. </w:t>
      </w:r>
      <w:r w:rsidRPr="00356466">
        <w:rPr>
          <w:rFonts w:ascii="Times New Roman" w:hAnsi="Times New Roman" w:cs="Times New Roman"/>
        </w:rPr>
        <w:tab/>
        <w:t xml:space="preserve">Hohmann S, Henkenberens C, Zormpas C, Christiansen H, Bauersachs J, Duncker D, </w:t>
      </w:r>
      <w:r w:rsidRPr="00356466">
        <w:rPr>
          <w:rFonts w:ascii="Times New Roman" w:hAnsi="Times New Roman" w:cs="Times New Roman"/>
          <w:i/>
          <w:iCs/>
        </w:rPr>
        <w:t>et al.</w:t>
      </w:r>
      <w:r w:rsidRPr="00356466">
        <w:rPr>
          <w:rFonts w:ascii="Times New Roman" w:hAnsi="Times New Roman" w:cs="Times New Roman"/>
        </w:rPr>
        <w:t xml:space="preserve"> </w:t>
      </w:r>
      <w:r w:rsidRPr="00356466">
        <w:rPr>
          <w:rFonts w:ascii="Times New Roman" w:hAnsi="Times New Roman" w:cs="Times New Roman"/>
          <w:lang w:val="en-GB"/>
        </w:rPr>
        <w:t xml:space="preserve">A novel open-source software-based high-precision workflow for target definition in cardiac radioablation. </w:t>
      </w:r>
      <w:r w:rsidRPr="00356466">
        <w:rPr>
          <w:rFonts w:ascii="Times New Roman" w:hAnsi="Times New Roman" w:cs="Times New Roman"/>
          <w:i/>
          <w:iCs/>
          <w:lang w:val="en-GB"/>
        </w:rPr>
        <w:t>Journal of Cardiovascular Electrophysiology</w:t>
      </w:r>
      <w:r w:rsidRPr="00356466">
        <w:rPr>
          <w:rFonts w:ascii="Times New Roman" w:hAnsi="Times New Roman" w:cs="Times New Roman"/>
          <w:lang w:val="en-GB"/>
        </w:rPr>
        <w:t xml:space="preserve"> 2020;</w:t>
      </w:r>
      <w:r w:rsidRPr="00356466">
        <w:rPr>
          <w:rFonts w:ascii="Times New Roman" w:hAnsi="Times New Roman" w:cs="Times New Roman"/>
          <w:b/>
          <w:bCs/>
          <w:lang w:val="en-GB"/>
        </w:rPr>
        <w:t>31</w:t>
      </w:r>
      <w:r w:rsidRPr="00356466">
        <w:rPr>
          <w:rFonts w:ascii="Times New Roman" w:hAnsi="Times New Roman" w:cs="Times New Roman"/>
          <w:lang w:val="en-GB"/>
        </w:rPr>
        <w:t xml:space="preserve">:2689–95. </w:t>
      </w:r>
    </w:p>
    <w:p w14:paraId="7D3388D0"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lang w:val="en-GB"/>
        </w:rPr>
        <w:t xml:space="preserve">3. </w:t>
      </w:r>
      <w:r w:rsidRPr="00356466">
        <w:rPr>
          <w:rFonts w:ascii="Times New Roman" w:hAnsi="Times New Roman" w:cs="Times New Roman"/>
          <w:lang w:val="en-GB"/>
        </w:rPr>
        <w:tab/>
        <w:t xml:space="preserve">Harris CR, Millman KJ, Walt SJ van der, Gommers R, Virtanen P, Cournapeau D, </w:t>
      </w:r>
      <w:r w:rsidRPr="00356466">
        <w:rPr>
          <w:rFonts w:ascii="Times New Roman" w:hAnsi="Times New Roman" w:cs="Times New Roman"/>
          <w:i/>
          <w:iCs/>
          <w:lang w:val="en-GB"/>
        </w:rPr>
        <w:t>et al.</w:t>
      </w:r>
      <w:r w:rsidRPr="00356466">
        <w:rPr>
          <w:rFonts w:ascii="Times New Roman" w:hAnsi="Times New Roman" w:cs="Times New Roman"/>
          <w:lang w:val="en-GB"/>
        </w:rPr>
        <w:t xml:space="preserve"> Array programming with NumPy. </w:t>
      </w:r>
      <w:r w:rsidRPr="00356466">
        <w:rPr>
          <w:rFonts w:ascii="Times New Roman" w:hAnsi="Times New Roman" w:cs="Times New Roman"/>
          <w:i/>
          <w:iCs/>
          <w:lang w:val="en-GB"/>
        </w:rPr>
        <w:t>Nature</w:t>
      </w:r>
      <w:r w:rsidRPr="00356466">
        <w:rPr>
          <w:rFonts w:ascii="Times New Roman" w:hAnsi="Times New Roman" w:cs="Times New Roman"/>
          <w:lang w:val="en-GB"/>
        </w:rPr>
        <w:t xml:space="preserve"> Springer Science and Business Media LLC; 2020;</w:t>
      </w:r>
      <w:r w:rsidRPr="00356466">
        <w:rPr>
          <w:rFonts w:ascii="Times New Roman" w:hAnsi="Times New Roman" w:cs="Times New Roman"/>
          <w:b/>
          <w:bCs/>
          <w:lang w:val="en-GB"/>
        </w:rPr>
        <w:t>585</w:t>
      </w:r>
      <w:r w:rsidRPr="00356466">
        <w:rPr>
          <w:rFonts w:ascii="Times New Roman" w:hAnsi="Times New Roman" w:cs="Times New Roman"/>
          <w:lang w:val="en-GB"/>
        </w:rPr>
        <w:t xml:space="preserve">:357–62. </w:t>
      </w:r>
    </w:p>
    <w:p w14:paraId="3D147FD6"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lang w:val="en-GB"/>
        </w:rPr>
        <w:t xml:space="preserve">4. </w:t>
      </w:r>
      <w:r w:rsidRPr="00356466">
        <w:rPr>
          <w:rFonts w:ascii="Times New Roman" w:hAnsi="Times New Roman" w:cs="Times New Roman"/>
          <w:lang w:val="en-GB"/>
        </w:rPr>
        <w:tab/>
        <w:t xml:space="preserve">Sullivan B, Kaszynski A. PyVista: 3D plotting and mesh analysis through a streamlined interface for the Visualization Toolkit (VTK). </w:t>
      </w:r>
      <w:r w:rsidRPr="00356466">
        <w:rPr>
          <w:rFonts w:ascii="Times New Roman" w:hAnsi="Times New Roman" w:cs="Times New Roman"/>
          <w:i/>
          <w:iCs/>
          <w:lang w:val="en-GB"/>
        </w:rPr>
        <w:t>Journal of Open Source Software</w:t>
      </w:r>
      <w:r w:rsidRPr="00356466">
        <w:rPr>
          <w:rFonts w:ascii="Times New Roman" w:hAnsi="Times New Roman" w:cs="Times New Roman"/>
          <w:lang w:val="en-GB"/>
        </w:rPr>
        <w:t xml:space="preserve"> The Open Journal; 2019;</w:t>
      </w:r>
      <w:r w:rsidRPr="00356466">
        <w:rPr>
          <w:rFonts w:ascii="Times New Roman" w:hAnsi="Times New Roman" w:cs="Times New Roman"/>
          <w:b/>
          <w:bCs/>
          <w:lang w:val="en-GB"/>
        </w:rPr>
        <w:t>4</w:t>
      </w:r>
      <w:r w:rsidRPr="00356466">
        <w:rPr>
          <w:rFonts w:ascii="Times New Roman" w:hAnsi="Times New Roman" w:cs="Times New Roman"/>
          <w:lang w:val="en-GB"/>
        </w:rPr>
        <w:t xml:space="preserve">:1450. </w:t>
      </w:r>
    </w:p>
    <w:p w14:paraId="5678FA59"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lang w:val="en-GB"/>
        </w:rPr>
        <w:t xml:space="preserve">5. </w:t>
      </w:r>
      <w:r w:rsidRPr="00356466">
        <w:rPr>
          <w:rFonts w:ascii="Times New Roman" w:hAnsi="Times New Roman" w:cs="Times New Roman"/>
          <w:lang w:val="en-GB"/>
        </w:rPr>
        <w:tab/>
        <w:t xml:space="preserve">Razeghi O, Solís-Lemus JA, Lee AWC, Karim R, Corrado C, Roney CH, </w:t>
      </w:r>
      <w:r w:rsidRPr="00356466">
        <w:rPr>
          <w:rFonts w:ascii="Times New Roman" w:hAnsi="Times New Roman" w:cs="Times New Roman"/>
          <w:i/>
          <w:iCs/>
          <w:lang w:val="en-GB"/>
        </w:rPr>
        <w:t>et al.</w:t>
      </w:r>
      <w:r w:rsidRPr="00356466">
        <w:rPr>
          <w:rFonts w:ascii="Times New Roman" w:hAnsi="Times New Roman" w:cs="Times New Roman"/>
          <w:lang w:val="en-GB"/>
        </w:rPr>
        <w:t xml:space="preserve"> CemrgApp: An interactive medical imaging application with image processing, computer vision, and machine learning toolkits for cardiovascular research. </w:t>
      </w:r>
      <w:r w:rsidRPr="00356466">
        <w:rPr>
          <w:rFonts w:ascii="Times New Roman" w:hAnsi="Times New Roman" w:cs="Times New Roman"/>
          <w:i/>
          <w:iCs/>
          <w:lang w:val="en-GB"/>
        </w:rPr>
        <w:t>SoftwareX</w:t>
      </w:r>
      <w:r w:rsidRPr="00356466">
        <w:rPr>
          <w:rFonts w:ascii="Times New Roman" w:hAnsi="Times New Roman" w:cs="Times New Roman"/>
          <w:lang w:val="en-GB"/>
        </w:rPr>
        <w:t xml:space="preserve"> 2020;</w:t>
      </w:r>
      <w:r w:rsidRPr="00356466">
        <w:rPr>
          <w:rFonts w:ascii="Times New Roman" w:hAnsi="Times New Roman" w:cs="Times New Roman"/>
          <w:b/>
          <w:bCs/>
          <w:lang w:val="en-GB"/>
        </w:rPr>
        <w:t>12</w:t>
      </w:r>
      <w:r w:rsidRPr="00356466">
        <w:rPr>
          <w:rFonts w:ascii="Times New Roman" w:hAnsi="Times New Roman" w:cs="Times New Roman"/>
          <w:lang w:val="en-GB"/>
        </w:rPr>
        <w:t xml:space="preserve">:100570. </w:t>
      </w:r>
    </w:p>
    <w:p w14:paraId="7A291EB7"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lang w:val="en-GB"/>
        </w:rPr>
        <w:t xml:space="preserve">6. </w:t>
      </w:r>
      <w:r w:rsidRPr="00356466">
        <w:rPr>
          <w:rFonts w:ascii="Times New Roman" w:hAnsi="Times New Roman" w:cs="Times New Roman"/>
          <w:lang w:val="en-GB"/>
        </w:rPr>
        <w:tab/>
        <w:t xml:space="preserve">Sorkine O, Alexa M. As-rigid-as-possible surface modeling. </w:t>
      </w:r>
      <w:r w:rsidRPr="00356466">
        <w:rPr>
          <w:rFonts w:ascii="Times New Roman" w:hAnsi="Times New Roman" w:cs="Times New Roman"/>
          <w:i/>
          <w:iCs/>
          <w:lang w:val="en-GB"/>
        </w:rPr>
        <w:t>Proceedings of the Fifth Eurographics Symposium on Geometry Processing</w:t>
      </w:r>
      <w:r w:rsidRPr="00356466">
        <w:rPr>
          <w:rFonts w:ascii="Times New Roman" w:hAnsi="Times New Roman" w:cs="Times New Roman"/>
          <w:lang w:val="en-GB"/>
        </w:rPr>
        <w:t xml:space="preserve"> Goslar, DEU: Eurographics Association; 2007. p. 109–16. </w:t>
      </w:r>
    </w:p>
    <w:p w14:paraId="168C5263"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lang w:val="en-GB"/>
        </w:rPr>
        <w:t xml:space="preserve">7. </w:t>
      </w:r>
      <w:r w:rsidRPr="00356466">
        <w:rPr>
          <w:rFonts w:ascii="Times New Roman" w:hAnsi="Times New Roman" w:cs="Times New Roman"/>
          <w:lang w:val="en-GB"/>
        </w:rPr>
        <w:tab/>
        <w:t xml:space="preserve">Bijvoet GP, Nies HMJM, Holtackers RJ, Linz D, Adriaans BP, Nijveldt R, </w:t>
      </w:r>
      <w:r w:rsidRPr="00356466">
        <w:rPr>
          <w:rFonts w:ascii="Times New Roman" w:hAnsi="Times New Roman" w:cs="Times New Roman"/>
          <w:i/>
          <w:iCs/>
          <w:lang w:val="en-GB"/>
        </w:rPr>
        <w:t>et al.</w:t>
      </w:r>
      <w:r w:rsidRPr="00356466">
        <w:rPr>
          <w:rFonts w:ascii="Times New Roman" w:hAnsi="Times New Roman" w:cs="Times New Roman"/>
          <w:lang w:val="en-GB"/>
        </w:rPr>
        <w:t xml:space="preserve"> Correlation between Cardiac MRI and Voltage Mapping in Evaluating                     Atrial Fibrosis: A Systematic Review. </w:t>
      </w:r>
      <w:r w:rsidRPr="00356466">
        <w:rPr>
          <w:rFonts w:ascii="Times New Roman" w:hAnsi="Times New Roman" w:cs="Times New Roman"/>
          <w:i/>
          <w:iCs/>
          <w:lang w:val="en-GB"/>
        </w:rPr>
        <w:t>Radiology: Cardiothoracic Imaging</w:t>
      </w:r>
      <w:r w:rsidRPr="00356466">
        <w:rPr>
          <w:rFonts w:ascii="Times New Roman" w:hAnsi="Times New Roman" w:cs="Times New Roman"/>
          <w:lang w:val="en-GB"/>
        </w:rPr>
        <w:t xml:space="preserve"> Radiological Society of North America; 2022;</w:t>
      </w:r>
      <w:r w:rsidRPr="00356466">
        <w:rPr>
          <w:rFonts w:ascii="Times New Roman" w:hAnsi="Times New Roman" w:cs="Times New Roman"/>
          <w:b/>
          <w:bCs/>
          <w:lang w:val="en-GB"/>
        </w:rPr>
        <w:t>4</w:t>
      </w:r>
      <w:r w:rsidRPr="00356466">
        <w:rPr>
          <w:rFonts w:ascii="Times New Roman" w:hAnsi="Times New Roman" w:cs="Times New Roman"/>
          <w:lang w:val="en-GB"/>
        </w:rPr>
        <w:t xml:space="preserve">:e220061. </w:t>
      </w:r>
    </w:p>
    <w:p w14:paraId="204155D7" w14:textId="77777777" w:rsidR="005E635A" w:rsidRPr="00356466" w:rsidRDefault="005E635A" w:rsidP="00356466">
      <w:pPr>
        <w:pStyle w:val="Literaturverzeichnis"/>
        <w:spacing w:line="360" w:lineRule="auto"/>
        <w:rPr>
          <w:rFonts w:ascii="Times New Roman" w:hAnsi="Times New Roman" w:cs="Times New Roman"/>
          <w:lang w:val="en-GB"/>
        </w:rPr>
      </w:pPr>
      <w:r w:rsidRPr="00356466">
        <w:rPr>
          <w:rFonts w:ascii="Times New Roman" w:hAnsi="Times New Roman" w:cs="Times New Roman"/>
          <w:lang w:val="en-GB"/>
        </w:rPr>
        <w:t xml:space="preserve">8. </w:t>
      </w:r>
      <w:r w:rsidRPr="00356466">
        <w:rPr>
          <w:rFonts w:ascii="Times New Roman" w:hAnsi="Times New Roman" w:cs="Times New Roman"/>
          <w:lang w:val="en-GB"/>
        </w:rPr>
        <w:tab/>
        <w:t xml:space="preserve">Wendland H. Local polynomial reproduction and moving least squares approximation. </w:t>
      </w:r>
      <w:r w:rsidRPr="00356466">
        <w:rPr>
          <w:rFonts w:ascii="Times New Roman" w:hAnsi="Times New Roman" w:cs="Times New Roman"/>
          <w:i/>
          <w:iCs/>
          <w:lang w:val="en-GB"/>
        </w:rPr>
        <w:t>IMA J Numer Anal</w:t>
      </w:r>
      <w:r w:rsidRPr="00356466">
        <w:rPr>
          <w:rFonts w:ascii="Times New Roman" w:hAnsi="Times New Roman" w:cs="Times New Roman"/>
          <w:lang w:val="en-GB"/>
        </w:rPr>
        <w:t xml:space="preserve"> 2001;</w:t>
      </w:r>
      <w:r w:rsidRPr="00356466">
        <w:rPr>
          <w:rFonts w:ascii="Times New Roman" w:hAnsi="Times New Roman" w:cs="Times New Roman"/>
          <w:b/>
          <w:bCs/>
          <w:lang w:val="en-GB"/>
        </w:rPr>
        <w:t>21</w:t>
      </w:r>
      <w:r w:rsidRPr="00356466">
        <w:rPr>
          <w:rFonts w:ascii="Times New Roman" w:hAnsi="Times New Roman" w:cs="Times New Roman"/>
          <w:lang w:val="en-GB"/>
        </w:rPr>
        <w:t xml:space="preserve">:285–300. </w:t>
      </w:r>
    </w:p>
    <w:p w14:paraId="54C726FE" w14:textId="0586E397" w:rsidR="0007125A" w:rsidRPr="00356466" w:rsidRDefault="001541D5" w:rsidP="00356466">
      <w:pPr>
        <w:pStyle w:val="Literaturverzeichnis"/>
        <w:spacing w:line="360" w:lineRule="auto"/>
        <w:rPr>
          <w:rFonts w:ascii="Times New Roman" w:hAnsi="Times New Roman" w:cs="Times New Roman"/>
          <w:lang w:val="en-US"/>
        </w:rPr>
      </w:pPr>
      <w:r w:rsidRPr="00356466">
        <w:rPr>
          <w:rFonts w:ascii="Times New Roman" w:hAnsi="Times New Roman" w:cs="Times New Roman"/>
          <w:lang w:val="en-US"/>
        </w:rPr>
        <w:fldChar w:fldCharType="end"/>
      </w:r>
    </w:p>
    <w:sectPr w:rsidR="0007125A" w:rsidRPr="00356466" w:rsidSect="00283218">
      <w:footerReference w:type="even" r:id="rId13"/>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A1AA3" w14:textId="77777777" w:rsidR="008E1EC2" w:rsidRDefault="008E1EC2" w:rsidP="00283218">
      <w:r>
        <w:separator/>
      </w:r>
    </w:p>
  </w:endnote>
  <w:endnote w:type="continuationSeparator" w:id="0">
    <w:p w14:paraId="3540D850" w14:textId="77777777" w:rsidR="008E1EC2" w:rsidRDefault="008E1EC2" w:rsidP="0028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788003703"/>
      <w:docPartObj>
        <w:docPartGallery w:val="Page Numbers (Bottom of Page)"/>
        <w:docPartUnique/>
      </w:docPartObj>
    </w:sdtPr>
    <w:sdtContent>
      <w:p w14:paraId="505AB405" w14:textId="4D46EEF2" w:rsidR="00283218" w:rsidRDefault="00283218" w:rsidP="004E3B5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14:paraId="2CF86580" w14:textId="77777777" w:rsidR="00283218" w:rsidRDefault="00283218" w:rsidP="0028321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704859749"/>
      <w:docPartObj>
        <w:docPartGallery w:val="Page Numbers (Bottom of Page)"/>
        <w:docPartUnique/>
      </w:docPartObj>
    </w:sdtPr>
    <w:sdtContent>
      <w:p w14:paraId="39BA4501" w14:textId="4D88AADD" w:rsidR="00283218" w:rsidRDefault="00283218" w:rsidP="004E3B5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6B786C7" w14:textId="77777777" w:rsidR="00283218" w:rsidRDefault="00283218" w:rsidP="0028321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B25A4" w14:textId="77777777" w:rsidR="008E1EC2" w:rsidRDefault="008E1EC2" w:rsidP="00283218">
      <w:r>
        <w:separator/>
      </w:r>
    </w:p>
  </w:footnote>
  <w:footnote w:type="continuationSeparator" w:id="0">
    <w:p w14:paraId="393FF5A0" w14:textId="77777777" w:rsidR="008E1EC2" w:rsidRDefault="008E1EC2" w:rsidP="00283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B5BCC"/>
    <w:multiLevelType w:val="multilevel"/>
    <w:tmpl w:val="DC5C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86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19"/>
    <w:rsid w:val="000134B5"/>
    <w:rsid w:val="0007125A"/>
    <w:rsid w:val="000D613E"/>
    <w:rsid w:val="001541D5"/>
    <w:rsid w:val="00174D55"/>
    <w:rsid w:val="00175615"/>
    <w:rsid w:val="001F752B"/>
    <w:rsid w:val="0022230A"/>
    <w:rsid w:val="00240CD6"/>
    <w:rsid w:val="00283218"/>
    <w:rsid w:val="003001AE"/>
    <w:rsid w:val="0031077B"/>
    <w:rsid w:val="00321A73"/>
    <w:rsid w:val="00323047"/>
    <w:rsid w:val="00356466"/>
    <w:rsid w:val="00370757"/>
    <w:rsid w:val="00386274"/>
    <w:rsid w:val="003929C7"/>
    <w:rsid w:val="003C733C"/>
    <w:rsid w:val="003E5FFD"/>
    <w:rsid w:val="0043595B"/>
    <w:rsid w:val="00441D08"/>
    <w:rsid w:val="00482EF8"/>
    <w:rsid w:val="004E05EA"/>
    <w:rsid w:val="00580A33"/>
    <w:rsid w:val="00593319"/>
    <w:rsid w:val="005E635A"/>
    <w:rsid w:val="005F74EA"/>
    <w:rsid w:val="00634063"/>
    <w:rsid w:val="00653E47"/>
    <w:rsid w:val="00664A6E"/>
    <w:rsid w:val="0067005F"/>
    <w:rsid w:val="006D3CC8"/>
    <w:rsid w:val="00700A61"/>
    <w:rsid w:val="007576FF"/>
    <w:rsid w:val="00764A6C"/>
    <w:rsid w:val="00803B28"/>
    <w:rsid w:val="008104A2"/>
    <w:rsid w:val="00821AC5"/>
    <w:rsid w:val="00823550"/>
    <w:rsid w:val="008E1EC2"/>
    <w:rsid w:val="009126E0"/>
    <w:rsid w:val="0092652F"/>
    <w:rsid w:val="009433A1"/>
    <w:rsid w:val="00957577"/>
    <w:rsid w:val="00974F98"/>
    <w:rsid w:val="009908C0"/>
    <w:rsid w:val="009966B1"/>
    <w:rsid w:val="00A0342F"/>
    <w:rsid w:val="00AD3547"/>
    <w:rsid w:val="00AF4A19"/>
    <w:rsid w:val="00B37A75"/>
    <w:rsid w:val="00C538FA"/>
    <w:rsid w:val="00C71FC7"/>
    <w:rsid w:val="00C855C1"/>
    <w:rsid w:val="00C91662"/>
    <w:rsid w:val="00CB0A94"/>
    <w:rsid w:val="00CD5155"/>
    <w:rsid w:val="00CE2544"/>
    <w:rsid w:val="00D24EF3"/>
    <w:rsid w:val="00D424C2"/>
    <w:rsid w:val="00D9179C"/>
    <w:rsid w:val="00D94784"/>
    <w:rsid w:val="00DA1262"/>
    <w:rsid w:val="00E02330"/>
    <w:rsid w:val="00E62EEC"/>
    <w:rsid w:val="00E64452"/>
    <w:rsid w:val="00E8387C"/>
    <w:rsid w:val="00EB67AA"/>
    <w:rsid w:val="00F11D61"/>
    <w:rsid w:val="00F3734A"/>
    <w:rsid w:val="00F427FD"/>
    <w:rsid w:val="00F45F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5A5BFE8"/>
  <w15:chartTrackingRefBased/>
  <w15:docId w15:val="{9BB812F3-AE15-084A-8014-D27184E1F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933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933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9331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9331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9331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9331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9331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9331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9331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331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9331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9331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9331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9331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9331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9331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9331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93319"/>
    <w:rPr>
      <w:rFonts w:eastAsiaTheme="majorEastAsia" w:cstheme="majorBidi"/>
      <w:color w:val="272727" w:themeColor="text1" w:themeTint="D8"/>
    </w:rPr>
  </w:style>
  <w:style w:type="paragraph" w:styleId="Titel">
    <w:name w:val="Title"/>
    <w:basedOn w:val="Standard"/>
    <w:next w:val="Standard"/>
    <w:link w:val="TitelZchn"/>
    <w:uiPriority w:val="10"/>
    <w:qFormat/>
    <w:rsid w:val="0059331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9331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9331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9331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9331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93319"/>
    <w:rPr>
      <w:i/>
      <w:iCs/>
      <w:color w:val="404040" w:themeColor="text1" w:themeTint="BF"/>
    </w:rPr>
  </w:style>
  <w:style w:type="paragraph" w:styleId="Listenabsatz">
    <w:name w:val="List Paragraph"/>
    <w:basedOn w:val="Standard"/>
    <w:uiPriority w:val="34"/>
    <w:qFormat/>
    <w:rsid w:val="00593319"/>
    <w:pPr>
      <w:ind w:left="720"/>
      <w:contextualSpacing/>
    </w:pPr>
  </w:style>
  <w:style w:type="character" w:styleId="IntensiveHervorhebung">
    <w:name w:val="Intense Emphasis"/>
    <w:basedOn w:val="Absatz-Standardschriftart"/>
    <w:uiPriority w:val="21"/>
    <w:qFormat/>
    <w:rsid w:val="00593319"/>
    <w:rPr>
      <w:i/>
      <w:iCs/>
      <w:color w:val="0F4761" w:themeColor="accent1" w:themeShade="BF"/>
    </w:rPr>
  </w:style>
  <w:style w:type="paragraph" w:styleId="IntensivesZitat">
    <w:name w:val="Intense Quote"/>
    <w:basedOn w:val="Standard"/>
    <w:next w:val="Standard"/>
    <w:link w:val="IntensivesZitatZchn"/>
    <w:uiPriority w:val="30"/>
    <w:qFormat/>
    <w:rsid w:val="005933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93319"/>
    <w:rPr>
      <w:i/>
      <w:iCs/>
      <w:color w:val="0F4761" w:themeColor="accent1" w:themeShade="BF"/>
    </w:rPr>
  </w:style>
  <w:style w:type="character" w:styleId="IntensiverVerweis">
    <w:name w:val="Intense Reference"/>
    <w:basedOn w:val="Absatz-Standardschriftart"/>
    <w:uiPriority w:val="32"/>
    <w:qFormat/>
    <w:rsid w:val="00593319"/>
    <w:rPr>
      <w:b/>
      <w:bCs/>
      <w:smallCaps/>
      <w:color w:val="0F4761" w:themeColor="accent1" w:themeShade="BF"/>
      <w:spacing w:val="5"/>
    </w:rPr>
  </w:style>
  <w:style w:type="paragraph" w:styleId="Literaturverzeichnis">
    <w:name w:val="Bibliography"/>
    <w:basedOn w:val="Standard"/>
    <w:next w:val="Standard"/>
    <w:uiPriority w:val="37"/>
    <w:unhideWhenUsed/>
    <w:rsid w:val="001541D5"/>
  </w:style>
  <w:style w:type="paragraph" w:styleId="StandardWeb">
    <w:name w:val="Normal (Web)"/>
    <w:basedOn w:val="Standard"/>
    <w:uiPriority w:val="99"/>
    <w:unhideWhenUsed/>
    <w:rsid w:val="00CD5155"/>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CD5155"/>
    <w:rPr>
      <w:b/>
      <w:bCs/>
    </w:rPr>
  </w:style>
  <w:style w:type="character" w:styleId="Kommentarzeichen">
    <w:name w:val="annotation reference"/>
    <w:basedOn w:val="Absatz-Standardschriftart"/>
    <w:uiPriority w:val="99"/>
    <w:semiHidden/>
    <w:unhideWhenUsed/>
    <w:rsid w:val="00CD5155"/>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Zeilennummer">
    <w:name w:val="line number"/>
    <w:basedOn w:val="Absatz-Standardschriftart"/>
    <w:uiPriority w:val="99"/>
    <w:semiHidden/>
    <w:unhideWhenUsed/>
    <w:rsid w:val="00283218"/>
  </w:style>
  <w:style w:type="paragraph" w:styleId="Fuzeile">
    <w:name w:val="footer"/>
    <w:basedOn w:val="Standard"/>
    <w:link w:val="FuzeileZchn"/>
    <w:uiPriority w:val="99"/>
    <w:unhideWhenUsed/>
    <w:rsid w:val="00283218"/>
    <w:pPr>
      <w:tabs>
        <w:tab w:val="center" w:pos="4536"/>
        <w:tab w:val="right" w:pos="9072"/>
      </w:tabs>
    </w:pPr>
  </w:style>
  <w:style w:type="character" w:customStyle="1" w:styleId="FuzeileZchn">
    <w:name w:val="Fußzeile Zchn"/>
    <w:basedOn w:val="Absatz-Standardschriftart"/>
    <w:link w:val="Fuzeile"/>
    <w:uiPriority w:val="99"/>
    <w:rsid w:val="00283218"/>
  </w:style>
  <w:style w:type="character" w:styleId="Seitenzahl">
    <w:name w:val="page number"/>
    <w:basedOn w:val="Absatz-Standardschriftart"/>
    <w:uiPriority w:val="99"/>
    <w:semiHidden/>
    <w:unhideWhenUsed/>
    <w:rsid w:val="00283218"/>
  </w:style>
  <w:style w:type="paragraph" w:styleId="berarbeitung">
    <w:name w:val="Revision"/>
    <w:hidden/>
    <w:uiPriority w:val="99"/>
    <w:semiHidden/>
    <w:rsid w:val="00386274"/>
  </w:style>
  <w:style w:type="paragraph" w:styleId="Beschriftung">
    <w:name w:val="caption"/>
    <w:basedOn w:val="Standard"/>
    <w:next w:val="Standard"/>
    <w:uiPriority w:val="35"/>
    <w:unhideWhenUsed/>
    <w:qFormat/>
    <w:rsid w:val="003001AE"/>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3361</Words>
  <Characters>19731</Characters>
  <Application>Microsoft Office Word</Application>
  <DocSecurity>0</DocSecurity>
  <Lines>448</Lines>
  <Paragraphs>158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Hickstein, Richard</dc:creator>
  <cp:keywords/>
  <dc:description/>
  <cp:lastModifiedBy>Fenski, Maximilian</cp:lastModifiedBy>
  <cp:revision>7</cp:revision>
  <dcterms:created xsi:type="dcterms:W3CDTF">2026-04-18T10:42:00Z</dcterms:created>
  <dcterms:modified xsi:type="dcterms:W3CDTF">2026-05-18T11:34:00Z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id="vco4YvDJ"/&gt;&lt;style id="http://www.zotero.org/styles/europace" hasBibliography="1" bibliographyStyleHasBeenSet="1"/&gt;&lt;prefs&gt;&lt;pref name="fieldType" value="Field"/&gt;&lt;/prefs&gt;&lt;/data&gt;</vt:lpwstr>
  </property>
</Properties>
</file>