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4409D" w14:textId="60A3C585" w:rsidR="0094224E" w:rsidRPr="00FD0076" w:rsidRDefault="00000000">
      <w:pPr>
        <w:spacing w:before="240" w:after="120" w:line="480" w:lineRule="auto"/>
        <w:jc w:val="both"/>
        <w:rPr>
          <w:b/>
          <w:bCs/>
          <w:sz w:val="26"/>
          <w:szCs w:val="26"/>
          <w:lang w:val="en-US"/>
        </w:rPr>
      </w:pPr>
      <w:r w:rsidRPr="00FD0076">
        <w:rPr>
          <w:b/>
          <w:bCs/>
          <w:sz w:val="26"/>
          <w:szCs w:val="26"/>
          <w:lang w:val="en-US"/>
        </w:rPr>
        <w:t>Supplementary Methods</w:t>
      </w:r>
    </w:p>
    <w:p w14:paraId="390FBD93" w14:textId="77777777" w:rsidR="0094224E" w:rsidRPr="00FD0076" w:rsidRDefault="00000000">
      <w:pPr>
        <w:spacing w:before="240" w:after="120" w:line="480" w:lineRule="auto"/>
        <w:jc w:val="both"/>
        <w:rPr>
          <w:b/>
          <w:bCs/>
          <w:sz w:val="24"/>
          <w:szCs w:val="24"/>
          <w:lang w:val="en-US"/>
        </w:rPr>
      </w:pPr>
      <w:r w:rsidRPr="00FD0076">
        <w:rPr>
          <w:b/>
          <w:bCs/>
          <w:sz w:val="24"/>
          <w:szCs w:val="24"/>
          <w:lang w:val="en-US"/>
        </w:rPr>
        <w:t>Study Design</w:t>
      </w:r>
    </w:p>
    <w:p w14:paraId="2BE871AB" w14:textId="77777777" w:rsidR="0094224E" w:rsidRPr="00FD0076" w:rsidRDefault="00000000">
      <w:pPr>
        <w:spacing w:before="240" w:after="120" w:line="480" w:lineRule="auto"/>
        <w:jc w:val="both"/>
        <w:rPr>
          <w:lang w:val="en-US"/>
        </w:rPr>
      </w:pPr>
      <w:r w:rsidRPr="00FD0076">
        <w:rPr>
          <w:lang w:val="en-US"/>
        </w:rPr>
        <w:t xml:space="preserve">Patients had to receive either CAR-T cell therapy (cilta-cel, </w:t>
      </w:r>
      <w:proofErr w:type="spellStart"/>
      <w:r w:rsidRPr="00FD0076">
        <w:rPr>
          <w:lang w:val="en-US"/>
        </w:rPr>
        <w:t>cesni</w:t>
      </w:r>
      <w:proofErr w:type="spellEnd"/>
      <w:r w:rsidRPr="00FD0076">
        <w:rPr>
          <w:lang w:val="en-US"/>
        </w:rPr>
        <w:t>-cel or ide-cel) or bispecific antibodies (</w:t>
      </w:r>
      <w:proofErr w:type="spellStart"/>
      <w:r w:rsidRPr="00FD0076">
        <w:rPr>
          <w:lang w:val="en-US"/>
        </w:rPr>
        <w:t>BsAb</w:t>
      </w:r>
      <w:proofErr w:type="spellEnd"/>
      <w:r w:rsidRPr="00FD0076">
        <w:rPr>
          <w:lang w:val="en-US"/>
        </w:rPr>
        <w:t xml:space="preserve">: </w:t>
      </w:r>
      <w:proofErr w:type="spellStart"/>
      <w:r w:rsidRPr="00FD0076">
        <w:rPr>
          <w:lang w:val="en-US"/>
        </w:rPr>
        <w:t>teclistamab</w:t>
      </w:r>
      <w:proofErr w:type="spellEnd"/>
      <w:r w:rsidRPr="00FD0076">
        <w:rPr>
          <w:lang w:val="en-US"/>
        </w:rPr>
        <w:t xml:space="preserve">, </w:t>
      </w:r>
      <w:proofErr w:type="spellStart"/>
      <w:r w:rsidRPr="00FD0076">
        <w:rPr>
          <w:lang w:val="en-US"/>
        </w:rPr>
        <w:t>elranatamab</w:t>
      </w:r>
      <w:proofErr w:type="spellEnd"/>
      <w:r w:rsidRPr="00FD0076">
        <w:rPr>
          <w:lang w:val="en-US"/>
        </w:rPr>
        <w:t xml:space="preserve">, or </w:t>
      </w:r>
      <w:proofErr w:type="spellStart"/>
      <w:r w:rsidRPr="00FD0076">
        <w:rPr>
          <w:lang w:val="en-US"/>
        </w:rPr>
        <w:t>talquetamab</w:t>
      </w:r>
      <w:proofErr w:type="spellEnd"/>
      <w:r w:rsidRPr="00FD0076">
        <w:rPr>
          <w:lang w:val="en-US"/>
        </w:rPr>
        <w:t xml:space="preserve">) as their initial BCMA- or GPRC5D-directed immunotherapy. Treatment allocation was predominantly access-driven rather than clinically selected: 83% of patients receiving </w:t>
      </w:r>
      <w:proofErr w:type="spellStart"/>
      <w:r w:rsidRPr="00FD0076">
        <w:rPr>
          <w:lang w:val="en-US"/>
        </w:rPr>
        <w:t>BsAb</w:t>
      </w:r>
      <w:proofErr w:type="spellEnd"/>
      <w:r w:rsidRPr="00FD0076">
        <w:rPr>
          <w:lang w:val="en-US"/>
        </w:rPr>
        <w:t xml:space="preserve"> as initial therapy lacked access to CAR-T products at the time of treatment initiation, while 95% of CAR-T recipients had access to both modalities. This access-driven allocation provides a form of natural experiment that partially mitigates confounding by indication, but residual confounding from unmeasured factors (e.g., physician preference, disease kinetics, patient preference) cannot be excluded.</w:t>
      </w:r>
    </w:p>
    <w:p w14:paraId="0F5D689E" w14:textId="3301EFB2" w:rsidR="0094224E" w:rsidRPr="00FD0076" w:rsidRDefault="00000000">
      <w:pPr>
        <w:spacing w:before="240" w:after="120" w:line="480" w:lineRule="auto"/>
        <w:jc w:val="both"/>
        <w:rPr>
          <w:lang w:val="en-US"/>
        </w:rPr>
      </w:pPr>
      <w:r w:rsidRPr="00FD0076">
        <w:rPr>
          <w:lang w:val="en-US"/>
        </w:rPr>
        <w:t xml:space="preserve">Patients were classified into 4 treatment trajectory groups: group 0 (CAR-T only), group 1 (CAR-T followed by </w:t>
      </w:r>
      <w:proofErr w:type="spellStart"/>
      <w:r w:rsidRPr="00FD0076">
        <w:rPr>
          <w:lang w:val="en-US"/>
        </w:rPr>
        <w:t>BsAb</w:t>
      </w:r>
      <w:proofErr w:type="spellEnd"/>
      <w:r w:rsidRPr="00FD0076">
        <w:rPr>
          <w:lang w:val="en-US"/>
        </w:rPr>
        <w:t>), group 2 (</w:t>
      </w:r>
      <w:proofErr w:type="spellStart"/>
      <w:r w:rsidRPr="00FD0076">
        <w:rPr>
          <w:lang w:val="en-US"/>
        </w:rPr>
        <w:t>BsAb</w:t>
      </w:r>
      <w:proofErr w:type="spellEnd"/>
      <w:r w:rsidRPr="00FD0076">
        <w:rPr>
          <w:lang w:val="en-US"/>
        </w:rPr>
        <w:t xml:space="preserve"> only), and group 3 (</w:t>
      </w:r>
      <w:proofErr w:type="spellStart"/>
      <w:r w:rsidRPr="00FD0076">
        <w:rPr>
          <w:lang w:val="en-US"/>
        </w:rPr>
        <w:t>BsAb</w:t>
      </w:r>
      <w:proofErr w:type="spellEnd"/>
      <w:r w:rsidRPr="00FD0076">
        <w:rPr>
          <w:lang w:val="en-US"/>
        </w:rPr>
        <w:t xml:space="preserve"> followed by CAR-T</w:t>
      </w:r>
      <w:r w:rsidR="000625E8">
        <w:rPr>
          <w:lang w:val="en-US"/>
        </w:rPr>
        <w:t xml:space="preserve">; </w:t>
      </w:r>
      <w:r w:rsidR="000625E8" w:rsidRPr="000625E8">
        <w:rPr>
          <w:b/>
          <w:lang w:val="en-US"/>
        </w:rPr>
        <w:t>Supplemental Figure S1</w:t>
      </w:r>
      <w:r w:rsidRPr="00FD0076">
        <w:rPr>
          <w:lang w:val="en-US"/>
        </w:rPr>
        <w:t>). These groups had to be defined retrospectively based on the complete observed treatment history. Importantly, assignment to a sequencing group (groups 1 or 3) requires that the patient survived long enough after first-line therapy to receive a second-line treatment. This introduces immortal time bias, which systematically favors sequencing groups in naïve comparisons.</w:t>
      </w:r>
    </w:p>
    <w:p w14:paraId="0D83316B" w14:textId="77777777" w:rsidR="0094224E" w:rsidRPr="00FD0076" w:rsidRDefault="00000000">
      <w:pPr>
        <w:spacing w:before="240" w:after="180" w:line="480" w:lineRule="auto"/>
        <w:jc w:val="both"/>
        <w:rPr>
          <w:b/>
          <w:bCs/>
          <w:sz w:val="24"/>
          <w:szCs w:val="24"/>
          <w:lang w:val="en-US"/>
        </w:rPr>
      </w:pPr>
      <w:r w:rsidRPr="00FD0076">
        <w:rPr>
          <w:b/>
          <w:bCs/>
          <w:sz w:val="24"/>
          <w:szCs w:val="24"/>
          <w:lang w:val="en-US"/>
        </w:rPr>
        <w:t>General Statistical Considerations</w:t>
      </w:r>
    </w:p>
    <w:p w14:paraId="7D0B9C4D" w14:textId="77777777" w:rsidR="0094224E" w:rsidRPr="00FD0076" w:rsidRDefault="00000000">
      <w:pPr>
        <w:spacing w:before="240" w:after="180" w:line="480" w:lineRule="auto"/>
        <w:jc w:val="both"/>
        <w:rPr>
          <w:b/>
          <w:bCs/>
          <w:i/>
          <w:iCs/>
          <w:lang w:val="en-US"/>
        </w:rPr>
      </w:pPr>
      <w:r w:rsidRPr="00FD0076">
        <w:rPr>
          <w:b/>
          <w:bCs/>
          <w:i/>
          <w:iCs/>
          <w:lang w:val="en-US"/>
        </w:rPr>
        <w:t>Absence of P-values</w:t>
      </w:r>
    </w:p>
    <w:p w14:paraId="41782C49" w14:textId="77777777" w:rsidR="0094224E" w:rsidRPr="00FD0076" w:rsidRDefault="00000000">
      <w:pPr>
        <w:spacing w:before="240" w:after="180" w:line="480" w:lineRule="auto"/>
        <w:jc w:val="both"/>
        <w:rPr>
          <w:lang w:val="en-US"/>
        </w:rPr>
      </w:pPr>
      <w:r w:rsidRPr="00FD0076">
        <w:rPr>
          <w:lang w:val="en-US"/>
        </w:rPr>
        <w:t xml:space="preserve">Given the observational, non-randomized design with access-driven treatment allocation, all analyses are descriptive and exploratory. Results are reported as hazard ratios with 95% confidence intervals. Formal hypothesis testing was not performed because: (1) the absence of randomization precludes causal inference from a significant p-value; (2) the multiple comparisons across treatment groups, landmarks, and endpoints would require stringent </w:t>
      </w:r>
      <w:r w:rsidRPr="00FD0076">
        <w:rPr>
          <w:lang w:val="en-US"/>
        </w:rPr>
        <w:lastRenderedPageBreak/>
        <w:t>multiplicity correction, reducing statistical power for each individual comparison; and (3) the clinical question is not whether a statistically significant difference exists, but rather what patterns of treatment sequencing are associated with favorable outcomes, to inform future trial design.</w:t>
      </w:r>
    </w:p>
    <w:p w14:paraId="3A47BF2B" w14:textId="77777777" w:rsidR="0094224E" w:rsidRPr="00FD0076" w:rsidRDefault="00000000">
      <w:pPr>
        <w:spacing w:before="240" w:after="180" w:line="480" w:lineRule="auto"/>
        <w:jc w:val="both"/>
        <w:rPr>
          <w:b/>
          <w:bCs/>
          <w:i/>
          <w:iCs/>
          <w:lang w:val="en-US"/>
        </w:rPr>
      </w:pPr>
      <w:r w:rsidRPr="00FD0076">
        <w:rPr>
          <w:b/>
          <w:bCs/>
          <w:i/>
          <w:iCs/>
          <w:lang w:val="en-US"/>
        </w:rPr>
        <w:t>Competing risks</w:t>
      </w:r>
    </w:p>
    <w:p w14:paraId="6D7D9582" w14:textId="77777777" w:rsidR="0094224E" w:rsidRPr="00FD0076" w:rsidRDefault="00000000">
      <w:pPr>
        <w:spacing w:before="240" w:after="180" w:line="480" w:lineRule="auto"/>
        <w:jc w:val="both"/>
        <w:rPr>
          <w:lang w:val="en-US"/>
        </w:rPr>
      </w:pPr>
      <w:r w:rsidRPr="00FD0076">
        <w:rPr>
          <w:lang w:val="en-US"/>
        </w:rPr>
        <w:t>For PFS estimation, NRM was treated as a competing event using the cumulative incidence function (Aalen-Johansen estimator). For OS estimation, standard Kaplan-Meier methods were used because death from any cause is the single endpoint of interest.</w:t>
      </w:r>
    </w:p>
    <w:p w14:paraId="05DD819C" w14:textId="77777777" w:rsidR="0094224E" w:rsidRPr="00FD0076" w:rsidRDefault="00000000">
      <w:pPr>
        <w:spacing w:before="240" w:after="120" w:line="480" w:lineRule="auto"/>
        <w:jc w:val="both"/>
        <w:rPr>
          <w:b/>
          <w:bCs/>
          <w:sz w:val="24"/>
          <w:szCs w:val="24"/>
          <w:lang w:val="en-US"/>
        </w:rPr>
      </w:pPr>
      <w:r w:rsidRPr="00FD0076">
        <w:rPr>
          <w:b/>
          <w:bCs/>
          <w:sz w:val="24"/>
          <w:szCs w:val="24"/>
          <w:lang w:val="en-US"/>
        </w:rPr>
        <w:t>Multistate Model</w:t>
      </w:r>
    </w:p>
    <w:p w14:paraId="1DC1E802" w14:textId="77777777" w:rsidR="0094224E" w:rsidRPr="00FD0076" w:rsidRDefault="00000000">
      <w:pPr>
        <w:spacing w:before="200" w:after="120" w:line="480" w:lineRule="auto"/>
        <w:rPr>
          <w:b/>
          <w:bCs/>
          <w:i/>
          <w:iCs/>
          <w:lang w:val="en-US"/>
        </w:rPr>
      </w:pPr>
      <w:r w:rsidRPr="00FD0076">
        <w:rPr>
          <w:b/>
          <w:bCs/>
          <w:i/>
          <w:iCs/>
          <w:lang w:val="en-US"/>
        </w:rPr>
        <w:t>Model Structure</w:t>
      </w:r>
    </w:p>
    <w:p w14:paraId="32EE6041" w14:textId="77777777" w:rsidR="0094224E" w:rsidRPr="00FD0076" w:rsidRDefault="00000000">
      <w:pPr>
        <w:spacing w:before="240" w:after="120" w:line="480" w:lineRule="auto"/>
        <w:jc w:val="both"/>
        <w:rPr>
          <w:lang w:val="en-US"/>
        </w:rPr>
      </w:pPr>
      <w:r w:rsidRPr="00FD0076">
        <w:rPr>
          <w:lang w:val="en-US"/>
        </w:rPr>
        <w:t>A four-state continuous-time Markov model was constructed with the following states and allowed transitions:</w:t>
      </w:r>
    </w:p>
    <w:p w14:paraId="7DEF7B0C" w14:textId="77777777" w:rsidR="0094224E" w:rsidRPr="00FD0076" w:rsidRDefault="00000000">
      <w:pPr>
        <w:spacing w:before="240" w:after="120" w:line="480" w:lineRule="auto"/>
        <w:jc w:val="both"/>
        <w:rPr>
          <w:lang w:val="en-US"/>
        </w:rPr>
      </w:pPr>
      <w:r w:rsidRPr="00FD0076">
        <w:rPr>
          <w:rFonts w:ascii="Arial Unicode MS" w:eastAsia="Arial Unicode MS" w:hAnsi="Arial Unicode MS" w:cs="Arial Unicode MS"/>
          <w:lang w:val="en-US"/>
        </w:rPr>
        <w:t>State 1 (First-line immunotherapy) → State 2 (Progressed): disease progression after first-line treatment.</w:t>
      </w:r>
    </w:p>
    <w:p w14:paraId="6750689A" w14:textId="77777777" w:rsidR="0094224E" w:rsidRPr="00FD0076" w:rsidRDefault="00000000">
      <w:pPr>
        <w:spacing w:before="240" w:after="120" w:line="480" w:lineRule="auto"/>
        <w:jc w:val="both"/>
        <w:rPr>
          <w:lang w:val="en-US"/>
        </w:rPr>
      </w:pPr>
      <w:r w:rsidRPr="00FD0076">
        <w:rPr>
          <w:rFonts w:ascii="Arial Unicode MS" w:eastAsia="Arial Unicode MS" w:hAnsi="Arial Unicode MS" w:cs="Arial Unicode MS"/>
          <w:lang w:val="en-US"/>
        </w:rPr>
        <w:t>State 1 → State 4 (Dead): non-relapse mortality without prior progression.</w:t>
      </w:r>
    </w:p>
    <w:p w14:paraId="12C9D5DB" w14:textId="77777777" w:rsidR="0094224E" w:rsidRPr="00FD0076" w:rsidRDefault="00000000">
      <w:pPr>
        <w:spacing w:before="240" w:after="120" w:line="480" w:lineRule="auto"/>
        <w:jc w:val="both"/>
        <w:rPr>
          <w:lang w:val="en-US"/>
        </w:rPr>
      </w:pPr>
      <w:r w:rsidRPr="00FD0076">
        <w:rPr>
          <w:rFonts w:ascii="Arial Unicode MS" w:eastAsia="Arial Unicode MS" w:hAnsi="Arial Unicode MS" w:cs="Arial Unicode MS"/>
          <w:lang w:val="en-US"/>
        </w:rPr>
        <w:t>State 2 → State 3 (Second-line immunotherapy): receipt of second-line immunotherapy after progression.</w:t>
      </w:r>
    </w:p>
    <w:p w14:paraId="641DFA57" w14:textId="77777777" w:rsidR="0094224E" w:rsidRPr="00FD0076" w:rsidRDefault="00000000">
      <w:pPr>
        <w:spacing w:before="240" w:after="120" w:line="480" w:lineRule="auto"/>
        <w:jc w:val="both"/>
        <w:rPr>
          <w:lang w:val="en-US"/>
        </w:rPr>
      </w:pPr>
      <w:r w:rsidRPr="00FD0076">
        <w:rPr>
          <w:rFonts w:ascii="Arial Unicode MS" w:eastAsia="Arial Unicode MS" w:hAnsi="Arial Unicode MS" w:cs="Arial Unicode MS"/>
          <w:lang w:val="en-US"/>
        </w:rPr>
        <w:t>State 2 → State 4: death after progression without receiving second-line immunotherapy.</w:t>
      </w:r>
    </w:p>
    <w:p w14:paraId="6D19B5E4" w14:textId="77777777" w:rsidR="0094224E" w:rsidRPr="00FD0076" w:rsidRDefault="00000000">
      <w:pPr>
        <w:spacing w:before="240" w:after="120" w:line="480" w:lineRule="auto"/>
        <w:jc w:val="both"/>
        <w:rPr>
          <w:lang w:val="en-US"/>
        </w:rPr>
      </w:pPr>
      <w:r w:rsidRPr="00FD0076">
        <w:rPr>
          <w:rFonts w:ascii="Arial Unicode MS" w:eastAsia="Arial Unicode MS" w:hAnsi="Arial Unicode MS" w:cs="Arial Unicode MS"/>
          <w:lang w:val="en-US"/>
        </w:rPr>
        <w:t>State 3 → State 4: death after second-line immunotherapy.</w:t>
      </w:r>
    </w:p>
    <w:p w14:paraId="0E63E750" w14:textId="24BAE9FD" w:rsidR="0094224E" w:rsidRPr="00FD0076" w:rsidRDefault="00000000">
      <w:pPr>
        <w:spacing w:before="240" w:after="120" w:line="480" w:lineRule="auto"/>
        <w:jc w:val="both"/>
        <w:rPr>
          <w:lang w:val="en-US"/>
        </w:rPr>
      </w:pPr>
      <w:r w:rsidRPr="00FD0076">
        <w:rPr>
          <w:lang w:val="en-US"/>
        </w:rPr>
        <w:lastRenderedPageBreak/>
        <w:t>This structure models receipt of second-line therapy as a time-dependent transition occurring at a specific time point, rather than a baseline characteristic. This is the key methodological advantage over trajectory-based group comparisons: a patient is only “in” the second-line therapy state from the moment they receive it, and their prior follow-up time is correctly attributed to the preceding states.</w:t>
      </w:r>
    </w:p>
    <w:p w14:paraId="29ADA8BA" w14:textId="77777777" w:rsidR="0094224E" w:rsidRPr="00FD0076" w:rsidRDefault="00000000">
      <w:pPr>
        <w:spacing w:before="200" w:after="120" w:line="480" w:lineRule="auto"/>
        <w:rPr>
          <w:b/>
          <w:bCs/>
          <w:i/>
          <w:iCs/>
          <w:lang w:val="en-US"/>
        </w:rPr>
      </w:pPr>
      <w:r w:rsidRPr="00FD0076">
        <w:rPr>
          <w:b/>
          <w:bCs/>
          <w:i/>
          <w:iCs/>
          <w:lang w:val="en-US"/>
        </w:rPr>
        <w:t>Calibration of First-Line Progression Times</w:t>
      </w:r>
    </w:p>
    <w:p w14:paraId="062EB80C" w14:textId="77777777" w:rsidR="0094224E" w:rsidRPr="00FD0076" w:rsidRDefault="00000000">
      <w:pPr>
        <w:spacing w:before="200" w:after="120" w:line="480" w:lineRule="auto"/>
        <w:jc w:val="both"/>
        <w:rPr>
          <w:lang w:val="en-US"/>
        </w:rPr>
      </w:pPr>
      <w:r w:rsidRPr="00FD0076">
        <w:rPr>
          <w:lang w:val="en-US"/>
        </w:rPr>
        <w:t>All patients in sequencing groups (groups 1 and 3) experienced disease progression after first-line therapy, as progression is a clinical prerequisite for initiating second-line immunotherapy. For patients with a documented subsequent progression event (as a competing risks status), the recorded progression time was used directly; validation against available treatment initiation dates confirmed concordance with first-line progression.</w:t>
      </w:r>
    </w:p>
    <w:p w14:paraId="49575AFB" w14:textId="77777777" w:rsidR="0094224E" w:rsidRPr="00FD0076" w:rsidRDefault="00000000">
      <w:pPr>
        <w:spacing w:before="200" w:after="120" w:line="480" w:lineRule="auto"/>
        <w:jc w:val="both"/>
        <w:rPr>
          <w:lang w:val="en-US"/>
        </w:rPr>
      </w:pPr>
      <w:r w:rsidRPr="00FD0076">
        <w:rPr>
          <w:lang w:val="en-US"/>
        </w:rPr>
        <w:t>To ensure consistent and unbiased transition timing across the entire multistate model, a Monte Carlo calibration framework was applied to all sequencing patients. In each of 100 iterations, first-line progression times were anchored to the empirically observed PFS distribution of the corresponding single-modality group. This calibration approach was chosen for two methodological reasons. First, single-modality groups provide an independent reference distribution that is unaffected by selection into second-line therapy, thereby avoiding circularity in transition hazard estimation. Second, the resampling framework captures the natural variability in first-line PFS, propagating this uncertainty into the state occupation probability estimates rather than relying on a single point estimate. Sampled times were capped at 70% of each patient's total observed OS to maintain temporal plausibility. State occupation probabilities were averaged across all iterations to yield stable, variance-reduced estimates.</w:t>
      </w:r>
    </w:p>
    <w:p w14:paraId="374A38FC" w14:textId="77777777" w:rsidR="0094224E" w:rsidRPr="00FD0076" w:rsidRDefault="00000000">
      <w:pPr>
        <w:spacing w:before="200" w:after="120" w:line="480" w:lineRule="auto"/>
        <w:rPr>
          <w:b/>
          <w:bCs/>
          <w:i/>
          <w:iCs/>
          <w:lang w:val="en-US"/>
        </w:rPr>
      </w:pPr>
      <w:r w:rsidRPr="00FD0076">
        <w:rPr>
          <w:b/>
          <w:bCs/>
          <w:i/>
          <w:iCs/>
          <w:lang w:val="en-US"/>
        </w:rPr>
        <w:t>Estimation</w:t>
      </w:r>
    </w:p>
    <w:p w14:paraId="3578E14E" w14:textId="70D1C411" w:rsidR="0094224E" w:rsidRPr="00FD0076" w:rsidRDefault="00000000">
      <w:pPr>
        <w:spacing w:before="240" w:after="120" w:line="480" w:lineRule="auto"/>
        <w:jc w:val="both"/>
        <w:rPr>
          <w:lang w:val="en-US"/>
        </w:rPr>
      </w:pPr>
      <w:r w:rsidRPr="00FD0076">
        <w:rPr>
          <w:lang w:val="en-US"/>
        </w:rPr>
        <w:t xml:space="preserve">For each Monte Carlo iteration, the multistate dataset was constructed in long (counting-process) format with one record per patient per possible transition. State occupation </w:t>
      </w:r>
      <w:r w:rsidRPr="00FD0076">
        <w:rPr>
          <w:lang w:val="en-US"/>
        </w:rPr>
        <w:lastRenderedPageBreak/>
        <w:t xml:space="preserve">probabilities were estimated using the Aalen-Johansen estimator, implemented via the </w:t>
      </w:r>
      <w:proofErr w:type="spellStart"/>
      <w:r w:rsidRPr="00FD0076">
        <w:rPr>
          <w:lang w:val="en-US"/>
        </w:rPr>
        <w:t>mstate</w:t>
      </w:r>
      <w:proofErr w:type="spellEnd"/>
      <w:r w:rsidRPr="00FD0076">
        <w:rPr>
          <w:lang w:val="en-US"/>
        </w:rPr>
        <w:t xml:space="preserve"> package (</w:t>
      </w:r>
      <w:proofErr w:type="spellStart"/>
      <w:r w:rsidRPr="00FD0076">
        <w:rPr>
          <w:lang w:val="en-US"/>
        </w:rPr>
        <w:t>msfit</w:t>
      </w:r>
      <w:proofErr w:type="spellEnd"/>
      <w:r w:rsidRPr="00FD0076">
        <w:rPr>
          <w:lang w:val="en-US"/>
        </w:rPr>
        <w:t xml:space="preserve"> and </w:t>
      </w:r>
      <w:proofErr w:type="spellStart"/>
      <w:r w:rsidRPr="00FD0076">
        <w:rPr>
          <w:lang w:val="en-US"/>
        </w:rPr>
        <w:t>probtrans</w:t>
      </w:r>
      <w:proofErr w:type="spellEnd"/>
      <w:r w:rsidRPr="00FD0076">
        <w:rPr>
          <w:lang w:val="en-US"/>
        </w:rPr>
        <w:t xml:space="preserve"> functions), with a separate stratified Cox model per treatment group (CAR-T first vs. </w:t>
      </w:r>
      <w:proofErr w:type="spellStart"/>
      <w:r w:rsidRPr="00FD0076">
        <w:rPr>
          <w:lang w:val="en-US"/>
        </w:rPr>
        <w:t>BsAb</w:t>
      </w:r>
      <w:proofErr w:type="spellEnd"/>
      <w:r w:rsidRPr="00FD0076">
        <w:rPr>
          <w:lang w:val="en-US"/>
        </w:rPr>
        <w:t xml:space="preserve"> first). Transition-specific baseline hazards were estimated non-parametrically with strata(trans). State probabilities were interpolated to a common time grid (0-20 months, 0.25-month intervals) and averaged across all successful Monte Carlo iterations.</w:t>
      </w:r>
      <w:r w:rsidRPr="00FD0076">
        <w:rPr>
          <w:color w:val="000000"/>
          <w:vertAlign w:val="superscript"/>
          <w:lang w:val="en-US"/>
        </w:rPr>
        <w:t>3</w:t>
      </w:r>
    </w:p>
    <w:p w14:paraId="79684B4B" w14:textId="77777777" w:rsidR="0094224E" w:rsidRPr="00FD0076" w:rsidRDefault="00000000">
      <w:pPr>
        <w:spacing w:before="200" w:after="120" w:line="480" w:lineRule="auto"/>
        <w:rPr>
          <w:b/>
          <w:bCs/>
          <w:i/>
          <w:iCs/>
          <w:lang w:val="en-US"/>
        </w:rPr>
      </w:pPr>
      <w:r w:rsidRPr="00FD0076">
        <w:rPr>
          <w:b/>
          <w:bCs/>
          <w:i/>
          <w:iCs/>
          <w:lang w:val="en-US"/>
        </w:rPr>
        <w:t>Post-Processing</w:t>
      </w:r>
    </w:p>
    <w:p w14:paraId="311D73E8" w14:textId="77777777" w:rsidR="0094224E" w:rsidRPr="00FD0076" w:rsidRDefault="00000000">
      <w:pPr>
        <w:spacing w:before="240" w:after="120" w:line="480" w:lineRule="auto"/>
        <w:jc w:val="both"/>
        <w:rPr>
          <w:lang w:val="en-US"/>
        </w:rPr>
      </w:pPr>
      <w:r w:rsidRPr="00FD0076">
        <w:rPr>
          <w:lang w:val="en-US"/>
        </w:rPr>
        <w:t xml:space="preserve">After averaging, monotonicity constraints were enforced on absorbing states: P(Dead) was constrained to be monotonically non-decreasing, and </w:t>
      </w:r>
      <w:proofErr w:type="gramStart"/>
      <w:r w:rsidRPr="00FD0076">
        <w:rPr>
          <w:lang w:val="en-US"/>
        </w:rPr>
        <w:t>P(</w:t>
      </w:r>
      <w:proofErr w:type="gramEnd"/>
      <w:r w:rsidRPr="00FD0076">
        <w:rPr>
          <w:lang w:val="en-US"/>
        </w:rPr>
        <w:t>In remission) to be monotonically non-increasing. Transient state probabilities (</w:t>
      </w:r>
      <w:proofErr w:type="gramStart"/>
      <w:r w:rsidRPr="00FD0076">
        <w:rPr>
          <w:lang w:val="en-US"/>
        </w:rPr>
        <w:t>P(</w:t>
      </w:r>
      <w:proofErr w:type="gramEnd"/>
      <w:r w:rsidRPr="00FD0076">
        <w:rPr>
          <w:lang w:val="en-US"/>
        </w:rPr>
        <w:t xml:space="preserve">Progressed, no 2nd-line IT) and </w:t>
      </w:r>
      <w:proofErr w:type="gramStart"/>
      <w:r w:rsidRPr="00FD0076">
        <w:rPr>
          <w:lang w:val="en-US"/>
        </w:rPr>
        <w:t>P(</w:t>
      </w:r>
      <w:proofErr w:type="gramEnd"/>
      <w:r w:rsidRPr="00FD0076">
        <w:rPr>
          <w:lang w:val="en-US"/>
        </w:rPr>
        <w:t>On 2nd-line IT)) were rescaled proportionally to ensure all four states summed to exactly 1.0 at every time point. These constraints are inherent properties of the true Aalen-Johansen estimator but can be violated by the averaging procedure.</w:t>
      </w:r>
    </w:p>
    <w:p w14:paraId="51F46844" w14:textId="77777777" w:rsidR="0094224E" w:rsidRPr="00FD0076" w:rsidRDefault="00000000">
      <w:pPr>
        <w:spacing w:before="200" w:after="120" w:line="480" w:lineRule="auto"/>
        <w:rPr>
          <w:b/>
          <w:bCs/>
          <w:i/>
          <w:iCs/>
          <w:lang w:val="en-US"/>
        </w:rPr>
      </w:pPr>
      <w:r w:rsidRPr="00FD0076">
        <w:rPr>
          <w:b/>
          <w:bCs/>
          <w:i/>
          <w:iCs/>
          <w:lang w:val="en-US"/>
        </w:rPr>
        <w:t>Limitations of the Multistate Approach</w:t>
      </w:r>
    </w:p>
    <w:p w14:paraId="20889B36" w14:textId="77777777" w:rsidR="008F1268" w:rsidRDefault="00244611" w:rsidP="008F1268">
      <w:pPr>
        <w:spacing w:before="240" w:after="120" w:line="480" w:lineRule="auto"/>
        <w:jc w:val="both"/>
        <w:rPr>
          <w:lang w:val="en-US"/>
        </w:rPr>
      </w:pPr>
      <w:r>
        <w:rPr>
          <w:lang w:val="en-US"/>
        </w:rPr>
        <w:t>The</w:t>
      </w:r>
      <w:r w:rsidRPr="00FD0076">
        <w:rPr>
          <w:lang w:val="en-US"/>
        </w:rPr>
        <w:t xml:space="preserve"> model assumes that progression after first-line therapy is a prerequisite for second-line initiation, which is the standard clinical pathway but may not hold for all patients (e.g., those switched for toxicity).</w:t>
      </w:r>
    </w:p>
    <w:p w14:paraId="420E349F" w14:textId="77777777" w:rsidR="0094224E" w:rsidRPr="00FD0076" w:rsidRDefault="00000000">
      <w:pPr>
        <w:spacing w:before="240" w:after="120" w:line="480" w:lineRule="auto"/>
        <w:jc w:val="both"/>
        <w:rPr>
          <w:b/>
          <w:bCs/>
          <w:sz w:val="24"/>
          <w:szCs w:val="24"/>
          <w:lang w:val="en-US"/>
        </w:rPr>
      </w:pPr>
      <w:r w:rsidRPr="00FD0076">
        <w:rPr>
          <w:b/>
          <w:bCs/>
          <w:sz w:val="24"/>
          <w:szCs w:val="24"/>
          <w:lang w:val="en-US"/>
        </w:rPr>
        <w:t>Landmark Analysis</w:t>
      </w:r>
    </w:p>
    <w:p w14:paraId="360595B9" w14:textId="6AAB751B" w:rsidR="0094224E" w:rsidRPr="00FD0076" w:rsidRDefault="00000000">
      <w:pPr>
        <w:spacing w:before="240" w:after="120" w:line="480" w:lineRule="auto"/>
        <w:jc w:val="both"/>
        <w:rPr>
          <w:lang w:val="en-US"/>
        </w:rPr>
      </w:pPr>
      <w:r w:rsidRPr="00FD0076">
        <w:rPr>
          <w:lang w:val="en-US"/>
        </w:rPr>
        <w:t xml:space="preserve">Landmark analyses were </w:t>
      </w:r>
      <w:r w:rsidR="007E5F68" w:rsidRPr="00FD0076">
        <w:rPr>
          <w:lang w:val="en-US"/>
        </w:rPr>
        <w:t>performed</w:t>
      </w:r>
      <w:r w:rsidRPr="00FD0076">
        <w:rPr>
          <w:lang w:val="en-US"/>
        </w:rPr>
        <w:t xml:space="preserve"> 3</w:t>
      </w:r>
      <w:r w:rsidR="00933D73">
        <w:rPr>
          <w:lang w:val="en-US"/>
        </w:rPr>
        <w:t xml:space="preserve"> and </w:t>
      </w:r>
      <w:r w:rsidRPr="00FD0076">
        <w:rPr>
          <w:lang w:val="en-US"/>
        </w:rPr>
        <w:t xml:space="preserve">6 months from initiation of first-line immunotherapy. At each landmark, only patients alive at that time point were included. Patients were classified by their known complete treatment trajectory (all four groups: CAR-T only, CAR-T then </w:t>
      </w:r>
      <w:proofErr w:type="spellStart"/>
      <w:r w:rsidRPr="00FD0076">
        <w:rPr>
          <w:lang w:val="en-US"/>
        </w:rPr>
        <w:t>BsAb</w:t>
      </w:r>
      <w:proofErr w:type="spellEnd"/>
      <w:r w:rsidRPr="00FD0076">
        <w:rPr>
          <w:lang w:val="en-US"/>
        </w:rPr>
        <w:t xml:space="preserve">, </w:t>
      </w:r>
      <w:proofErr w:type="spellStart"/>
      <w:r w:rsidRPr="00FD0076">
        <w:rPr>
          <w:lang w:val="en-US"/>
        </w:rPr>
        <w:t>BsAb</w:t>
      </w:r>
      <w:proofErr w:type="spellEnd"/>
      <w:r w:rsidRPr="00FD0076">
        <w:rPr>
          <w:lang w:val="en-US"/>
        </w:rPr>
        <w:t xml:space="preserve"> only, </w:t>
      </w:r>
      <w:proofErr w:type="spellStart"/>
      <w:r w:rsidRPr="00FD0076">
        <w:rPr>
          <w:lang w:val="en-US"/>
        </w:rPr>
        <w:t>BsAb</w:t>
      </w:r>
      <w:proofErr w:type="spellEnd"/>
      <w:r w:rsidRPr="00FD0076">
        <w:rPr>
          <w:lang w:val="en-US"/>
        </w:rPr>
        <w:t xml:space="preserve"> then CAR-T). OS was re-measured from the landmark time point forward (residual OS = total OS minus landmark time). This approach aims to minimize immortal time bias because group assignment is evaluated at a fixed time point: all patients in all groups have, by definition, survived to the landmark.</w:t>
      </w:r>
    </w:p>
    <w:p w14:paraId="0F4DAB82" w14:textId="2C9FFB7F" w:rsidR="0094224E" w:rsidRPr="00FD0076" w:rsidRDefault="00000000">
      <w:pPr>
        <w:spacing w:before="240" w:after="120" w:line="480" w:lineRule="auto"/>
        <w:jc w:val="both"/>
        <w:rPr>
          <w:lang w:val="en-US"/>
        </w:rPr>
      </w:pPr>
      <w:r w:rsidRPr="00FD0076">
        <w:rPr>
          <w:lang w:val="en-US"/>
        </w:rPr>
        <w:lastRenderedPageBreak/>
        <w:t xml:space="preserve">The </w:t>
      </w:r>
      <w:r w:rsidR="00933D73">
        <w:rPr>
          <w:lang w:val="en-US"/>
        </w:rPr>
        <w:t>3</w:t>
      </w:r>
      <w:r w:rsidRPr="00FD0076">
        <w:rPr>
          <w:lang w:val="en-US"/>
        </w:rPr>
        <w:t xml:space="preserve">-month landmark was pre-specified as the primary analysis based on clinical reasoning: by </w:t>
      </w:r>
      <w:r w:rsidR="00244611">
        <w:rPr>
          <w:lang w:val="en-US"/>
        </w:rPr>
        <w:t>3</w:t>
      </w:r>
      <w:r w:rsidRPr="00FD0076">
        <w:rPr>
          <w:lang w:val="en-US"/>
        </w:rPr>
        <w:t xml:space="preserve"> months, </w:t>
      </w:r>
      <w:proofErr w:type="gramStart"/>
      <w:r w:rsidRPr="00FD0076">
        <w:rPr>
          <w:lang w:val="en-US"/>
        </w:rPr>
        <w:t>the majority of</w:t>
      </w:r>
      <w:proofErr w:type="gramEnd"/>
      <w:r w:rsidRPr="00FD0076">
        <w:rPr>
          <w:lang w:val="en-US"/>
        </w:rPr>
        <w:t xml:space="preserve"> initial treatment responses have </w:t>
      </w:r>
      <w:r w:rsidR="00244611">
        <w:rPr>
          <w:lang w:val="en-US"/>
        </w:rPr>
        <w:t xml:space="preserve">been </w:t>
      </w:r>
      <w:r w:rsidRPr="00FD0076">
        <w:rPr>
          <w:lang w:val="en-US"/>
        </w:rPr>
        <w:t xml:space="preserve">declared, early treatment-related mortality has been captured, and most patients who will receive second-line therapy have been identified (or are in the process of transitioning). The </w:t>
      </w:r>
      <w:r w:rsidR="00933D73">
        <w:rPr>
          <w:lang w:val="en-US"/>
        </w:rPr>
        <w:t>6-month</w:t>
      </w:r>
      <w:r w:rsidRPr="00FD0076">
        <w:rPr>
          <w:lang w:val="en-US"/>
        </w:rPr>
        <w:t xml:space="preserve"> landmark serve</w:t>
      </w:r>
      <w:r w:rsidR="00933D73">
        <w:rPr>
          <w:lang w:val="en-US"/>
        </w:rPr>
        <w:t>d</w:t>
      </w:r>
      <w:r w:rsidRPr="00FD0076">
        <w:rPr>
          <w:lang w:val="en-US"/>
        </w:rPr>
        <w:t xml:space="preserve"> as sensitivity analyses to assess robustness: the 3-month landmark includes more patients but may misclassify some sequencing patients who have not yet received second-line therapy, while the </w:t>
      </w:r>
      <w:r w:rsidR="00933D73">
        <w:rPr>
          <w:lang w:val="en-US"/>
        </w:rPr>
        <w:t>6</w:t>
      </w:r>
      <w:r w:rsidRPr="00FD0076">
        <w:rPr>
          <w:lang w:val="en-US"/>
        </w:rPr>
        <w:t>-month landmark provides greater certainty of group assignment but at the cost of excluding more patients and reducing statistical precision.</w:t>
      </w:r>
    </w:p>
    <w:p w14:paraId="31B950C7" w14:textId="77777777" w:rsidR="0094224E" w:rsidRDefault="00000000">
      <w:pPr>
        <w:spacing w:before="240" w:after="120" w:line="480" w:lineRule="auto"/>
        <w:jc w:val="both"/>
        <w:rPr>
          <w:lang w:val="en-US"/>
        </w:rPr>
      </w:pPr>
      <w:r w:rsidRPr="00FD0076">
        <w:rPr>
          <w:lang w:val="en-US"/>
        </w:rPr>
        <w:t xml:space="preserve">A limitation of the landmark approach is that it classifies patients by their </w:t>
      </w:r>
      <w:r w:rsidRPr="00FD0076">
        <w:rPr>
          <w:i/>
          <w:iCs/>
          <w:lang w:val="en-US"/>
        </w:rPr>
        <w:t>eventual</w:t>
      </w:r>
      <w:r w:rsidRPr="00FD0076">
        <w:rPr>
          <w:lang w:val="en-US"/>
        </w:rPr>
        <w:t xml:space="preserve"> trajectory, which is known at the time of analysis but not at the landmark itself. A patient classified as “CAR-T then </w:t>
      </w:r>
      <w:proofErr w:type="spellStart"/>
      <w:r w:rsidRPr="00FD0076">
        <w:rPr>
          <w:lang w:val="en-US"/>
        </w:rPr>
        <w:t>BsAb</w:t>
      </w:r>
      <w:proofErr w:type="spellEnd"/>
      <w:r w:rsidRPr="00FD0076">
        <w:rPr>
          <w:lang w:val="en-US"/>
        </w:rPr>
        <w:t xml:space="preserve">” at the 6-month landmark may not have received </w:t>
      </w:r>
      <w:proofErr w:type="spellStart"/>
      <w:r w:rsidRPr="00FD0076">
        <w:rPr>
          <w:lang w:val="en-US"/>
        </w:rPr>
        <w:t>BsAb</w:t>
      </w:r>
      <w:proofErr w:type="spellEnd"/>
      <w:r w:rsidRPr="00FD0076">
        <w:rPr>
          <w:lang w:val="en-US"/>
        </w:rPr>
        <w:t xml:space="preserve"> until month 10. This introduces a form of look-ahead bias. However, this bias favors the sequencing groups (patients who will eventually receive second-line therapy must survive to receive it), meaning that any observed advantage of sequencing groups is, if anything, an overestimate. If landmark results show no advantage, the conclusion is strengthened.</w:t>
      </w:r>
    </w:p>
    <w:p w14:paraId="2D5C9EC3" w14:textId="77777777" w:rsidR="0094224E" w:rsidRPr="00FD0076" w:rsidRDefault="00000000">
      <w:pPr>
        <w:spacing w:before="240" w:after="120" w:line="480" w:lineRule="auto"/>
        <w:jc w:val="both"/>
        <w:rPr>
          <w:b/>
          <w:bCs/>
          <w:sz w:val="24"/>
          <w:szCs w:val="24"/>
          <w:lang w:val="en-US"/>
        </w:rPr>
      </w:pPr>
      <w:r w:rsidRPr="00FD0076">
        <w:rPr>
          <w:b/>
          <w:bCs/>
          <w:sz w:val="24"/>
          <w:szCs w:val="24"/>
          <w:lang w:val="en-US"/>
        </w:rPr>
        <w:t>Flexible Parametric Survival Model</w:t>
      </w:r>
    </w:p>
    <w:p w14:paraId="554368B8" w14:textId="4CA5C48E" w:rsidR="0094224E" w:rsidRPr="00FD0076" w:rsidRDefault="00000000">
      <w:pPr>
        <w:spacing w:before="240" w:after="120" w:line="480" w:lineRule="auto"/>
        <w:jc w:val="both"/>
        <w:rPr>
          <w:lang w:val="en-US"/>
        </w:rPr>
      </w:pPr>
      <w:r w:rsidRPr="00FD0076">
        <w:rPr>
          <w:lang w:val="en-US"/>
        </w:rPr>
        <w:t>Flexible parametric survival models were fitted using the Royston-Parmar approach, which models the log cumulative hazard as a natural cubic spline function of log time. This approach accommodates non-proportional hazards without pre-specifying the functional form of the hazard ratio over time, and produces smooth, continuous survival curves suitable for visual comparison.</w:t>
      </w:r>
    </w:p>
    <w:p w14:paraId="1615386F" w14:textId="77777777" w:rsidR="0094224E" w:rsidRPr="00FD0076" w:rsidRDefault="00000000">
      <w:pPr>
        <w:spacing w:before="240" w:after="120" w:line="480" w:lineRule="auto"/>
        <w:jc w:val="both"/>
        <w:rPr>
          <w:lang w:val="en-US"/>
        </w:rPr>
      </w:pPr>
      <w:r w:rsidRPr="00FD0076">
        <w:rPr>
          <w:lang w:val="en-US"/>
        </w:rPr>
        <w:t>The model is specified as: log H(</w:t>
      </w:r>
      <w:proofErr w:type="spellStart"/>
      <w:r w:rsidRPr="00FD0076">
        <w:rPr>
          <w:lang w:val="en-US"/>
        </w:rPr>
        <w:t>t|x</w:t>
      </w:r>
      <w:proofErr w:type="spellEnd"/>
      <w:r w:rsidRPr="00FD0076">
        <w:rPr>
          <w:lang w:val="en-US"/>
        </w:rPr>
        <w:t xml:space="preserve">) = s(log t; </w:t>
      </w:r>
      <w:r>
        <w:t>γ</w:t>
      </w:r>
      <w:r w:rsidRPr="00FD0076">
        <w:rPr>
          <w:lang w:val="en-US"/>
        </w:rPr>
        <w:t>, k) + x</w:t>
      </w:r>
      <w:r>
        <w:t>β</w:t>
      </w:r>
      <w:r w:rsidRPr="00FD0076">
        <w:rPr>
          <w:lang w:val="en-US"/>
        </w:rPr>
        <w:t>, where H(</w:t>
      </w:r>
      <w:proofErr w:type="spellStart"/>
      <w:r w:rsidRPr="00FD0076">
        <w:rPr>
          <w:lang w:val="en-US"/>
        </w:rPr>
        <w:t>t|x</w:t>
      </w:r>
      <w:proofErr w:type="spellEnd"/>
      <w:r w:rsidRPr="00FD0076">
        <w:rPr>
          <w:lang w:val="en-US"/>
        </w:rPr>
        <w:t xml:space="preserve">) is the cumulative hazard function, s(·) is a restricted cubic spline function with k internal knots placed at evenly spaced centiles of the log uncensored event times, </w:t>
      </w:r>
      <w:r>
        <w:t>γ</w:t>
      </w:r>
      <w:r w:rsidRPr="00FD0076">
        <w:rPr>
          <w:lang w:val="en-US"/>
        </w:rPr>
        <w:t xml:space="preserve"> is the vector of spline coefficients, and x</w:t>
      </w:r>
      <w:r>
        <w:t>β</w:t>
      </w:r>
      <w:r w:rsidRPr="00FD0076">
        <w:rPr>
          <w:lang w:val="en-US"/>
        </w:rPr>
        <w:t xml:space="preserve"> represents covariate effects. Under this specification, proportional hazards is a special case where </w:t>
      </w:r>
      <w:r>
        <w:t>β</w:t>
      </w:r>
      <w:r w:rsidRPr="00FD0076">
        <w:rPr>
          <w:lang w:val="en-US"/>
        </w:rPr>
        <w:t xml:space="preserve"> is constant across time.</w:t>
      </w:r>
    </w:p>
    <w:p w14:paraId="4722A8C8" w14:textId="77777777" w:rsidR="0094224E" w:rsidRPr="00FD0076" w:rsidRDefault="00000000">
      <w:pPr>
        <w:spacing w:before="240" w:after="120" w:line="480" w:lineRule="auto"/>
        <w:jc w:val="both"/>
        <w:rPr>
          <w:lang w:val="en-US"/>
        </w:rPr>
      </w:pPr>
      <w:r w:rsidRPr="00FD0076">
        <w:rPr>
          <w:lang w:val="en-US"/>
        </w:rPr>
        <w:lastRenderedPageBreak/>
        <w:t>Knot selection was performed by fitting models with k=1, 2, and 3 internal knots and comparing the Akaike Information Criterion (AIC) and Bayesian Information Criterion (BIC). The model with the lowest AIC was selected. In practice, k=2 (corresponding to 4 degrees of freedom for the baseline spline) provided the best fit for OS in this dataset.</w:t>
      </w:r>
    </w:p>
    <w:p w14:paraId="17B1CBD0" w14:textId="77777777" w:rsidR="0094224E" w:rsidRPr="00FD0076" w:rsidRDefault="00000000">
      <w:pPr>
        <w:spacing w:before="240" w:after="120" w:line="480" w:lineRule="auto"/>
        <w:jc w:val="both"/>
        <w:rPr>
          <w:lang w:val="en-US"/>
        </w:rPr>
      </w:pPr>
      <w:r w:rsidRPr="00FD0076">
        <w:rPr>
          <w:lang w:val="en-US"/>
        </w:rPr>
        <w:t>The Royston-Parmar model was applied in three contexts: (1) to the original trajectory groups (groups 0-3) from the time of first treatment, presented for transparency to demonstrate the magnitude of immortal time bias; (2) to the landmark cohorts (patients alive at 3 and 6 months), where the model is correctly applied because guarantee-time bias has been eliminated by the landmark design; and (3) as a comparator for the non-parametric Kaplan-Meier estimates to assess model goodness-of-fit (visual comparison of modeled vs. observed curves).</w:t>
      </w:r>
    </w:p>
    <w:p w14:paraId="1AE4A529" w14:textId="19FD69CF" w:rsidR="0094224E" w:rsidRPr="00FD0076" w:rsidRDefault="00000000">
      <w:pPr>
        <w:spacing w:before="240" w:after="120" w:line="480" w:lineRule="auto"/>
        <w:jc w:val="both"/>
        <w:rPr>
          <w:lang w:val="en-US"/>
        </w:rPr>
      </w:pPr>
      <w:r w:rsidRPr="00FD0076">
        <w:rPr>
          <w:lang w:val="en-US"/>
        </w:rPr>
        <w:t xml:space="preserve">Confidence intervals for predicted survival probabilities were derived using the delta method on the log cumulative hazard scale and </w:t>
      </w:r>
      <w:proofErr w:type="gramStart"/>
      <w:r w:rsidRPr="00FD0076">
        <w:rPr>
          <w:lang w:val="en-US"/>
        </w:rPr>
        <w:t>back-transformed</w:t>
      </w:r>
      <w:proofErr w:type="gramEnd"/>
      <w:r w:rsidRPr="00FD0076">
        <w:rPr>
          <w:lang w:val="en-US"/>
        </w:rPr>
        <w:t xml:space="preserve"> to the survival probability scale. The </w:t>
      </w:r>
      <w:proofErr w:type="spellStart"/>
      <w:r w:rsidRPr="00FD0076">
        <w:rPr>
          <w:lang w:val="en-US"/>
        </w:rPr>
        <w:t>flexsurv</w:t>
      </w:r>
      <w:proofErr w:type="spellEnd"/>
      <w:r w:rsidRPr="00FD0076">
        <w:rPr>
          <w:lang w:val="en-US"/>
        </w:rPr>
        <w:t xml:space="preserve"> R package (version 2.3) was used for all flexible parametric model fitting.</w:t>
      </w:r>
    </w:p>
    <w:p w14:paraId="50A0CB05" w14:textId="77777777" w:rsidR="0094224E" w:rsidRPr="00FD0076" w:rsidRDefault="00000000">
      <w:pPr>
        <w:spacing w:before="240" w:after="120" w:line="480" w:lineRule="auto"/>
        <w:jc w:val="both"/>
        <w:rPr>
          <w:lang w:val="en-US"/>
        </w:rPr>
      </w:pPr>
      <w:r w:rsidRPr="00FD0076">
        <w:rPr>
          <w:lang w:val="en-US"/>
        </w:rPr>
        <w:t xml:space="preserve">The original trajectory analysis is subject to immortal time bias because of the </w:t>
      </w:r>
      <w:proofErr w:type="spellStart"/>
      <w:r w:rsidRPr="00FD0076">
        <w:rPr>
          <w:lang w:val="en-US"/>
        </w:rPr>
        <w:t>followign</w:t>
      </w:r>
      <w:proofErr w:type="spellEnd"/>
      <w:r w:rsidRPr="00FD0076">
        <w:rPr>
          <w:lang w:val="en-US"/>
        </w:rPr>
        <w:t>: patients in sequencing groups (groups 1 and 3) are guaranteed to have survived long enough to receive second-line therapy, and this guaranteed survival time is incorrectly attributed to the sequencing strategy rather than recognized as a prerequisite for group membership.</w:t>
      </w:r>
    </w:p>
    <w:p w14:paraId="43995057" w14:textId="77777777" w:rsidR="0094224E" w:rsidRPr="00FD0076" w:rsidRDefault="00000000">
      <w:pPr>
        <w:spacing w:before="240" w:after="120" w:line="480" w:lineRule="auto"/>
        <w:jc w:val="both"/>
        <w:rPr>
          <w:lang w:val="en-US"/>
        </w:rPr>
      </w:pPr>
      <w:r w:rsidRPr="00FD0076">
        <w:rPr>
          <w:lang w:val="en-US"/>
        </w:rPr>
        <w:t>Comparison of the original trajectory analysis with the landmark-corrected analysis demonstrates the magnitude of this bias. If the sequencing groups show substantially better survival in the original analysis but more attenuated differences in the landmark analysis, the discrepancy quantifies the contribution of immortal time bias. Conversely, if differences persist in the landmark analysis, they are more likely to reflect genuine treatment effects (though residual confounding cannot be excluded in a non-randomized study).</w:t>
      </w:r>
    </w:p>
    <w:p w14:paraId="6BABE50E" w14:textId="77777777" w:rsidR="0094224E" w:rsidRPr="00FD0076" w:rsidRDefault="00000000">
      <w:pPr>
        <w:spacing w:before="240" w:after="120" w:line="480" w:lineRule="auto"/>
        <w:jc w:val="both"/>
        <w:rPr>
          <w:b/>
          <w:bCs/>
          <w:sz w:val="24"/>
          <w:szCs w:val="24"/>
          <w:lang w:val="en-US"/>
        </w:rPr>
      </w:pPr>
      <w:r w:rsidRPr="00FD0076">
        <w:rPr>
          <w:b/>
          <w:bCs/>
          <w:sz w:val="24"/>
          <w:szCs w:val="24"/>
          <w:lang w:val="en-US"/>
        </w:rPr>
        <w:t>Inverse Probability of Treatment Weighting (IPTW)</w:t>
      </w:r>
    </w:p>
    <w:p w14:paraId="3C7F46EB" w14:textId="77777777" w:rsidR="0094224E" w:rsidRPr="00FD0076" w:rsidRDefault="00000000">
      <w:pPr>
        <w:spacing w:before="240" w:after="180" w:line="480" w:lineRule="auto"/>
        <w:jc w:val="both"/>
        <w:rPr>
          <w:b/>
          <w:bCs/>
          <w:i/>
          <w:iCs/>
          <w:lang w:val="en-US"/>
        </w:rPr>
      </w:pPr>
      <w:r w:rsidRPr="00FD0076">
        <w:rPr>
          <w:b/>
          <w:bCs/>
          <w:i/>
          <w:iCs/>
          <w:lang w:val="en-US"/>
        </w:rPr>
        <w:t>Rationale</w:t>
      </w:r>
    </w:p>
    <w:p w14:paraId="79D07085" w14:textId="0AFB01B1" w:rsidR="0094224E" w:rsidRPr="00FD0076" w:rsidRDefault="00000000">
      <w:pPr>
        <w:spacing w:before="240" w:after="180" w:line="480" w:lineRule="auto"/>
        <w:jc w:val="both"/>
        <w:rPr>
          <w:lang w:val="en-US"/>
        </w:rPr>
      </w:pPr>
      <w:r w:rsidRPr="00FD0076">
        <w:rPr>
          <w:lang w:val="en-US"/>
        </w:rPr>
        <w:lastRenderedPageBreak/>
        <w:t xml:space="preserve">The multistate model and landmark analysis address the treatment sequencing question (CAR-T first vs. </w:t>
      </w:r>
      <w:proofErr w:type="spellStart"/>
      <w:r w:rsidRPr="00FD0076">
        <w:rPr>
          <w:lang w:val="en-US"/>
        </w:rPr>
        <w:t>BsAb</w:t>
      </w:r>
      <w:proofErr w:type="spellEnd"/>
      <w:r w:rsidRPr="00FD0076">
        <w:rPr>
          <w:lang w:val="en-US"/>
        </w:rPr>
        <w:t xml:space="preserve"> first) using methods designed to correct for immortal time bias. However, the question of relative efficacy across specific products, which requires adjustment for measured confounders across three product-level groups with differing baseline characteristics, is best addressed by propensity score methods. IPTW was therefore applied as an independent, complementary sensitivity analysis to corroborate the multistate and landmark findings using a fundamentally different analytical framework. The convergence of results across these three independent methods (multistate, landmark, IPTW) strengthens the overall evidence by demonstrating that conclusions are robust to the choice of analytical approach and its attendant assumptions.</w:t>
      </w:r>
    </w:p>
    <w:p w14:paraId="4C79A5A3" w14:textId="77777777" w:rsidR="0094224E" w:rsidRPr="00FD0076" w:rsidRDefault="00000000">
      <w:pPr>
        <w:spacing w:before="240" w:after="180" w:line="480" w:lineRule="auto"/>
        <w:jc w:val="both"/>
        <w:rPr>
          <w:b/>
          <w:bCs/>
          <w:i/>
          <w:iCs/>
          <w:lang w:val="en-US"/>
        </w:rPr>
      </w:pPr>
      <w:r w:rsidRPr="00FD0076">
        <w:rPr>
          <w:b/>
          <w:bCs/>
          <w:i/>
          <w:iCs/>
          <w:lang w:val="en-US"/>
        </w:rPr>
        <w:t>Treatment Groups</w:t>
      </w:r>
    </w:p>
    <w:p w14:paraId="71D439D9" w14:textId="77777777" w:rsidR="0094224E" w:rsidRPr="00FD0076" w:rsidRDefault="00000000">
      <w:pPr>
        <w:spacing w:before="240" w:after="180" w:line="480" w:lineRule="auto"/>
        <w:jc w:val="both"/>
        <w:rPr>
          <w:lang w:val="en-US"/>
        </w:rPr>
      </w:pPr>
      <w:r w:rsidRPr="00FD0076">
        <w:rPr>
          <w:lang w:val="en-US"/>
        </w:rPr>
        <w:t xml:space="preserve">For the IPTW analysis, patients were classified into three product-level groups based on the immunotherapy received: ide-cel (reference group), cilta-cel or </w:t>
      </w:r>
      <w:proofErr w:type="spellStart"/>
      <w:r w:rsidRPr="00FD0076">
        <w:rPr>
          <w:lang w:val="en-US"/>
        </w:rPr>
        <w:t>cesni</w:t>
      </w:r>
      <w:proofErr w:type="spellEnd"/>
      <w:r w:rsidRPr="00FD0076">
        <w:rPr>
          <w:lang w:val="en-US"/>
        </w:rPr>
        <w:t xml:space="preserve">-cel, and </w:t>
      </w:r>
      <w:proofErr w:type="spellStart"/>
      <w:r w:rsidRPr="00FD0076">
        <w:rPr>
          <w:lang w:val="en-US"/>
        </w:rPr>
        <w:t>BsAb</w:t>
      </w:r>
      <w:proofErr w:type="spellEnd"/>
      <w:r w:rsidRPr="00FD0076">
        <w:rPr>
          <w:lang w:val="en-US"/>
        </w:rPr>
        <w:t xml:space="preserve"> (</w:t>
      </w:r>
      <w:proofErr w:type="spellStart"/>
      <w:r w:rsidRPr="00FD0076">
        <w:rPr>
          <w:lang w:val="en-US"/>
        </w:rPr>
        <w:t>teclistamab</w:t>
      </w:r>
      <w:proofErr w:type="spellEnd"/>
      <w:r w:rsidRPr="00FD0076">
        <w:rPr>
          <w:lang w:val="en-US"/>
        </w:rPr>
        <w:t xml:space="preserve">, </w:t>
      </w:r>
      <w:proofErr w:type="spellStart"/>
      <w:r w:rsidRPr="00FD0076">
        <w:rPr>
          <w:lang w:val="en-US"/>
        </w:rPr>
        <w:t>talquetamab</w:t>
      </w:r>
      <w:proofErr w:type="spellEnd"/>
      <w:r w:rsidRPr="00FD0076">
        <w:rPr>
          <w:lang w:val="en-US"/>
        </w:rPr>
        <w:t xml:space="preserve">, or </w:t>
      </w:r>
      <w:proofErr w:type="spellStart"/>
      <w:r w:rsidRPr="00FD0076">
        <w:rPr>
          <w:lang w:val="en-US"/>
        </w:rPr>
        <w:t>elranatamab</w:t>
      </w:r>
      <w:proofErr w:type="spellEnd"/>
      <w:r w:rsidRPr="00FD0076">
        <w:rPr>
          <w:lang w:val="en-US"/>
        </w:rPr>
        <w:t xml:space="preserve">). This grouping reflects the clinical hierarchy observed in the descriptive product-level analysis and enables a direct product-class comparison with ide-cel as the reference, chosen because it has been the benchmark and first CAR-T therapy for RRMM. Cilta-cel and </w:t>
      </w:r>
      <w:proofErr w:type="spellStart"/>
      <w:r w:rsidRPr="00FD0076">
        <w:rPr>
          <w:lang w:val="en-US"/>
        </w:rPr>
        <w:t>cesni</w:t>
      </w:r>
      <w:proofErr w:type="spellEnd"/>
      <w:r w:rsidRPr="00FD0076">
        <w:rPr>
          <w:lang w:val="en-US"/>
        </w:rPr>
        <w:t xml:space="preserve">-cel were grouped together </w:t>
      </w:r>
      <w:proofErr w:type="gramStart"/>
      <w:r w:rsidRPr="00FD0076">
        <w:rPr>
          <w:lang w:val="en-US"/>
        </w:rPr>
        <w:t>on the basis of</w:t>
      </w:r>
      <w:proofErr w:type="gramEnd"/>
      <w:r w:rsidRPr="00FD0076">
        <w:rPr>
          <w:lang w:val="en-US"/>
        </w:rPr>
        <w:t xml:space="preserve"> their shared mechanism (second-generation BCMA-directed CAR-T constructs with similar clinical profiles).</w:t>
      </w:r>
    </w:p>
    <w:p w14:paraId="75BC3FA7" w14:textId="77777777" w:rsidR="0094224E" w:rsidRPr="00FD0076" w:rsidRDefault="00000000">
      <w:pPr>
        <w:spacing w:before="240" w:after="180" w:line="480" w:lineRule="auto"/>
        <w:jc w:val="both"/>
        <w:rPr>
          <w:b/>
          <w:bCs/>
          <w:i/>
          <w:iCs/>
          <w:lang w:val="en-US"/>
        </w:rPr>
      </w:pPr>
      <w:r w:rsidRPr="00FD0076">
        <w:rPr>
          <w:b/>
          <w:bCs/>
          <w:i/>
          <w:iCs/>
          <w:lang w:val="en-US"/>
        </w:rPr>
        <w:t>Propensity Score Estimation</w:t>
      </w:r>
    </w:p>
    <w:p w14:paraId="51E2D364" w14:textId="77777777" w:rsidR="0094224E" w:rsidRPr="00FD0076" w:rsidRDefault="00000000">
      <w:pPr>
        <w:spacing w:before="240" w:after="180" w:line="480" w:lineRule="auto"/>
        <w:jc w:val="both"/>
        <w:rPr>
          <w:lang w:val="en-US"/>
        </w:rPr>
      </w:pPr>
      <w:r w:rsidRPr="00FD0076">
        <w:rPr>
          <w:lang w:val="en-US"/>
        </w:rPr>
        <w:t xml:space="preserve">Propensity scores were estimated using a multinomial logistic regression model predicting the probability of receiving each of the three treatments conditional on measured baseline covariates. The following covariates were included based on clinical relevance and their established prognostic significance in relapsed/refractory myeloma: presence of extramedullary disease (EMD, binary), ECOG performance status (categorical: 0, 1, 2, 3), </w:t>
      </w:r>
      <w:r w:rsidRPr="00FD0076">
        <w:rPr>
          <w:lang w:val="en-US"/>
        </w:rPr>
        <w:lastRenderedPageBreak/>
        <w:t>cytogenetic risk (binary: standard vs. high-risk), time from diagnosis to immunotherapy initiation (continuous, months), and age at treatment (continuous, years).</w:t>
      </w:r>
    </w:p>
    <w:p w14:paraId="05D4888F" w14:textId="77777777" w:rsidR="0094224E" w:rsidRPr="00FD0076" w:rsidRDefault="00000000">
      <w:pPr>
        <w:spacing w:before="240" w:after="180" w:line="480" w:lineRule="auto"/>
        <w:jc w:val="both"/>
        <w:rPr>
          <w:lang w:val="en-US"/>
        </w:rPr>
      </w:pPr>
      <w:r w:rsidRPr="00FD0076">
        <w:rPr>
          <w:lang w:val="en-US"/>
        </w:rPr>
        <w:t>Patients with missing ECOG performance status or missing cytogenetic risk classification were excluded from the IPTW analysis. Multiple imputation was not pursued because the proportion of missing data was modest (11%) and concentrated in two variables, and because the IPTW served as a corroborative sensitivity analysis rather than the primary analytic framework.</w:t>
      </w:r>
    </w:p>
    <w:p w14:paraId="458798A3" w14:textId="77777777" w:rsidR="0094224E" w:rsidRPr="00FD0076" w:rsidRDefault="00000000">
      <w:pPr>
        <w:spacing w:before="240" w:after="180" w:line="480" w:lineRule="auto"/>
        <w:jc w:val="both"/>
        <w:rPr>
          <w:lang w:val="en-US"/>
        </w:rPr>
      </w:pPr>
      <w:r w:rsidRPr="00FD0076">
        <w:rPr>
          <w:lang w:val="en-US"/>
        </w:rPr>
        <w:t xml:space="preserve">The multinomial logistic regression was fitted using maximum likelihood estimation (R package </w:t>
      </w:r>
      <w:proofErr w:type="spellStart"/>
      <w:r w:rsidRPr="00FD0076">
        <w:rPr>
          <w:i/>
          <w:iCs/>
          <w:lang w:val="en-US"/>
        </w:rPr>
        <w:t>nnet</w:t>
      </w:r>
      <w:proofErr w:type="spellEnd"/>
      <w:r w:rsidRPr="00FD0076">
        <w:rPr>
          <w:lang w:val="en-US"/>
        </w:rPr>
        <w:t xml:space="preserve"> via the </w:t>
      </w:r>
      <w:proofErr w:type="spellStart"/>
      <w:r w:rsidRPr="00FD0076">
        <w:rPr>
          <w:i/>
          <w:iCs/>
          <w:lang w:val="en-US"/>
        </w:rPr>
        <w:t>WeightIt</w:t>
      </w:r>
      <w:proofErr w:type="spellEnd"/>
      <w:r w:rsidRPr="00FD0076">
        <w:rPr>
          <w:lang w:val="en-US"/>
        </w:rPr>
        <w:t xml:space="preserve"> interface). Let </w:t>
      </w:r>
      <w:r w:rsidRPr="00FD0076">
        <w:rPr>
          <w:i/>
          <w:iCs/>
          <w:lang w:val="en-US"/>
        </w:rPr>
        <w:t>A</w:t>
      </w:r>
      <w:r w:rsidRPr="00FD0076">
        <w:rPr>
          <w:rFonts w:ascii="Arial Unicode MS" w:eastAsia="Arial Unicode MS" w:hAnsi="Arial Unicode MS" w:cs="Arial Unicode MS"/>
          <w:lang w:val="en-US"/>
        </w:rPr>
        <w:t> ∈ {ide-cel, cilta-cel/</w:t>
      </w:r>
      <w:proofErr w:type="spellStart"/>
      <w:r w:rsidRPr="00FD0076">
        <w:rPr>
          <w:rFonts w:ascii="Arial Unicode MS" w:eastAsia="Arial Unicode MS" w:hAnsi="Arial Unicode MS" w:cs="Arial Unicode MS"/>
          <w:lang w:val="en-US"/>
        </w:rPr>
        <w:t>cesni</w:t>
      </w:r>
      <w:proofErr w:type="spellEnd"/>
      <w:r w:rsidRPr="00FD0076">
        <w:rPr>
          <w:rFonts w:ascii="Arial Unicode MS" w:eastAsia="Arial Unicode MS" w:hAnsi="Arial Unicode MS" w:cs="Arial Unicode MS"/>
          <w:lang w:val="en-US"/>
        </w:rPr>
        <w:t xml:space="preserve">-cel, </w:t>
      </w:r>
      <w:proofErr w:type="spellStart"/>
      <w:r w:rsidRPr="00FD0076">
        <w:rPr>
          <w:rFonts w:ascii="Arial Unicode MS" w:eastAsia="Arial Unicode MS" w:hAnsi="Arial Unicode MS" w:cs="Arial Unicode MS"/>
          <w:lang w:val="en-US"/>
        </w:rPr>
        <w:t>BsAb</w:t>
      </w:r>
      <w:proofErr w:type="spellEnd"/>
      <w:r w:rsidRPr="00FD0076">
        <w:rPr>
          <w:rFonts w:ascii="Arial Unicode MS" w:eastAsia="Arial Unicode MS" w:hAnsi="Arial Unicode MS" w:cs="Arial Unicode MS"/>
          <w:lang w:val="en-US"/>
        </w:rPr>
        <w:t xml:space="preserve">} denote the treatment received and </w:t>
      </w:r>
      <w:r w:rsidRPr="00FD0076">
        <w:rPr>
          <w:i/>
          <w:iCs/>
          <w:lang w:val="en-US"/>
        </w:rPr>
        <w:t>X</w:t>
      </w:r>
      <w:r w:rsidRPr="00FD0076">
        <w:rPr>
          <w:lang w:val="en-US"/>
        </w:rPr>
        <w:t xml:space="preserve"> the vector of baseline covariates. The propensity score for patient </w:t>
      </w:r>
      <w:proofErr w:type="spellStart"/>
      <w:r w:rsidRPr="00FD0076">
        <w:rPr>
          <w:i/>
          <w:iCs/>
          <w:lang w:val="en-US"/>
        </w:rPr>
        <w:t>i</w:t>
      </w:r>
      <w:proofErr w:type="spellEnd"/>
      <w:r w:rsidRPr="00FD0076">
        <w:rPr>
          <w:lang w:val="en-US"/>
        </w:rPr>
        <w:t xml:space="preserve"> is defined as e(x</w:t>
      </w:r>
      <w:r w:rsidRPr="00FD0076">
        <w:rPr>
          <w:i/>
          <w:iCs/>
          <w:lang w:val="en-US"/>
        </w:rPr>
        <w:t>i</w:t>
      </w:r>
      <w:r w:rsidRPr="00FD0076">
        <w:rPr>
          <w:lang w:val="en-US"/>
        </w:rPr>
        <w:t xml:space="preserve">) = </w:t>
      </w:r>
      <w:proofErr w:type="gramStart"/>
      <w:r w:rsidRPr="00FD0076">
        <w:rPr>
          <w:lang w:val="en-US"/>
        </w:rPr>
        <w:t>P(</w:t>
      </w:r>
      <w:proofErr w:type="gramEnd"/>
      <w:r w:rsidRPr="00FD0076">
        <w:rPr>
          <w:lang w:val="en-US"/>
        </w:rPr>
        <w:t>A</w:t>
      </w:r>
      <w:r w:rsidRPr="00FD0076">
        <w:rPr>
          <w:i/>
          <w:iCs/>
          <w:lang w:val="en-US"/>
        </w:rPr>
        <w:t>i</w:t>
      </w:r>
      <w:r w:rsidRPr="00FD0076">
        <w:rPr>
          <w:lang w:val="en-US"/>
        </w:rPr>
        <w:t xml:space="preserve"> = a</w:t>
      </w:r>
      <w:r w:rsidRPr="00FD0076">
        <w:rPr>
          <w:i/>
          <w:iCs/>
          <w:lang w:val="en-US"/>
        </w:rPr>
        <w:t>i</w:t>
      </w:r>
      <w:r w:rsidRPr="00FD0076">
        <w:rPr>
          <w:lang w:val="en-US"/>
        </w:rPr>
        <w:t xml:space="preserve"> | X</w:t>
      </w:r>
      <w:r w:rsidRPr="00FD0076">
        <w:rPr>
          <w:i/>
          <w:iCs/>
          <w:lang w:val="en-US"/>
        </w:rPr>
        <w:t>i</w:t>
      </w:r>
      <w:r w:rsidRPr="00FD0076">
        <w:rPr>
          <w:lang w:val="en-US"/>
        </w:rPr>
        <w:t xml:space="preserve">), the estimated probability of receiving the treatment </w:t>
      </w:r>
      <w:proofErr w:type="gramStart"/>
      <w:r w:rsidRPr="00FD0076">
        <w:rPr>
          <w:lang w:val="en-US"/>
        </w:rPr>
        <w:t>actually received</w:t>
      </w:r>
      <w:proofErr w:type="gramEnd"/>
      <w:r w:rsidRPr="00FD0076">
        <w:rPr>
          <w:lang w:val="en-US"/>
        </w:rPr>
        <w:t>, given the observed covariates.</w:t>
      </w:r>
    </w:p>
    <w:p w14:paraId="7DF77203" w14:textId="77777777" w:rsidR="0094224E" w:rsidRPr="00FD0076" w:rsidRDefault="00000000">
      <w:pPr>
        <w:spacing w:before="240" w:after="180" w:line="480" w:lineRule="auto"/>
        <w:jc w:val="both"/>
        <w:rPr>
          <w:b/>
          <w:bCs/>
          <w:i/>
          <w:iCs/>
          <w:lang w:val="en-US"/>
        </w:rPr>
      </w:pPr>
      <w:r w:rsidRPr="00FD0076">
        <w:rPr>
          <w:b/>
          <w:bCs/>
          <w:i/>
          <w:iCs/>
          <w:lang w:val="en-US"/>
        </w:rPr>
        <w:t>Weight Construction</w:t>
      </w:r>
    </w:p>
    <w:p w14:paraId="18DDE443" w14:textId="77777777" w:rsidR="0094224E" w:rsidRPr="00FD0076" w:rsidRDefault="00000000">
      <w:pPr>
        <w:spacing w:before="240" w:after="180" w:line="480" w:lineRule="auto"/>
        <w:jc w:val="both"/>
        <w:rPr>
          <w:lang w:val="en-US"/>
        </w:rPr>
      </w:pPr>
      <w:r w:rsidRPr="00FD0076">
        <w:rPr>
          <w:lang w:val="en-US"/>
        </w:rPr>
        <w:t xml:space="preserve">Inverse probability of treatment weights for the average treatment effect (ATE) </w:t>
      </w:r>
      <w:proofErr w:type="gramStart"/>
      <w:r w:rsidRPr="00FD0076">
        <w:rPr>
          <w:lang w:val="en-US"/>
        </w:rPr>
        <w:t>were</w:t>
      </w:r>
      <w:proofErr w:type="gramEnd"/>
      <w:r w:rsidRPr="00FD0076">
        <w:rPr>
          <w:lang w:val="en-US"/>
        </w:rPr>
        <w:t xml:space="preserve"> computed as:</w:t>
      </w:r>
    </w:p>
    <w:p w14:paraId="138AABE5" w14:textId="77777777" w:rsidR="0094224E" w:rsidRPr="00FD0076" w:rsidRDefault="00000000">
      <w:pPr>
        <w:spacing w:before="240" w:after="180" w:line="480" w:lineRule="auto"/>
        <w:jc w:val="center"/>
        <w:rPr>
          <w:lang w:val="en-US"/>
        </w:rPr>
      </w:pPr>
      <w:proofErr w:type="spellStart"/>
      <w:r w:rsidRPr="00FD0076">
        <w:rPr>
          <w:i/>
          <w:iCs/>
          <w:lang w:val="en-US"/>
        </w:rPr>
        <w:t>w</w:t>
      </w:r>
      <w:r w:rsidRPr="00FD0076">
        <w:rPr>
          <w:i/>
          <w:iCs/>
          <w:vertAlign w:val="subscript"/>
          <w:lang w:val="en-US"/>
        </w:rPr>
        <w:t>i</w:t>
      </w:r>
      <w:proofErr w:type="spellEnd"/>
      <w:r w:rsidRPr="00FD0076">
        <w:rPr>
          <w:lang w:val="en-US"/>
        </w:rPr>
        <w:t xml:space="preserve"> = 1 / e(x</w:t>
      </w:r>
      <w:r w:rsidRPr="00FD0076">
        <w:rPr>
          <w:i/>
          <w:iCs/>
          <w:vertAlign w:val="subscript"/>
          <w:lang w:val="en-US"/>
        </w:rPr>
        <w:t>i</w:t>
      </w:r>
      <w:r w:rsidRPr="00FD0076">
        <w:rPr>
          <w:lang w:val="en-US"/>
        </w:rPr>
        <w:t>)</w:t>
      </w:r>
    </w:p>
    <w:p w14:paraId="49F12398" w14:textId="77777777" w:rsidR="0094224E" w:rsidRPr="00FD0076" w:rsidRDefault="00000000">
      <w:pPr>
        <w:spacing w:before="240" w:after="180" w:line="480" w:lineRule="auto"/>
        <w:jc w:val="both"/>
        <w:rPr>
          <w:lang w:val="en-US"/>
        </w:rPr>
      </w:pPr>
      <w:r w:rsidRPr="00FD0076">
        <w:rPr>
          <w:lang w:val="en-US"/>
        </w:rPr>
        <w:t xml:space="preserve">This weighting creates a pseudo-population in which treatment assignment is independent of the measured covariates, mimicking the balance achieved by randomization. The ATE </w:t>
      </w:r>
      <w:proofErr w:type="spellStart"/>
      <w:r w:rsidRPr="00FD0076">
        <w:rPr>
          <w:lang w:val="en-US"/>
        </w:rPr>
        <w:t>estimand</w:t>
      </w:r>
      <w:proofErr w:type="spellEnd"/>
      <w:r w:rsidRPr="00FD0076">
        <w:rPr>
          <w:lang w:val="en-US"/>
        </w:rPr>
        <w:t xml:space="preserve"> was chosen because the clinical question concerns the comparative effectiveness of treatments across the full population, not only among patients </w:t>
      </w:r>
      <w:proofErr w:type="gramStart"/>
      <w:r w:rsidRPr="00FD0076">
        <w:rPr>
          <w:lang w:val="en-US"/>
        </w:rPr>
        <w:t>similar to</w:t>
      </w:r>
      <w:proofErr w:type="gramEnd"/>
      <w:r w:rsidRPr="00FD0076">
        <w:rPr>
          <w:lang w:val="en-US"/>
        </w:rPr>
        <w:t xml:space="preserve"> those who received a specific treatment (as in the ATT).</w:t>
      </w:r>
    </w:p>
    <w:p w14:paraId="42EF48EC" w14:textId="77777777" w:rsidR="0094224E" w:rsidRPr="00FD0076" w:rsidRDefault="00000000">
      <w:pPr>
        <w:spacing w:before="240" w:after="180" w:line="480" w:lineRule="auto"/>
        <w:jc w:val="both"/>
        <w:rPr>
          <w:lang w:val="en-US"/>
        </w:rPr>
      </w:pPr>
      <w:r w:rsidRPr="00FD0076">
        <w:rPr>
          <w:lang w:val="en-US"/>
        </w:rPr>
        <w:t>To improve finite-sample performance and reduce the influence of extreme weights, stabilized weights were computed by multiplying the inverse probability weights by the marginal probability of treatment assignment:</w:t>
      </w:r>
    </w:p>
    <w:p w14:paraId="70CD633E" w14:textId="77777777" w:rsidR="0094224E" w:rsidRDefault="00000000">
      <w:pPr>
        <w:spacing w:before="240" w:after="180" w:line="480" w:lineRule="auto"/>
        <w:jc w:val="center"/>
      </w:pPr>
      <w:proofErr w:type="spellStart"/>
      <w:r>
        <w:rPr>
          <w:i/>
          <w:iCs/>
        </w:rPr>
        <w:lastRenderedPageBreak/>
        <w:t>w</w:t>
      </w:r>
      <w:r>
        <w:rPr>
          <w:i/>
          <w:iCs/>
          <w:vertAlign w:val="subscript"/>
        </w:rPr>
        <w:t>i</w:t>
      </w:r>
      <w:r>
        <w:rPr>
          <w:i/>
          <w:iCs/>
          <w:vertAlign w:val="superscript"/>
        </w:rPr>
        <w:t>stab</w:t>
      </w:r>
      <w:proofErr w:type="spellEnd"/>
      <w:r>
        <w:t xml:space="preserve"> = </w:t>
      </w:r>
      <w:proofErr w:type="gramStart"/>
      <w:r>
        <w:t>P(</w:t>
      </w:r>
      <w:proofErr w:type="gramEnd"/>
      <w:r>
        <w:t>A</w:t>
      </w:r>
      <w:r>
        <w:rPr>
          <w:i/>
          <w:iCs/>
          <w:vertAlign w:val="subscript"/>
        </w:rPr>
        <w:t>i</w:t>
      </w:r>
      <w:r>
        <w:t xml:space="preserve"> = a</w:t>
      </w:r>
      <w:r>
        <w:rPr>
          <w:i/>
          <w:iCs/>
          <w:vertAlign w:val="subscript"/>
        </w:rPr>
        <w:t>i</w:t>
      </w:r>
      <w:r>
        <w:t>) / e(x</w:t>
      </w:r>
      <w:r>
        <w:rPr>
          <w:i/>
          <w:iCs/>
          <w:vertAlign w:val="subscript"/>
        </w:rPr>
        <w:t>i</w:t>
      </w:r>
      <w:r>
        <w:t>)</w:t>
      </w:r>
    </w:p>
    <w:p w14:paraId="126535BE" w14:textId="77777777" w:rsidR="0094224E" w:rsidRPr="00FD0076" w:rsidRDefault="00000000">
      <w:pPr>
        <w:spacing w:before="240" w:after="180" w:line="480" w:lineRule="auto"/>
        <w:jc w:val="both"/>
        <w:rPr>
          <w:lang w:val="en-US"/>
        </w:rPr>
      </w:pPr>
      <w:r w:rsidRPr="00FD0076">
        <w:rPr>
          <w:lang w:val="en-US"/>
        </w:rPr>
        <w:t xml:space="preserve">Stabilized weights have a mean of approximately 1 within each treatment group and reduce the variance of the estimator relative to </w:t>
      </w:r>
      <w:proofErr w:type="spellStart"/>
      <w:r w:rsidRPr="00FD0076">
        <w:rPr>
          <w:lang w:val="en-US"/>
        </w:rPr>
        <w:t>unstabilized</w:t>
      </w:r>
      <w:proofErr w:type="spellEnd"/>
      <w:r w:rsidRPr="00FD0076">
        <w:rPr>
          <w:lang w:val="en-US"/>
        </w:rPr>
        <w:t xml:space="preserve"> weights while preserving the consistency of the causal effect estimate. Weights were additionally trimmed at the 99th percentile to limit the influence of extreme propensity scores, which can arise when certain covariate combinations are rare in one treatment group (positivity violations). After trimming, the weight distribution had a mean of 2.95, standard deviation of 1.40, and range of 1.34-8.62.</w:t>
      </w:r>
    </w:p>
    <w:p w14:paraId="4FCB6302" w14:textId="77777777" w:rsidR="0094224E" w:rsidRPr="00FD0076" w:rsidRDefault="00000000">
      <w:pPr>
        <w:spacing w:before="240" w:after="180" w:line="480" w:lineRule="auto"/>
        <w:jc w:val="both"/>
        <w:rPr>
          <w:b/>
          <w:bCs/>
          <w:i/>
          <w:iCs/>
          <w:lang w:val="en-US"/>
        </w:rPr>
      </w:pPr>
      <w:r w:rsidRPr="00FD0076">
        <w:rPr>
          <w:b/>
          <w:bCs/>
          <w:i/>
          <w:iCs/>
          <w:lang w:val="en-US"/>
        </w:rPr>
        <w:t>Covariate Balance Assessment</w:t>
      </w:r>
    </w:p>
    <w:p w14:paraId="48A22B47" w14:textId="1548C1B2" w:rsidR="0094224E" w:rsidRPr="00FD0076" w:rsidRDefault="00000000">
      <w:pPr>
        <w:spacing w:before="240" w:after="180" w:line="480" w:lineRule="auto"/>
        <w:jc w:val="both"/>
        <w:rPr>
          <w:lang w:val="en-US"/>
        </w:rPr>
      </w:pPr>
      <w:r w:rsidRPr="00FD0076">
        <w:rPr>
          <w:lang w:val="en-US"/>
        </w:rPr>
        <w:t>The adequacy of IPTW adjustment was evaluated by comparing the standardized mean difference (SMD) for each covariate before and after weighting, computed as the maximum SMD across all pairwise treatment group comparisons. A threshold of SMD &lt;0.1 was used to define adequate balance, consistent with established guidelines. Supplementary Table S1 presents the covariate balance diagnostics.</w:t>
      </w:r>
    </w:p>
    <w:p w14:paraId="10631DAF" w14:textId="77777777" w:rsidR="0094224E" w:rsidRPr="00FD0076" w:rsidRDefault="00000000">
      <w:pPr>
        <w:spacing w:before="240" w:after="180" w:line="480" w:lineRule="auto"/>
        <w:jc w:val="both"/>
        <w:rPr>
          <w:lang w:val="en-US"/>
        </w:rPr>
      </w:pPr>
      <w:r w:rsidRPr="00FD0076">
        <w:rPr>
          <w:lang w:val="en-US"/>
        </w:rPr>
        <w:t>All covariates achieved adequate balance after weighting (maximum adjusted SMD = 0.030 for time to treatment). The largest pre-weighting imbalances were observed for cytogenetic risk (SMD 0.486), ECOG performance status (SMD 0.459), and time from diagnosis to treatment (SMD 0.390), reflecting meaningful baseline differences between product groups that were effectively resolved by the weighting procedure.</w:t>
      </w:r>
    </w:p>
    <w:p w14:paraId="457682B6" w14:textId="77777777" w:rsidR="0094224E" w:rsidRPr="00FD0076" w:rsidRDefault="00000000">
      <w:pPr>
        <w:spacing w:before="240" w:after="180" w:line="480" w:lineRule="auto"/>
        <w:jc w:val="both"/>
        <w:rPr>
          <w:lang w:val="en-US"/>
        </w:rPr>
      </w:pPr>
      <w:r w:rsidRPr="00FD0076">
        <w:rPr>
          <w:lang w:val="en-US"/>
        </w:rPr>
        <w:t>The effective sample size (ESS), which quantifies the information loss due to weighting, was 162.9 for ide-cel (from 184 unweighted), 146.0 for cilta-cel/</w:t>
      </w:r>
      <w:proofErr w:type="spellStart"/>
      <w:r w:rsidRPr="00FD0076">
        <w:rPr>
          <w:lang w:val="en-US"/>
        </w:rPr>
        <w:t>cesni</w:t>
      </w:r>
      <w:proofErr w:type="spellEnd"/>
      <w:r w:rsidRPr="00FD0076">
        <w:rPr>
          <w:lang w:val="en-US"/>
        </w:rPr>
        <w:t xml:space="preserve">-cel (from 197), and 125.7 for </w:t>
      </w:r>
      <w:proofErr w:type="spellStart"/>
      <w:r w:rsidRPr="00FD0076">
        <w:rPr>
          <w:lang w:val="en-US"/>
        </w:rPr>
        <w:t>BsAb</w:t>
      </w:r>
      <w:proofErr w:type="spellEnd"/>
      <w:r w:rsidRPr="00FD0076">
        <w:rPr>
          <w:lang w:val="en-US"/>
        </w:rPr>
        <w:t xml:space="preserve"> (from 188). The greater ESS reduction in the </w:t>
      </w:r>
      <w:proofErr w:type="spellStart"/>
      <w:r w:rsidRPr="00FD0076">
        <w:rPr>
          <w:lang w:val="en-US"/>
        </w:rPr>
        <w:t>BsAb</w:t>
      </w:r>
      <w:proofErr w:type="spellEnd"/>
      <w:r w:rsidRPr="00FD0076">
        <w:rPr>
          <w:lang w:val="en-US"/>
        </w:rPr>
        <w:t xml:space="preserve"> group reflects the larger weight variability required to balance this group against the CAR-T products, consistent with the more substantial baseline covariate differences in this group.</w:t>
      </w:r>
    </w:p>
    <w:p w14:paraId="6E816C89" w14:textId="77777777" w:rsidR="0094224E" w:rsidRPr="00FD0076" w:rsidRDefault="00000000">
      <w:pPr>
        <w:spacing w:before="240" w:after="180" w:line="480" w:lineRule="auto"/>
        <w:jc w:val="both"/>
        <w:rPr>
          <w:b/>
          <w:bCs/>
          <w:i/>
          <w:iCs/>
          <w:lang w:val="en-US"/>
        </w:rPr>
      </w:pPr>
      <w:r w:rsidRPr="00FD0076">
        <w:rPr>
          <w:b/>
          <w:bCs/>
          <w:i/>
          <w:iCs/>
          <w:lang w:val="en-US"/>
        </w:rPr>
        <w:t>Outcome Models</w:t>
      </w:r>
    </w:p>
    <w:p w14:paraId="762DBD9A" w14:textId="77777777" w:rsidR="0094224E" w:rsidRPr="00FD0076" w:rsidRDefault="00000000">
      <w:pPr>
        <w:spacing w:before="240" w:after="180" w:line="480" w:lineRule="auto"/>
        <w:jc w:val="both"/>
        <w:rPr>
          <w:lang w:val="en-US"/>
        </w:rPr>
      </w:pPr>
      <w:r w:rsidRPr="00FD0076">
        <w:rPr>
          <w:b/>
          <w:bCs/>
          <w:lang w:val="en-US"/>
        </w:rPr>
        <w:lastRenderedPageBreak/>
        <w:t>Univariable IPTW-weighted Cox models.</w:t>
      </w:r>
      <w:r w:rsidRPr="00FD0076">
        <w:rPr>
          <w:lang w:val="en-US"/>
        </w:rPr>
        <w:t xml:space="preserve"> The primary IPTW analysis fitted weighted Cox proportional hazards models with treatment group as the sole covariate, using stabilized trimmed weights. Robust (sandwich) standard errors were computed to account for the within-subject correlation induced by weighting, yielding valid 95% confidence intervals. Models were fitted separately for PFS and OS.</w:t>
      </w:r>
    </w:p>
    <w:p w14:paraId="53CFA445" w14:textId="13472EEA" w:rsidR="0094224E" w:rsidRPr="00FD0076" w:rsidRDefault="00000000">
      <w:pPr>
        <w:spacing w:before="240" w:after="180" w:line="480" w:lineRule="auto"/>
        <w:jc w:val="both"/>
        <w:rPr>
          <w:lang w:val="en-US"/>
        </w:rPr>
      </w:pPr>
      <w:r w:rsidRPr="00FD0076">
        <w:rPr>
          <w:b/>
          <w:bCs/>
          <w:lang w:val="en-US"/>
        </w:rPr>
        <w:t>Doubly robust multivariable models.</w:t>
      </w:r>
      <w:r w:rsidRPr="00FD0076">
        <w:rPr>
          <w:lang w:val="en-US"/>
        </w:rPr>
        <w:t xml:space="preserve"> To provide additional protection against model misspecification, doubly robust models were fitted by including all propensity score covariates (EMD, ECOG, cytogenetic risk, time to treatment, age) as additional covariates in the IPTW-weighted Cox models. Under correct specification of either the propensity score model or the outcome model, this approach yields consistent treatment effect estimates. The doubly robust approach is particularly valuable in this context because the multinomial propensity score model may not perfectly capture the treatment allocation mechanism, and prognostic covariates such as EMD and ECOG may have residual confounding effects even after weighting.</w:t>
      </w:r>
    </w:p>
    <w:p w14:paraId="5FDDD77C" w14:textId="77777777" w:rsidR="0094224E" w:rsidRPr="00FD0076" w:rsidRDefault="00000000">
      <w:pPr>
        <w:spacing w:before="240" w:after="180" w:line="480" w:lineRule="auto"/>
        <w:jc w:val="both"/>
        <w:rPr>
          <w:lang w:val="en-US"/>
        </w:rPr>
      </w:pPr>
      <w:r w:rsidRPr="00FD0076">
        <w:rPr>
          <w:b/>
          <w:bCs/>
          <w:lang w:val="en-US"/>
        </w:rPr>
        <w:t>Weighted Kaplan-Meier estimation.</w:t>
      </w:r>
      <w:r w:rsidRPr="00FD0076">
        <w:rPr>
          <w:lang w:val="en-US"/>
        </w:rPr>
        <w:t xml:space="preserve"> To complement the Cox model results with absolute outcome measures, IPTW-weighted Kaplan-Meier survival curves were estimated using the survey package (</w:t>
      </w:r>
      <w:proofErr w:type="spellStart"/>
      <w:r w:rsidRPr="00FD0076">
        <w:rPr>
          <w:i/>
          <w:iCs/>
          <w:lang w:val="en-US"/>
        </w:rPr>
        <w:t>svykm</w:t>
      </w:r>
      <w:proofErr w:type="spellEnd"/>
      <w:r w:rsidRPr="00FD0076">
        <w:rPr>
          <w:lang w:val="en-US"/>
        </w:rPr>
        <w:t xml:space="preserve"> function), which accounts for the survey-like structure of the weighted pseudo-population. 12-month PFS and OS rates were extracted for each treatment group.</w:t>
      </w:r>
    </w:p>
    <w:p w14:paraId="5CA0A9E1" w14:textId="77777777" w:rsidR="0094224E" w:rsidRPr="00FD0076" w:rsidRDefault="00000000">
      <w:pPr>
        <w:spacing w:before="240" w:after="180" w:line="480" w:lineRule="auto"/>
        <w:jc w:val="both"/>
        <w:rPr>
          <w:b/>
          <w:bCs/>
          <w:i/>
          <w:iCs/>
          <w:lang w:val="en-US"/>
        </w:rPr>
      </w:pPr>
      <w:r w:rsidRPr="00FD0076">
        <w:rPr>
          <w:b/>
          <w:bCs/>
          <w:i/>
          <w:iCs/>
          <w:lang w:val="en-US"/>
        </w:rPr>
        <w:t>Limitations of IPTW</w:t>
      </w:r>
    </w:p>
    <w:p w14:paraId="1AA203EB" w14:textId="77777777" w:rsidR="0094224E" w:rsidRPr="00FD0076" w:rsidRDefault="00000000">
      <w:pPr>
        <w:spacing w:before="240" w:after="180" w:line="480" w:lineRule="auto"/>
        <w:jc w:val="both"/>
        <w:rPr>
          <w:lang w:val="en-US"/>
        </w:rPr>
      </w:pPr>
      <w:r w:rsidRPr="00FD0076">
        <w:rPr>
          <w:lang w:val="en-US"/>
        </w:rPr>
        <w:t>IPTW assumes that, conditional on the measured covariates, treatment assignment is independent of potential outcomes (no unmeasured confounding). While the access-driven allocation described above partially supports this assumption, residual confounding from unmeasured factors (including prior treatment history beyond what is captured in the refractory status, disease kinetics, patient frailty, and center-level treatment protocols) cannot be excluded. This is the fundamental limitation shared by all observational comparative effectiveness analyses.</w:t>
      </w:r>
    </w:p>
    <w:p w14:paraId="547D066B" w14:textId="77777777" w:rsidR="0094224E" w:rsidRPr="00FD0076" w:rsidRDefault="00000000">
      <w:pPr>
        <w:spacing w:before="240" w:after="180" w:line="480" w:lineRule="auto"/>
        <w:jc w:val="both"/>
        <w:rPr>
          <w:lang w:val="en-US"/>
        </w:rPr>
      </w:pPr>
      <w:r w:rsidRPr="00FD0076">
        <w:rPr>
          <w:lang w:val="en-US"/>
        </w:rPr>
        <w:lastRenderedPageBreak/>
        <w:t xml:space="preserve">Every patient must have a non-zero probability of receiving each treatment. In practice and in fact shown in our study, access constraints meant that some patients had near-zero probability of receiving CAR-T products. The weight trimming procedure addresses extreme violations, but near-violations of positivity may still introduce residual bias. The effective sample size reduction (particularly in the </w:t>
      </w:r>
      <w:proofErr w:type="spellStart"/>
      <w:r w:rsidRPr="00FD0076">
        <w:rPr>
          <w:lang w:val="en-US"/>
        </w:rPr>
        <w:t>BsAb</w:t>
      </w:r>
      <w:proofErr w:type="spellEnd"/>
      <w:r w:rsidRPr="00FD0076">
        <w:rPr>
          <w:lang w:val="en-US"/>
        </w:rPr>
        <w:t xml:space="preserve"> group) reflects this constraint.</w:t>
      </w:r>
    </w:p>
    <w:p w14:paraId="5B6C0B9D" w14:textId="77777777" w:rsidR="0094224E" w:rsidRPr="00FD0076" w:rsidRDefault="00000000">
      <w:pPr>
        <w:spacing w:before="240" w:after="180" w:line="480" w:lineRule="auto"/>
        <w:jc w:val="both"/>
        <w:rPr>
          <w:lang w:val="en-US"/>
        </w:rPr>
      </w:pPr>
      <w:r w:rsidRPr="00FD0076">
        <w:rPr>
          <w:lang w:val="en-US"/>
        </w:rPr>
        <w:t>The propensity score model assumes that the multinomial logistic regression correctly specifies the relationship between covariates and treatment assignment. While the excellent post-weighting balance (all SMD &lt;0.03) provides empirical support for adequate specification, this does not guarantee that we were able to capture all relevant confounders. The doubly robust models provide partial protection against misspecification of either the propensity score or outcome model.</w:t>
      </w:r>
    </w:p>
    <w:p w14:paraId="470C4B5C" w14:textId="5C94550F" w:rsidR="00E64094" w:rsidRPr="00D737D0" w:rsidRDefault="00000000" w:rsidP="00D737D0">
      <w:pPr>
        <w:spacing w:before="240" w:after="180" w:line="480" w:lineRule="auto"/>
        <w:jc w:val="both"/>
        <w:rPr>
          <w:lang w:val="en-US"/>
        </w:rPr>
      </w:pPr>
      <w:r w:rsidRPr="00FD0076">
        <w:rPr>
          <w:lang w:val="en-US"/>
        </w:rPr>
        <w:t>The Cox models assume proportional hazards for the treatment effect over time. Given the different mechanisms of action and pharmacokinetic profiles of CAR-T products and bispecific antibodies (e.g., one-time infusion vs. continuous administration), non-proportional hazards are biologically plausible. The landmark and Royston-Parmar analyses provide complementary assessments that do not require this assumption.</w:t>
      </w:r>
    </w:p>
    <w:sectPr w:rsidR="00E64094" w:rsidRPr="00D737D0" w:rsidSect="00442B6C">
      <w:footerReference w:type="default" r:id="rId6"/>
      <w:pgSz w:w="11909" w:h="16834"/>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8AB741" w14:textId="77777777" w:rsidR="007215CD" w:rsidRDefault="007215CD" w:rsidP="00FD0076">
      <w:pPr>
        <w:spacing w:line="240" w:lineRule="auto"/>
      </w:pPr>
      <w:r>
        <w:separator/>
      </w:r>
    </w:p>
  </w:endnote>
  <w:endnote w:type="continuationSeparator" w:id="0">
    <w:p w14:paraId="58BEDDF1" w14:textId="77777777" w:rsidR="007215CD" w:rsidRDefault="007215CD" w:rsidP="00FD00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75B234C1-2D7F-B34B-99BD-0AB8C867D130}"/>
    <w:embedBold r:id="rId2" w:fontKey="{0386DF58-4844-194C-B144-9599F4C28708}"/>
    <w:embedItalic r:id="rId3" w:fontKey="{2A7BC4E4-EF21-8340-8701-7D3F521B23AD}"/>
    <w:embedBoldItalic r:id="rId4" w:fontKey="{E0799867-0CB9-0448-8535-CA346A26B5A8}"/>
  </w:font>
  <w:font w:name="Times New Roman">
    <w:panose1 w:val="02020603050405020304"/>
    <w:charset w:val="00"/>
    <w:family w:val="roman"/>
    <w:pitch w:val="variable"/>
    <w:sig w:usb0="E0002EFF" w:usb1="C000785B" w:usb2="00000009" w:usb3="00000000" w:csb0="000001FF" w:csb1="00000000"/>
    <w:embedRegular r:id="rId5" w:fontKey="{CAC27D8A-C9C0-3446-97C3-BA3BCC67AA2C}"/>
  </w:font>
  <w:font w:name="Arial Unicode MS">
    <w:panose1 w:val="020B0604020202020204"/>
    <w:charset w:val="80"/>
    <w:family w:val="swiss"/>
    <w:pitch w:val="variable"/>
    <w:sig w:usb0="F7FFAFFF" w:usb1="E9DFFFFF" w:usb2="0000003F" w:usb3="00000000" w:csb0="003F01FF" w:csb1="00000000"/>
    <w:embedRegular r:id="rId6" w:subsetted="1" w:fontKey="{8635B6B2-0327-E746-9304-945C7BA7070F}"/>
  </w:font>
  <w:font w:name="Calibri">
    <w:panose1 w:val="020F0502020204030204"/>
    <w:charset w:val="00"/>
    <w:family w:val="swiss"/>
    <w:pitch w:val="variable"/>
    <w:sig w:usb0="E4002EFF" w:usb1="C200247B" w:usb2="00000009" w:usb3="00000000" w:csb0="000001FF" w:csb1="00000000"/>
    <w:embedRegular r:id="rId7" w:fontKey="{D3E54B3F-3ED6-8B48-9D47-B48C9C6018CF}"/>
  </w:font>
  <w:font w:name="Cambria">
    <w:panose1 w:val="02040503050406030204"/>
    <w:charset w:val="00"/>
    <w:family w:val="roman"/>
    <w:pitch w:val="variable"/>
    <w:sig w:usb0="E00006FF" w:usb1="420024FF" w:usb2="02000000" w:usb3="00000000" w:csb0="0000019F" w:csb1="00000000"/>
    <w:embedRegular r:id="rId8" w:fontKey="{E13EB93B-1E19-F04A-B292-E3956003FB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4968976"/>
      <w:docPartObj>
        <w:docPartGallery w:val="Page Numbers (Bottom of Page)"/>
        <w:docPartUnique/>
      </w:docPartObj>
    </w:sdtPr>
    <w:sdtContent>
      <w:p w14:paraId="062B7A0E" w14:textId="1A46FD3E" w:rsidR="00442B6C" w:rsidRDefault="00442B6C">
        <w:pPr>
          <w:pStyle w:val="Footer"/>
          <w:jc w:val="center"/>
        </w:pPr>
        <w:r>
          <w:fldChar w:fldCharType="begin"/>
        </w:r>
        <w:r>
          <w:instrText>PAGE   \* MERGEFORMAT</w:instrText>
        </w:r>
        <w:r>
          <w:fldChar w:fldCharType="separate"/>
        </w:r>
        <w:r>
          <w:rPr>
            <w:lang w:val="de-DE"/>
          </w:rPr>
          <w:t>2</w:t>
        </w:r>
        <w:r>
          <w:fldChar w:fldCharType="end"/>
        </w:r>
      </w:p>
    </w:sdtContent>
  </w:sdt>
  <w:p w14:paraId="1DF42ADF" w14:textId="679CD1DA" w:rsidR="00442B6C" w:rsidRDefault="00442B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6225C" w14:textId="77777777" w:rsidR="007215CD" w:rsidRDefault="007215CD" w:rsidP="00FD0076">
      <w:pPr>
        <w:spacing w:line="240" w:lineRule="auto"/>
      </w:pPr>
      <w:r>
        <w:separator/>
      </w:r>
    </w:p>
  </w:footnote>
  <w:footnote w:type="continuationSeparator" w:id="0">
    <w:p w14:paraId="1CE88CFA" w14:textId="77777777" w:rsidR="007215CD" w:rsidRDefault="007215CD" w:rsidP="00FD007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94224E"/>
    <w:rsid w:val="00025C0B"/>
    <w:rsid w:val="000625E8"/>
    <w:rsid w:val="000B2B39"/>
    <w:rsid w:val="000E20BB"/>
    <w:rsid w:val="000F7AF9"/>
    <w:rsid w:val="00244611"/>
    <w:rsid w:val="00267EB1"/>
    <w:rsid w:val="002828FF"/>
    <w:rsid w:val="0028607F"/>
    <w:rsid w:val="002A3BF6"/>
    <w:rsid w:val="00344D2D"/>
    <w:rsid w:val="0037369D"/>
    <w:rsid w:val="003849E2"/>
    <w:rsid w:val="00442B6C"/>
    <w:rsid w:val="00494B94"/>
    <w:rsid w:val="004B23EC"/>
    <w:rsid w:val="00512597"/>
    <w:rsid w:val="005A17F6"/>
    <w:rsid w:val="005F56C6"/>
    <w:rsid w:val="00674190"/>
    <w:rsid w:val="00710A93"/>
    <w:rsid w:val="00717CEF"/>
    <w:rsid w:val="007215CD"/>
    <w:rsid w:val="007C1342"/>
    <w:rsid w:val="007D526E"/>
    <w:rsid w:val="007E5F68"/>
    <w:rsid w:val="008F1268"/>
    <w:rsid w:val="009156C4"/>
    <w:rsid w:val="00933D73"/>
    <w:rsid w:val="0094224E"/>
    <w:rsid w:val="00AA73BC"/>
    <w:rsid w:val="00AB79F5"/>
    <w:rsid w:val="00B97268"/>
    <w:rsid w:val="00BA362C"/>
    <w:rsid w:val="00BB5786"/>
    <w:rsid w:val="00C9092D"/>
    <w:rsid w:val="00CA180E"/>
    <w:rsid w:val="00D737D0"/>
    <w:rsid w:val="00DB2A5B"/>
    <w:rsid w:val="00DB7369"/>
    <w:rsid w:val="00E21B42"/>
    <w:rsid w:val="00E2358C"/>
    <w:rsid w:val="00E37A1B"/>
    <w:rsid w:val="00E64094"/>
    <w:rsid w:val="00FD0076"/>
    <w:rsid w:val="00FF4D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33CF82"/>
  <w15:docId w15:val="{BCC23FB6-9F30-4162-96E1-C27D6DEF7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Header">
    <w:name w:val="header"/>
    <w:basedOn w:val="Normal"/>
    <w:link w:val="HeaderChar"/>
    <w:uiPriority w:val="99"/>
    <w:unhideWhenUsed/>
    <w:rsid w:val="00FD0076"/>
    <w:pPr>
      <w:tabs>
        <w:tab w:val="center" w:pos="4536"/>
        <w:tab w:val="right" w:pos="9072"/>
      </w:tabs>
      <w:spacing w:line="240" w:lineRule="auto"/>
    </w:pPr>
  </w:style>
  <w:style w:type="character" w:customStyle="1" w:styleId="HeaderChar">
    <w:name w:val="Header Char"/>
    <w:basedOn w:val="DefaultParagraphFont"/>
    <w:link w:val="Header"/>
    <w:uiPriority w:val="99"/>
    <w:rsid w:val="00FD0076"/>
  </w:style>
  <w:style w:type="paragraph" w:styleId="Footer">
    <w:name w:val="footer"/>
    <w:basedOn w:val="Normal"/>
    <w:link w:val="FooterChar"/>
    <w:uiPriority w:val="99"/>
    <w:unhideWhenUsed/>
    <w:rsid w:val="00FD0076"/>
    <w:pPr>
      <w:tabs>
        <w:tab w:val="center" w:pos="4536"/>
        <w:tab w:val="right" w:pos="9072"/>
      </w:tabs>
      <w:spacing w:line="240" w:lineRule="auto"/>
    </w:pPr>
  </w:style>
  <w:style w:type="character" w:customStyle="1" w:styleId="FooterChar">
    <w:name w:val="Footer Char"/>
    <w:basedOn w:val="DefaultParagraphFont"/>
    <w:link w:val="Footer"/>
    <w:uiPriority w:val="99"/>
    <w:rsid w:val="00FD0076"/>
  </w:style>
  <w:style w:type="table" w:styleId="TableGrid">
    <w:name w:val="Table Grid"/>
    <w:basedOn w:val="TableNormal"/>
    <w:uiPriority w:val="39"/>
    <w:rsid w:val="00DB736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11</Pages>
  <Words>2997</Words>
  <Characters>17084</Characters>
  <Application>Microsoft Office Word</Application>
  <DocSecurity>0</DocSecurity>
  <Lines>142</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dc:creator>
  <cp:lastModifiedBy>Merz, Maximilian</cp:lastModifiedBy>
  <cp:revision>3</cp:revision>
  <dcterms:created xsi:type="dcterms:W3CDTF">2026-05-21T17:18:00Z</dcterms:created>
  <dcterms:modified xsi:type="dcterms:W3CDTF">2026-05-21T17:21:00Z</dcterms:modified>
</cp:coreProperties>
</file>