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DD033" w14:textId="659F787A" w:rsidR="00C62103" w:rsidRDefault="007A3F2F" w:rsidP="00B12618">
      <w:pPr>
        <w:spacing w:before="240" w:after="120" w:line="480" w:lineRule="auto"/>
        <w:jc w:val="both"/>
        <w:rPr>
          <w:b/>
          <w:bCs/>
          <w:sz w:val="26"/>
          <w:szCs w:val="26"/>
          <w:lang w:val="en-US"/>
        </w:rPr>
      </w:pPr>
      <w:r w:rsidRPr="002828FF">
        <w:rPr>
          <w:noProof/>
          <w:lang w:val="de-DE"/>
        </w:rPr>
        <w:drawing>
          <wp:inline distT="0" distB="0" distL="0" distR="0" wp14:anchorId="31DDBCB5" wp14:editId="229D442C">
            <wp:extent cx="5733415" cy="3457575"/>
            <wp:effectExtent l="0" t="0" r="635" b="9525"/>
            <wp:docPr id="154632612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84BC5" w14:textId="77777777" w:rsidR="007A3F2F" w:rsidRPr="007A3F2F" w:rsidRDefault="007A3F2F" w:rsidP="007A3F2F">
      <w:pPr>
        <w:spacing w:before="240" w:after="120" w:line="480" w:lineRule="auto"/>
        <w:jc w:val="both"/>
        <w:rPr>
          <w:b/>
          <w:bCs/>
          <w:sz w:val="24"/>
          <w:szCs w:val="24"/>
          <w:lang w:val="en-US"/>
        </w:rPr>
      </w:pPr>
      <w:r w:rsidRPr="007A3F2F">
        <w:rPr>
          <w:b/>
          <w:bCs/>
          <w:sz w:val="24"/>
          <w:szCs w:val="24"/>
          <w:lang w:val="en-US"/>
        </w:rPr>
        <w:t>Figure S4. RPSFTM-adjusted overall survival by initial treatment modality.</w:t>
      </w:r>
    </w:p>
    <w:p w14:paraId="229F9E68" w14:textId="77777777" w:rsidR="007A3F2F" w:rsidRPr="007A3F2F" w:rsidRDefault="007A3F2F" w:rsidP="007A3F2F">
      <w:pPr>
        <w:spacing w:before="240" w:after="120" w:line="480" w:lineRule="auto"/>
        <w:jc w:val="both"/>
        <w:rPr>
          <w:sz w:val="24"/>
          <w:szCs w:val="24"/>
          <w:lang w:val="en-US"/>
        </w:rPr>
      </w:pPr>
      <w:r w:rsidRPr="007A3F2F">
        <w:rPr>
          <w:sz w:val="24"/>
          <w:szCs w:val="24"/>
          <w:lang w:val="en-US"/>
        </w:rPr>
        <w:t xml:space="preserve">RPSFTM-adjusted overall survival. The observed CAR-T-first curve (solid dark blue) is compared with the observed </w:t>
      </w:r>
      <w:proofErr w:type="spellStart"/>
      <w:r w:rsidRPr="007A3F2F">
        <w:rPr>
          <w:sz w:val="24"/>
          <w:szCs w:val="24"/>
          <w:lang w:val="en-US"/>
        </w:rPr>
        <w:t>BsAb</w:t>
      </w:r>
      <w:proofErr w:type="spellEnd"/>
      <w:r w:rsidRPr="007A3F2F">
        <w:rPr>
          <w:sz w:val="24"/>
          <w:szCs w:val="24"/>
          <w:lang w:val="en-US"/>
        </w:rPr>
        <w:t xml:space="preserve">-first curve (dashed crimson) and the RPSFTM-adjusted </w:t>
      </w:r>
      <w:proofErr w:type="spellStart"/>
      <w:r w:rsidRPr="007A3F2F">
        <w:rPr>
          <w:sz w:val="24"/>
          <w:szCs w:val="24"/>
          <w:lang w:val="en-US"/>
        </w:rPr>
        <w:t>BsAb</w:t>
      </w:r>
      <w:proofErr w:type="spellEnd"/>
      <w:r w:rsidRPr="007A3F2F">
        <w:rPr>
          <w:sz w:val="24"/>
          <w:szCs w:val="24"/>
          <w:lang w:val="en-US"/>
        </w:rPr>
        <w:t xml:space="preserve">-first curve (solid orange). The adjusted curve represents the counterfactual survival of </w:t>
      </w:r>
      <w:proofErr w:type="spellStart"/>
      <w:r w:rsidRPr="007A3F2F">
        <w:rPr>
          <w:sz w:val="24"/>
          <w:szCs w:val="24"/>
          <w:lang w:val="en-US"/>
        </w:rPr>
        <w:t>BsAb</w:t>
      </w:r>
      <w:proofErr w:type="spellEnd"/>
      <w:r w:rsidRPr="007A3F2F">
        <w:rPr>
          <w:sz w:val="24"/>
          <w:szCs w:val="24"/>
          <w:lang w:val="en-US"/>
        </w:rPr>
        <w:t>-first patients had no treatment switching to CAR-T occurred, estimated using rank-preserving structural failure time modeling with g-estimation. Number at risk tables are shown below each panel. All estimates are descriptive and should be interpreted in the context of non-randomized treatment allocation and the assumptions of the RPSFTM framework.</w:t>
      </w:r>
    </w:p>
    <w:p w14:paraId="4DDC7403" w14:textId="61D81486" w:rsidR="00B12618" w:rsidRPr="00E9087A" w:rsidRDefault="00B12618" w:rsidP="007A3F2F">
      <w:pPr>
        <w:spacing w:before="240" w:after="120" w:line="480" w:lineRule="auto"/>
        <w:jc w:val="both"/>
        <w:rPr>
          <w:b/>
          <w:bCs/>
          <w:sz w:val="24"/>
          <w:szCs w:val="24"/>
          <w:lang w:val="en-US"/>
        </w:rPr>
      </w:pPr>
    </w:p>
    <w:sectPr w:rsidR="00B12618" w:rsidRPr="00E908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618"/>
    <w:rsid w:val="0008761F"/>
    <w:rsid w:val="005A17F6"/>
    <w:rsid w:val="005C4E80"/>
    <w:rsid w:val="0075297D"/>
    <w:rsid w:val="007A3F2F"/>
    <w:rsid w:val="00B12618"/>
    <w:rsid w:val="00BC22E9"/>
    <w:rsid w:val="00C62103"/>
    <w:rsid w:val="00E9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A8631B"/>
  <w15:chartTrackingRefBased/>
  <w15:docId w15:val="{2C4EE4A4-29C1-7043-8388-19DE9A17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618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6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61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61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61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61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6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6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6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6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6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6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6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6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6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6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126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6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126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6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126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6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126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6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6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6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Merz, Maximilian</dc:creator>
  <cp:keywords/>
  <dc:description/>
  <cp:lastModifiedBy>Merz, Maximilian</cp:lastModifiedBy>
  <cp:revision>2</cp:revision>
  <dcterms:created xsi:type="dcterms:W3CDTF">2026-05-21T17:15:00Z</dcterms:created>
  <dcterms:modified xsi:type="dcterms:W3CDTF">2026-05-21T17:15:00Z</dcterms:modified>
</cp:coreProperties>
</file>