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FB2344" w14:textId="77777777" w:rsidR="00574B5C" w:rsidRPr="00F329CF" w:rsidRDefault="00574B5C" w:rsidP="00574B5C">
      <w:pPr>
        <w:jc w:val="center"/>
        <w:outlineLvl w:val="0"/>
        <w:rPr>
          <w:rFonts w:ascii="Arial" w:hAnsi="Arial" w:cs="Arial"/>
          <w:b/>
          <w:bCs/>
          <w:sz w:val="22"/>
          <w:szCs w:val="22"/>
        </w:rPr>
      </w:pPr>
      <w:bookmarkStart w:id="0" w:name="_Toc24855"/>
      <w:bookmarkStart w:id="1" w:name="_Toc22367"/>
      <w:bookmarkStart w:id="2" w:name="_Toc30827"/>
      <w:bookmarkStart w:id="3" w:name="_Toc25555"/>
      <w:bookmarkStart w:id="4" w:name="_Toc31480"/>
      <w:bookmarkStart w:id="5" w:name="_Toc1604"/>
      <w:bookmarkStart w:id="6" w:name="_Toc23224"/>
      <w:bookmarkStart w:id="7" w:name="_Toc592"/>
      <w:r w:rsidRPr="00F329CF">
        <w:rPr>
          <w:rFonts w:ascii="Arial" w:hAnsi="Arial" w:cs="Arial"/>
          <w:b/>
          <w:bCs/>
          <w:sz w:val="22"/>
          <w:szCs w:val="22"/>
        </w:rPr>
        <w:t>Supplementary Information</w:t>
      </w:r>
      <w:bookmarkEnd w:id="0"/>
      <w:bookmarkEnd w:id="1"/>
      <w:bookmarkEnd w:id="2"/>
      <w:bookmarkEnd w:id="3"/>
      <w:bookmarkEnd w:id="4"/>
      <w:bookmarkEnd w:id="5"/>
      <w:bookmarkEnd w:id="6"/>
      <w:bookmarkEnd w:id="7"/>
    </w:p>
    <w:p w14:paraId="1584DC32" w14:textId="77777777" w:rsidR="00574B5C" w:rsidRPr="00F329CF" w:rsidRDefault="00574B5C" w:rsidP="00574B5C">
      <w:pPr>
        <w:spacing w:line="480" w:lineRule="auto"/>
        <w:jc w:val="both"/>
        <w:rPr>
          <w:rStyle w:val="Fett"/>
          <w:rFonts w:ascii="Arial" w:eastAsiaTheme="majorEastAsia" w:hAnsi="Arial" w:cs="Arial"/>
          <w:b w:val="0"/>
          <w:color w:val="000000" w:themeColor="text1"/>
          <w:sz w:val="22"/>
          <w:szCs w:val="22"/>
          <w:shd w:val="clear" w:color="auto" w:fill="FFFFFF"/>
        </w:rPr>
      </w:pPr>
    </w:p>
    <w:p w14:paraId="01BD291B" w14:textId="261CBD33" w:rsidR="00574B5C" w:rsidRPr="00F329CF" w:rsidRDefault="00574B5C" w:rsidP="00574B5C">
      <w:pPr>
        <w:spacing w:line="480" w:lineRule="auto"/>
        <w:jc w:val="both"/>
        <w:rPr>
          <w:rFonts w:ascii="Arial" w:hAnsi="Arial" w:cs="Arial"/>
          <w:bCs/>
          <w:color w:val="000000" w:themeColor="text1"/>
          <w:sz w:val="22"/>
          <w:szCs w:val="22"/>
        </w:rPr>
      </w:pPr>
      <w:r w:rsidRPr="00F329CF">
        <w:rPr>
          <w:rStyle w:val="Fett"/>
          <w:rFonts w:ascii="Arial" w:eastAsiaTheme="majorEastAsia" w:hAnsi="Arial" w:cs="Arial"/>
          <w:bCs/>
          <w:color w:val="000000" w:themeColor="text1"/>
          <w:sz w:val="22"/>
          <w:szCs w:val="22"/>
          <w:shd w:val="clear" w:color="auto" w:fill="FFFFFF"/>
        </w:rPr>
        <w:t>The Protein Phosphatase Inhibitor LB100 Targets the Mesenchymal Lineage of Pancreatic Ductal Adenocarcinoma</w:t>
      </w:r>
    </w:p>
    <w:p w14:paraId="50DEAA6E" w14:textId="084EEC34"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rPr>
        <w:t>Janine Murr</w:t>
      </w:r>
      <w:r w:rsidRPr="00F329CF">
        <w:rPr>
          <w:rFonts w:ascii="Arial" w:hAnsi="Arial" w:cs="Arial"/>
          <w:color w:val="000000" w:themeColor="text1"/>
          <w:sz w:val="22"/>
          <w:szCs w:val="22"/>
          <w:vertAlign w:val="superscript"/>
        </w:rPr>
        <w:t>1</w:t>
      </w:r>
      <w:r w:rsidRPr="00F329CF">
        <w:rPr>
          <w:rFonts w:ascii="Arial" w:hAnsi="Arial" w:cs="Arial"/>
          <w:color w:val="000000" w:themeColor="text1"/>
          <w:sz w:val="22"/>
          <w:szCs w:val="22"/>
        </w:rPr>
        <w:t>, Carolin Schneider</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 xml:space="preserve">, </w:t>
      </w:r>
      <w:proofErr w:type="spellStart"/>
      <w:r w:rsidRPr="00F329CF">
        <w:rPr>
          <w:rFonts w:ascii="Arial" w:hAnsi="Arial" w:cs="Arial"/>
          <w:color w:val="000000" w:themeColor="text1"/>
          <w:sz w:val="22"/>
          <w:szCs w:val="22"/>
        </w:rPr>
        <w:t>Ningjun</w:t>
      </w:r>
      <w:proofErr w:type="spellEnd"/>
      <w:r w:rsidRPr="00F329CF">
        <w:rPr>
          <w:rFonts w:ascii="Arial" w:hAnsi="Arial" w:cs="Arial"/>
          <w:color w:val="000000" w:themeColor="text1"/>
          <w:sz w:val="22"/>
          <w:szCs w:val="22"/>
        </w:rPr>
        <w:t xml:space="preserve"> Duan</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 Hazal Köse</w:t>
      </w:r>
      <w:r w:rsidRPr="00F329CF">
        <w:rPr>
          <w:rFonts w:ascii="Arial" w:hAnsi="Arial" w:cs="Arial"/>
          <w:color w:val="000000" w:themeColor="text1"/>
          <w:sz w:val="22"/>
          <w:szCs w:val="22"/>
          <w:vertAlign w:val="superscript"/>
        </w:rPr>
        <w:t>3</w:t>
      </w:r>
      <w:r w:rsidRPr="00F329CF">
        <w:rPr>
          <w:rFonts w:ascii="Arial" w:hAnsi="Arial" w:cs="Arial"/>
          <w:color w:val="000000" w:themeColor="text1"/>
          <w:sz w:val="22"/>
          <w:szCs w:val="22"/>
        </w:rPr>
        <w:t xml:space="preserve">, </w:t>
      </w:r>
      <w:proofErr w:type="spellStart"/>
      <w:r w:rsidRPr="00F329CF">
        <w:rPr>
          <w:rFonts w:ascii="Arial" w:hAnsi="Arial" w:cs="Arial"/>
          <w:color w:val="000000" w:themeColor="text1"/>
          <w:sz w:val="22"/>
          <w:szCs w:val="22"/>
        </w:rPr>
        <w:t>Anantharamanan</w:t>
      </w:r>
      <w:proofErr w:type="spellEnd"/>
      <w:r w:rsidRPr="00F329CF">
        <w:rPr>
          <w:rFonts w:ascii="Arial" w:hAnsi="Arial" w:cs="Arial"/>
          <w:color w:val="000000" w:themeColor="text1"/>
          <w:sz w:val="22"/>
          <w:szCs w:val="22"/>
        </w:rPr>
        <w:t xml:space="preserve"> Rajamani</w:t>
      </w:r>
      <w:r w:rsidRPr="00F329CF">
        <w:rPr>
          <w:rFonts w:ascii="Arial" w:hAnsi="Arial" w:cs="Arial"/>
          <w:color w:val="000000" w:themeColor="text1"/>
          <w:sz w:val="22"/>
          <w:szCs w:val="22"/>
          <w:vertAlign w:val="superscript"/>
        </w:rPr>
        <w:t>4</w:t>
      </w:r>
      <w:r w:rsidRPr="00F329CF">
        <w:rPr>
          <w:rFonts w:ascii="Arial" w:hAnsi="Arial" w:cs="Arial"/>
          <w:color w:val="000000" w:themeColor="text1"/>
          <w:sz w:val="22"/>
          <w:szCs w:val="22"/>
        </w:rPr>
        <w:t xml:space="preserve">, </w:t>
      </w:r>
      <w:proofErr w:type="spellStart"/>
      <w:r w:rsidRPr="00F329CF">
        <w:rPr>
          <w:rFonts w:ascii="Arial" w:hAnsi="Arial" w:cs="Arial"/>
          <w:color w:val="000000" w:themeColor="text1"/>
          <w:sz w:val="22"/>
          <w:szCs w:val="22"/>
        </w:rPr>
        <w:t>Xueyang</w:t>
      </w:r>
      <w:proofErr w:type="spellEnd"/>
      <w:r w:rsidRPr="00F329CF">
        <w:rPr>
          <w:rFonts w:ascii="Arial" w:hAnsi="Arial" w:cs="Arial"/>
          <w:color w:val="000000" w:themeColor="text1"/>
          <w:sz w:val="22"/>
          <w:szCs w:val="22"/>
        </w:rPr>
        <w:t xml:space="preserve"> He</w:t>
      </w:r>
      <w:r w:rsidRPr="00F329CF">
        <w:rPr>
          <w:rFonts w:ascii="Arial" w:hAnsi="Arial" w:cs="Arial"/>
          <w:color w:val="000000" w:themeColor="text1"/>
          <w:sz w:val="22"/>
          <w:szCs w:val="22"/>
          <w:vertAlign w:val="superscript"/>
        </w:rPr>
        <w:t>5,6,7</w:t>
      </w:r>
      <w:r w:rsidRPr="00F329CF">
        <w:rPr>
          <w:rFonts w:ascii="Arial" w:hAnsi="Arial" w:cs="Arial"/>
          <w:color w:val="000000" w:themeColor="text1"/>
          <w:sz w:val="22"/>
          <w:szCs w:val="22"/>
        </w:rPr>
        <w:t>, Jonas Buchloh</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 Christian Hintze</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 Atharva Naik</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 Daniel Goeke</w:t>
      </w:r>
      <w:r w:rsidRPr="00F329CF">
        <w:rPr>
          <w:rFonts w:ascii="Arial" w:hAnsi="Arial" w:cs="Arial"/>
          <w:color w:val="000000" w:themeColor="text1"/>
          <w:sz w:val="22"/>
          <w:szCs w:val="22"/>
          <w:vertAlign w:val="superscript"/>
        </w:rPr>
        <w:t>1</w:t>
      </w:r>
      <w:r w:rsidRPr="00F329CF">
        <w:rPr>
          <w:rFonts w:ascii="Arial" w:hAnsi="Arial" w:cs="Arial"/>
          <w:color w:val="000000" w:themeColor="text1"/>
          <w:sz w:val="22"/>
          <w:szCs w:val="22"/>
        </w:rPr>
        <w:t>, Nicole Rjasanow</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w:t>
      </w:r>
      <w:r w:rsidRPr="00F329CF">
        <w:rPr>
          <w:rFonts w:ascii="Arial" w:hAnsi="Arial" w:cs="Arial"/>
          <w:color w:val="000000" w:themeColor="text1"/>
          <w:sz w:val="22"/>
          <w:szCs w:val="22"/>
          <w:vertAlign w:val="superscript"/>
        </w:rPr>
        <w:t xml:space="preserve"> </w:t>
      </w:r>
      <w:r w:rsidRPr="00F329CF">
        <w:rPr>
          <w:rFonts w:ascii="Arial" w:hAnsi="Arial" w:cs="Arial"/>
          <w:color w:val="000000" w:themeColor="text1"/>
          <w:sz w:val="22"/>
          <w:szCs w:val="22"/>
        </w:rPr>
        <w:t>Lukas Krauß</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 Alexandra Nguyen</w:t>
      </w:r>
      <w:r w:rsidRPr="00F329CF">
        <w:rPr>
          <w:rFonts w:ascii="Arial" w:hAnsi="Arial" w:cs="Arial"/>
          <w:color w:val="000000" w:themeColor="text1"/>
          <w:sz w:val="22"/>
          <w:szCs w:val="22"/>
          <w:vertAlign w:val="superscript"/>
        </w:rPr>
        <w:t>8</w:t>
      </w:r>
      <w:r w:rsidRPr="00F329CF">
        <w:rPr>
          <w:rFonts w:ascii="Arial" w:hAnsi="Arial" w:cs="Arial"/>
          <w:color w:val="000000" w:themeColor="text1"/>
          <w:sz w:val="22"/>
          <w:szCs w:val="22"/>
        </w:rPr>
        <w:t>,</w:t>
      </w:r>
      <w:r w:rsidRPr="00F329CF">
        <w:rPr>
          <w:rFonts w:ascii="Arial" w:hAnsi="Arial" w:cs="Arial"/>
          <w:color w:val="000000" w:themeColor="text1"/>
          <w:sz w:val="22"/>
          <w:szCs w:val="22"/>
          <w:vertAlign w:val="superscript"/>
        </w:rPr>
        <w:t xml:space="preserve"> </w:t>
      </w:r>
      <w:r w:rsidRPr="00F329CF">
        <w:rPr>
          <w:rFonts w:ascii="Arial" w:hAnsi="Arial" w:cs="Arial"/>
          <w:color w:val="000000" w:themeColor="text1"/>
          <w:sz w:val="22"/>
          <w:szCs w:val="22"/>
        </w:rPr>
        <w:t>Sebastian A. Widholz</w:t>
      </w:r>
      <w:r w:rsidRPr="00F329CF">
        <w:rPr>
          <w:rFonts w:ascii="Arial" w:hAnsi="Arial" w:cs="Arial"/>
          <w:color w:val="000000" w:themeColor="text1"/>
          <w:sz w:val="22"/>
          <w:szCs w:val="22"/>
          <w:vertAlign w:val="superscript"/>
        </w:rPr>
        <w:t>9</w:t>
      </w:r>
      <w:r w:rsidRPr="00F329CF">
        <w:rPr>
          <w:rFonts w:ascii="Arial" w:hAnsi="Arial" w:cs="Arial"/>
          <w:color w:val="000000" w:themeColor="text1"/>
          <w:sz w:val="22"/>
          <w:szCs w:val="22"/>
        </w:rPr>
        <w:t>, Christian Schneeweis</w:t>
      </w:r>
      <w:r w:rsidRPr="00F329CF">
        <w:rPr>
          <w:rFonts w:ascii="Arial" w:hAnsi="Arial" w:cs="Arial"/>
          <w:color w:val="000000" w:themeColor="text1"/>
          <w:sz w:val="22"/>
          <w:szCs w:val="22"/>
          <w:vertAlign w:val="superscript"/>
        </w:rPr>
        <w:t>4</w:t>
      </w:r>
      <w:r w:rsidRPr="00F329CF">
        <w:rPr>
          <w:rFonts w:ascii="Arial" w:hAnsi="Arial" w:cs="Arial"/>
          <w:color w:val="000000" w:themeColor="text1"/>
          <w:sz w:val="22"/>
          <w:szCs w:val="22"/>
        </w:rPr>
        <w:t>, Riccardo Trozzo</w:t>
      </w:r>
      <w:r w:rsidRPr="00F329CF">
        <w:rPr>
          <w:rFonts w:ascii="Arial" w:hAnsi="Arial" w:cs="Arial"/>
          <w:color w:val="000000" w:themeColor="text1"/>
          <w:sz w:val="22"/>
          <w:szCs w:val="22"/>
          <w:vertAlign w:val="superscript"/>
        </w:rPr>
        <w:t>9</w:t>
      </w:r>
      <w:r w:rsidRPr="00F329CF">
        <w:rPr>
          <w:rFonts w:ascii="Arial" w:hAnsi="Arial" w:cs="Arial"/>
          <w:color w:val="000000" w:themeColor="text1"/>
          <w:sz w:val="22"/>
          <w:szCs w:val="22"/>
        </w:rPr>
        <w:t>, Felix Orben</w:t>
      </w:r>
      <w:r w:rsidRPr="00F329CF">
        <w:rPr>
          <w:rFonts w:ascii="Arial" w:hAnsi="Arial" w:cs="Arial"/>
          <w:color w:val="000000" w:themeColor="text1"/>
          <w:sz w:val="22"/>
          <w:szCs w:val="22"/>
          <w:vertAlign w:val="superscript"/>
        </w:rPr>
        <w:t>1</w:t>
      </w:r>
      <w:r w:rsidRPr="00F329CF">
        <w:rPr>
          <w:rFonts w:ascii="Arial" w:hAnsi="Arial" w:cs="Arial"/>
          <w:color w:val="000000" w:themeColor="text1"/>
          <w:sz w:val="22"/>
          <w:szCs w:val="22"/>
        </w:rPr>
        <w:t>, Sebastian Mueller</w:t>
      </w:r>
      <w:r w:rsidRPr="00F329CF">
        <w:rPr>
          <w:rFonts w:ascii="Arial" w:hAnsi="Arial" w:cs="Arial"/>
          <w:color w:val="000000" w:themeColor="text1"/>
          <w:sz w:val="22"/>
          <w:szCs w:val="22"/>
          <w:vertAlign w:val="superscript"/>
        </w:rPr>
        <w:t>9</w:t>
      </w:r>
      <w:r w:rsidRPr="00F329CF">
        <w:rPr>
          <w:rFonts w:ascii="Arial" w:hAnsi="Arial" w:cs="Arial"/>
          <w:color w:val="000000" w:themeColor="text1"/>
          <w:sz w:val="22"/>
          <w:szCs w:val="22"/>
        </w:rPr>
        <w:t>, Rupert Öllinger</w:t>
      </w:r>
      <w:r w:rsidRPr="00F329CF">
        <w:rPr>
          <w:rFonts w:ascii="Arial" w:hAnsi="Arial" w:cs="Arial"/>
          <w:color w:val="000000" w:themeColor="text1"/>
          <w:sz w:val="22"/>
          <w:szCs w:val="22"/>
          <w:vertAlign w:val="superscript"/>
        </w:rPr>
        <w:t>9</w:t>
      </w:r>
      <w:r w:rsidRPr="00F329CF">
        <w:rPr>
          <w:rFonts w:ascii="Arial" w:hAnsi="Arial" w:cs="Arial"/>
          <w:color w:val="000000" w:themeColor="text1"/>
          <w:sz w:val="22"/>
          <w:szCs w:val="22"/>
        </w:rPr>
        <w:t>, Juan J Montero</w:t>
      </w:r>
      <w:r w:rsidRPr="00F329CF">
        <w:rPr>
          <w:rFonts w:ascii="Arial" w:hAnsi="Arial" w:cs="Arial"/>
          <w:color w:val="000000" w:themeColor="text1"/>
          <w:sz w:val="22"/>
          <w:szCs w:val="22"/>
          <w:vertAlign w:val="superscript"/>
        </w:rPr>
        <w:t>9</w:t>
      </w:r>
      <w:r w:rsidRPr="00F329CF">
        <w:rPr>
          <w:rFonts w:ascii="Arial" w:hAnsi="Arial" w:cs="Arial"/>
          <w:color w:val="000000" w:themeColor="text1"/>
          <w:sz w:val="22"/>
          <w:szCs w:val="22"/>
        </w:rPr>
        <w:t>, Michael Dudek</w:t>
      </w:r>
      <w:r w:rsidRPr="00F329CF">
        <w:rPr>
          <w:rFonts w:ascii="Arial" w:hAnsi="Arial" w:cs="Arial"/>
          <w:color w:val="000000" w:themeColor="text1"/>
          <w:sz w:val="22"/>
          <w:szCs w:val="22"/>
          <w:vertAlign w:val="superscript"/>
        </w:rPr>
        <w:t>10</w:t>
      </w:r>
      <w:r w:rsidRPr="00F329CF">
        <w:rPr>
          <w:rFonts w:ascii="Arial" w:hAnsi="Arial" w:cs="Arial"/>
          <w:color w:val="000000" w:themeColor="text1"/>
          <w:sz w:val="22"/>
          <w:szCs w:val="22"/>
        </w:rPr>
        <w:t>, Percy Knolle</w:t>
      </w:r>
      <w:r w:rsidRPr="00F329CF">
        <w:rPr>
          <w:rFonts w:ascii="Arial" w:hAnsi="Arial" w:cs="Arial"/>
          <w:color w:val="000000" w:themeColor="text1"/>
          <w:sz w:val="22"/>
          <w:szCs w:val="22"/>
          <w:vertAlign w:val="superscript"/>
        </w:rPr>
        <w:t>10</w:t>
      </w:r>
      <w:r w:rsidRPr="00F329CF">
        <w:rPr>
          <w:rFonts w:ascii="Arial" w:hAnsi="Arial" w:cs="Arial"/>
          <w:color w:val="000000" w:themeColor="text1"/>
          <w:sz w:val="22"/>
          <w:szCs w:val="22"/>
        </w:rPr>
        <w:t>, Bo Kong</w:t>
      </w:r>
      <w:r w:rsidRPr="00F329CF">
        <w:rPr>
          <w:rFonts w:ascii="Arial" w:hAnsi="Arial" w:cs="Arial"/>
          <w:color w:val="000000" w:themeColor="text1"/>
          <w:sz w:val="22"/>
          <w:szCs w:val="22"/>
          <w:vertAlign w:val="superscript"/>
        </w:rPr>
        <w:t>11</w:t>
      </w:r>
      <w:r w:rsidRPr="00F329CF">
        <w:rPr>
          <w:rFonts w:ascii="Arial" w:hAnsi="Arial" w:cs="Arial"/>
          <w:color w:val="000000" w:themeColor="text1"/>
          <w:sz w:val="22"/>
          <w:szCs w:val="22"/>
        </w:rPr>
        <w:t>, Volker Ellenrieder</w:t>
      </w:r>
      <w:r w:rsidRPr="00F329CF">
        <w:rPr>
          <w:rFonts w:ascii="Arial" w:hAnsi="Arial" w:cs="Arial"/>
          <w:color w:val="000000" w:themeColor="text1"/>
          <w:sz w:val="22"/>
          <w:szCs w:val="22"/>
          <w:vertAlign w:val="superscript"/>
        </w:rPr>
        <w:t>12,13,14</w:t>
      </w:r>
      <w:r w:rsidRPr="00F329CF">
        <w:rPr>
          <w:rFonts w:ascii="Arial" w:hAnsi="Arial" w:cs="Arial"/>
          <w:color w:val="000000" w:themeColor="text1"/>
          <w:sz w:val="22"/>
          <w:szCs w:val="22"/>
        </w:rPr>
        <w:t>, Constanza Tapia Contreras</w:t>
      </w:r>
      <w:r w:rsidRPr="00F329CF">
        <w:rPr>
          <w:rFonts w:ascii="Arial" w:hAnsi="Arial" w:cs="Arial"/>
          <w:color w:val="000000" w:themeColor="text1"/>
          <w:sz w:val="22"/>
          <w:szCs w:val="22"/>
          <w:vertAlign w:val="superscript"/>
        </w:rPr>
        <w:t>2</w:t>
      </w:r>
      <w:r w:rsidRPr="00F329CF">
        <w:rPr>
          <w:rFonts w:ascii="Arial" w:hAnsi="Arial" w:cs="Arial"/>
          <w:color w:val="000000" w:themeColor="text1"/>
          <w:sz w:val="22"/>
          <w:szCs w:val="22"/>
        </w:rPr>
        <w:t>, Elisabeth Hessmann</w:t>
      </w:r>
      <w:r w:rsidRPr="00F329CF">
        <w:rPr>
          <w:rFonts w:ascii="Arial" w:hAnsi="Arial" w:cs="Arial"/>
          <w:color w:val="000000" w:themeColor="text1"/>
          <w:sz w:val="22"/>
          <w:szCs w:val="22"/>
          <w:vertAlign w:val="superscript"/>
        </w:rPr>
        <w:t>12,13,14</w:t>
      </w:r>
      <w:r w:rsidRPr="00F329CF">
        <w:rPr>
          <w:rFonts w:ascii="Arial" w:hAnsi="Arial" w:cs="Arial"/>
          <w:color w:val="000000" w:themeColor="text1"/>
          <w:sz w:val="22"/>
          <w:szCs w:val="22"/>
        </w:rPr>
        <w:t>, Marian Grade</w:t>
      </w:r>
      <w:r w:rsidRPr="00F329CF">
        <w:rPr>
          <w:rFonts w:ascii="Arial" w:hAnsi="Arial" w:cs="Arial"/>
          <w:color w:val="000000" w:themeColor="text1"/>
          <w:sz w:val="22"/>
          <w:szCs w:val="22"/>
          <w:vertAlign w:val="superscript"/>
        </w:rPr>
        <w:t>2,14</w:t>
      </w:r>
      <w:r w:rsidRPr="00F329CF">
        <w:rPr>
          <w:rFonts w:ascii="Arial" w:hAnsi="Arial" w:cs="Arial"/>
          <w:color w:val="000000" w:themeColor="text1"/>
          <w:sz w:val="22"/>
          <w:szCs w:val="22"/>
        </w:rPr>
        <w:t>, Michael Ghadimi</w:t>
      </w:r>
      <w:r w:rsidRPr="00F329CF">
        <w:rPr>
          <w:rFonts w:ascii="Arial" w:hAnsi="Arial" w:cs="Arial"/>
          <w:color w:val="000000" w:themeColor="text1"/>
          <w:sz w:val="22"/>
          <w:szCs w:val="22"/>
          <w:vertAlign w:val="superscript"/>
        </w:rPr>
        <w:t>2,14</w:t>
      </w:r>
      <w:r w:rsidRPr="00F329CF">
        <w:rPr>
          <w:rFonts w:ascii="Arial" w:hAnsi="Arial" w:cs="Arial"/>
          <w:color w:val="000000" w:themeColor="text1"/>
          <w:sz w:val="22"/>
          <w:szCs w:val="22"/>
        </w:rPr>
        <w:t>, Christian J. Braun</w:t>
      </w:r>
      <w:r w:rsidRPr="00F329CF">
        <w:rPr>
          <w:rFonts w:ascii="Arial" w:hAnsi="Arial" w:cs="Arial"/>
          <w:color w:val="000000" w:themeColor="text1"/>
          <w:sz w:val="22"/>
          <w:szCs w:val="22"/>
          <w:vertAlign w:val="superscript"/>
        </w:rPr>
        <w:t>15</w:t>
      </w:r>
      <w:r w:rsidRPr="00F329CF">
        <w:rPr>
          <w:rFonts w:ascii="Arial" w:hAnsi="Arial" w:cs="Arial"/>
          <w:color w:val="000000" w:themeColor="text1"/>
          <w:sz w:val="22"/>
          <w:szCs w:val="22"/>
        </w:rPr>
        <w:t>,</w:t>
      </w:r>
      <w:r w:rsidRPr="00F329CF">
        <w:rPr>
          <w:rFonts w:ascii="Arial" w:hAnsi="Arial" w:cs="Arial"/>
          <w:color w:val="000000" w:themeColor="text1"/>
          <w:sz w:val="22"/>
          <w:szCs w:val="22"/>
          <w:vertAlign w:val="superscript"/>
        </w:rPr>
        <w:t xml:space="preserve"> </w:t>
      </w:r>
      <w:r w:rsidRPr="00F329CF">
        <w:rPr>
          <w:rFonts w:ascii="Arial" w:hAnsi="Arial" w:cs="Arial"/>
          <w:color w:val="000000" w:themeColor="text1"/>
          <w:sz w:val="22"/>
          <w:szCs w:val="22"/>
        </w:rPr>
        <w:t>Roland Rad</w:t>
      </w:r>
      <w:r w:rsidRPr="00F329CF">
        <w:rPr>
          <w:rFonts w:ascii="Arial" w:hAnsi="Arial" w:cs="Arial"/>
          <w:color w:val="000000" w:themeColor="text1"/>
          <w:sz w:val="22"/>
          <w:szCs w:val="22"/>
          <w:vertAlign w:val="superscript"/>
        </w:rPr>
        <w:t>9,16,17</w:t>
      </w:r>
      <w:r w:rsidRPr="00F329CF">
        <w:rPr>
          <w:rFonts w:ascii="Arial" w:hAnsi="Arial" w:cs="Arial"/>
          <w:color w:val="000000" w:themeColor="text1"/>
          <w:sz w:val="22"/>
          <w:szCs w:val="22"/>
        </w:rPr>
        <w:t>, Maximillian Reichert</w:t>
      </w:r>
      <w:r w:rsidRPr="00F329CF">
        <w:rPr>
          <w:rFonts w:ascii="Arial" w:hAnsi="Arial" w:cs="Arial"/>
          <w:color w:val="000000" w:themeColor="text1"/>
          <w:sz w:val="22"/>
          <w:szCs w:val="22"/>
          <w:vertAlign w:val="superscript"/>
        </w:rPr>
        <w:t>1,16,17,18,19</w:t>
      </w:r>
      <w:r w:rsidRPr="00F329CF">
        <w:rPr>
          <w:rFonts w:ascii="Arial" w:hAnsi="Arial" w:cs="Arial"/>
          <w:color w:val="000000" w:themeColor="text1"/>
          <w:sz w:val="22"/>
          <w:szCs w:val="22"/>
        </w:rPr>
        <w:t>, Ulrich Keller</w:t>
      </w:r>
      <w:r w:rsidRPr="00F329CF">
        <w:rPr>
          <w:rFonts w:ascii="Arial" w:hAnsi="Arial" w:cs="Arial"/>
          <w:color w:val="000000" w:themeColor="text1"/>
          <w:sz w:val="22"/>
          <w:szCs w:val="22"/>
          <w:vertAlign w:val="superscript"/>
        </w:rPr>
        <w:t>3,16,20</w:t>
      </w:r>
      <w:r w:rsidRPr="00F329CF">
        <w:rPr>
          <w:rFonts w:ascii="Arial" w:hAnsi="Arial" w:cs="Arial"/>
          <w:color w:val="000000" w:themeColor="text1"/>
          <w:sz w:val="22"/>
          <w:szCs w:val="22"/>
        </w:rPr>
        <w:t>,</w:t>
      </w:r>
      <w:r w:rsidRPr="00F329CF">
        <w:rPr>
          <w:rFonts w:ascii="Arial" w:hAnsi="Arial" w:cs="Arial"/>
          <w:color w:val="000000" w:themeColor="text1"/>
          <w:sz w:val="22"/>
          <w:szCs w:val="22"/>
          <w:vertAlign w:val="superscript"/>
        </w:rPr>
        <w:t xml:space="preserve"> </w:t>
      </w:r>
      <w:r w:rsidRPr="00F329CF">
        <w:rPr>
          <w:rFonts w:ascii="Arial" w:hAnsi="Arial" w:cs="Arial"/>
          <w:color w:val="000000" w:themeColor="text1"/>
          <w:sz w:val="22"/>
          <w:szCs w:val="22"/>
        </w:rPr>
        <w:t>Roland M. Schmid</w:t>
      </w:r>
      <w:r w:rsidRPr="00F329CF">
        <w:rPr>
          <w:rFonts w:ascii="Arial" w:hAnsi="Arial" w:cs="Arial"/>
          <w:color w:val="000000" w:themeColor="text1"/>
          <w:sz w:val="22"/>
          <w:szCs w:val="22"/>
          <w:vertAlign w:val="superscript"/>
        </w:rPr>
        <w:t>1</w:t>
      </w:r>
      <w:r w:rsidRPr="00F329CF">
        <w:rPr>
          <w:rFonts w:ascii="Arial" w:hAnsi="Arial" w:cs="Arial"/>
          <w:color w:val="000000" w:themeColor="text1"/>
          <w:sz w:val="22"/>
          <w:szCs w:val="22"/>
        </w:rPr>
        <w:t>,</w:t>
      </w:r>
      <w:r w:rsidRPr="00F329CF">
        <w:rPr>
          <w:rFonts w:ascii="Arial" w:hAnsi="Arial" w:cs="Arial"/>
          <w:color w:val="000000" w:themeColor="text1"/>
          <w:sz w:val="22"/>
          <w:szCs w:val="22"/>
          <w:vertAlign w:val="superscript"/>
        </w:rPr>
        <w:t xml:space="preserve"> </w:t>
      </w:r>
      <w:r w:rsidRPr="00F329CF">
        <w:rPr>
          <w:rFonts w:ascii="Arial" w:hAnsi="Arial" w:cs="Arial"/>
          <w:color w:val="000000" w:themeColor="text1"/>
          <w:sz w:val="22"/>
          <w:szCs w:val="22"/>
        </w:rPr>
        <w:t>Paul L. Boutz</w:t>
      </w:r>
      <w:r w:rsidRPr="00F329CF">
        <w:rPr>
          <w:rFonts w:ascii="Arial" w:hAnsi="Arial" w:cs="Arial"/>
          <w:color w:val="000000" w:themeColor="text1"/>
          <w:sz w:val="22"/>
          <w:szCs w:val="22"/>
          <w:vertAlign w:val="superscript"/>
        </w:rPr>
        <w:t>5,6,7</w:t>
      </w:r>
      <w:r w:rsidRPr="00F329CF">
        <w:rPr>
          <w:rFonts w:ascii="Arial" w:hAnsi="Arial" w:cs="Arial"/>
          <w:color w:val="000000" w:themeColor="text1"/>
          <w:sz w:val="22"/>
          <w:szCs w:val="22"/>
        </w:rPr>
        <w:t>, Dieter Saur</w:t>
      </w:r>
      <w:r w:rsidRPr="00F329CF">
        <w:rPr>
          <w:rFonts w:ascii="Arial" w:hAnsi="Arial" w:cs="Arial"/>
          <w:color w:val="000000" w:themeColor="text1"/>
          <w:sz w:val="22"/>
          <w:szCs w:val="22"/>
          <w:vertAlign w:val="superscript"/>
        </w:rPr>
        <w:t>4,16,17</w:t>
      </w:r>
      <w:r w:rsidRPr="00F329CF">
        <w:rPr>
          <w:rFonts w:ascii="Arial" w:hAnsi="Arial" w:cs="Arial"/>
          <w:color w:val="000000" w:themeColor="text1"/>
          <w:sz w:val="22"/>
          <w:szCs w:val="22"/>
        </w:rPr>
        <w:t>, Matthias Wirth</w:t>
      </w:r>
      <w:r w:rsidRPr="00F329CF">
        <w:rPr>
          <w:rFonts w:ascii="Arial" w:hAnsi="Arial" w:cs="Arial"/>
          <w:color w:val="000000" w:themeColor="text1"/>
          <w:sz w:val="22"/>
          <w:szCs w:val="22"/>
          <w:vertAlign w:val="superscript"/>
        </w:rPr>
        <w:t>2,3,16,20</w:t>
      </w:r>
      <w:r w:rsidRPr="00F329CF">
        <w:rPr>
          <w:rFonts w:ascii="Arial" w:hAnsi="Arial" w:cs="Arial"/>
          <w:color w:val="000000" w:themeColor="text1"/>
          <w:sz w:val="22"/>
          <w:szCs w:val="22"/>
        </w:rPr>
        <w:t>, Oliver H. Krämer</w:t>
      </w:r>
      <w:r w:rsidRPr="00F329CF">
        <w:rPr>
          <w:rFonts w:ascii="Arial" w:hAnsi="Arial" w:cs="Arial"/>
          <w:color w:val="000000" w:themeColor="text1"/>
          <w:sz w:val="22"/>
          <w:szCs w:val="22"/>
          <w:vertAlign w:val="superscript"/>
        </w:rPr>
        <w:t>8</w:t>
      </w:r>
      <w:r w:rsidR="00915D5B" w:rsidRPr="00F329CF">
        <w:rPr>
          <w:rFonts w:ascii="Arial" w:hAnsi="Arial" w:cs="Arial"/>
          <w:color w:val="000000" w:themeColor="text1"/>
          <w:sz w:val="22"/>
          <w:szCs w:val="22"/>
          <w:vertAlign w:val="superscript"/>
        </w:rPr>
        <w:t>$</w:t>
      </w:r>
      <w:r w:rsidRPr="00F329CF">
        <w:rPr>
          <w:rFonts w:ascii="Arial" w:hAnsi="Arial" w:cs="Arial"/>
          <w:color w:val="000000" w:themeColor="text1"/>
          <w:sz w:val="22"/>
          <w:szCs w:val="22"/>
        </w:rPr>
        <w:t>, Günter Schneider</w:t>
      </w:r>
      <w:r w:rsidRPr="00F329CF">
        <w:rPr>
          <w:rFonts w:ascii="Arial" w:hAnsi="Arial" w:cs="Arial"/>
          <w:color w:val="000000" w:themeColor="text1"/>
          <w:sz w:val="22"/>
          <w:szCs w:val="22"/>
          <w:vertAlign w:val="superscript"/>
        </w:rPr>
        <w:t>2,4,13,14,21*</w:t>
      </w:r>
      <w:r w:rsidR="00915D5B" w:rsidRPr="00F329CF">
        <w:rPr>
          <w:rFonts w:ascii="Arial" w:hAnsi="Arial" w:cs="Arial"/>
          <w:color w:val="000000" w:themeColor="text1"/>
          <w:sz w:val="22"/>
          <w:szCs w:val="22"/>
          <w:vertAlign w:val="superscript"/>
        </w:rPr>
        <w:t>$</w:t>
      </w:r>
    </w:p>
    <w:p w14:paraId="093D0B98" w14:textId="77777777" w:rsidR="00574B5C" w:rsidRPr="00F329CF" w:rsidRDefault="00574B5C" w:rsidP="00574B5C">
      <w:pPr>
        <w:spacing w:after="60"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1</w:t>
      </w:r>
      <w:r w:rsidRPr="00F329CF">
        <w:rPr>
          <w:rFonts w:ascii="Arial" w:hAnsi="Arial" w:cs="Arial"/>
          <w:color w:val="000000" w:themeColor="text1"/>
          <w:sz w:val="22"/>
          <w:szCs w:val="22"/>
        </w:rPr>
        <w:t xml:space="preserve">Medical Clinic and Polyclinic II, </w:t>
      </w:r>
      <w:r w:rsidRPr="00F329CF">
        <w:rPr>
          <w:rStyle w:val="affiliationdepartment"/>
          <w:rFonts w:ascii="Arial" w:hAnsi="Arial" w:cs="Arial"/>
          <w:color w:val="000000" w:themeColor="text1"/>
          <w:sz w:val="22"/>
          <w:szCs w:val="22"/>
        </w:rPr>
        <w:t>Klinikum rechts der Isar,</w:t>
      </w:r>
      <w:r w:rsidRPr="00F329CF">
        <w:rPr>
          <w:rFonts w:ascii="Arial" w:hAnsi="Arial" w:cs="Arial"/>
          <w:color w:val="000000" w:themeColor="text1"/>
          <w:sz w:val="22"/>
          <w:szCs w:val="22"/>
        </w:rPr>
        <w:t xml:space="preserve"> Technical University Munich, Munich, 81675, Germany</w:t>
      </w:r>
    </w:p>
    <w:p w14:paraId="05F2713B" w14:textId="77777777" w:rsidR="00574B5C" w:rsidRPr="00F329CF" w:rsidRDefault="00574B5C" w:rsidP="00574B5C">
      <w:pPr>
        <w:spacing w:line="480" w:lineRule="auto"/>
        <w:jc w:val="both"/>
        <w:rPr>
          <w:rFonts w:ascii="Arial" w:hAnsi="Arial" w:cs="Arial"/>
          <w:iCs/>
          <w:color w:val="000000" w:themeColor="text1"/>
          <w:sz w:val="22"/>
          <w:szCs w:val="22"/>
        </w:rPr>
      </w:pPr>
      <w:r w:rsidRPr="00F329CF">
        <w:rPr>
          <w:rFonts w:ascii="Arial" w:hAnsi="Arial" w:cs="Arial"/>
          <w:color w:val="000000" w:themeColor="text1"/>
          <w:sz w:val="22"/>
          <w:szCs w:val="22"/>
          <w:vertAlign w:val="superscript"/>
        </w:rPr>
        <w:t>2</w:t>
      </w:r>
      <w:r w:rsidRPr="00F329CF">
        <w:rPr>
          <w:rFonts w:ascii="Arial" w:hAnsi="Arial" w:cs="Arial"/>
          <w:iCs/>
          <w:color w:val="000000" w:themeColor="text1"/>
          <w:sz w:val="22"/>
          <w:szCs w:val="22"/>
        </w:rPr>
        <w:t>Department of General, Visceral and Pediatric Surgery, University Medical Center Göttingen, Göttingen, 37075, Germany</w:t>
      </w:r>
    </w:p>
    <w:p w14:paraId="40EEA1F3"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3</w:t>
      </w:r>
      <w:r w:rsidRPr="00F329CF">
        <w:rPr>
          <w:rFonts w:ascii="Arial" w:hAnsi="Arial" w:cs="Arial"/>
          <w:color w:val="000000" w:themeColor="text1"/>
          <w:sz w:val="22"/>
          <w:szCs w:val="22"/>
        </w:rPr>
        <w:t>Department of Hematology, Oncology and Cancer Immunology, Campus Benjamin Franklin, Charité-</w:t>
      </w:r>
      <w:proofErr w:type="spellStart"/>
      <w:r w:rsidRPr="00F329CF">
        <w:rPr>
          <w:rFonts w:ascii="Arial" w:hAnsi="Arial" w:cs="Arial"/>
          <w:color w:val="000000" w:themeColor="text1"/>
          <w:sz w:val="22"/>
          <w:szCs w:val="22"/>
        </w:rPr>
        <w:t>Universitätsmedizin</w:t>
      </w:r>
      <w:proofErr w:type="spellEnd"/>
      <w:r w:rsidRPr="00F329CF">
        <w:rPr>
          <w:rFonts w:ascii="Arial" w:hAnsi="Arial" w:cs="Arial"/>
          <w:color w:val="000000" w:themeColor="text1"/>
          <w:sz w:val="22"/>
          <w:szCs w:val="22"/>
        </w:rPr>
        <w:t xml:space="preserve"> Berlin, Corporate Member of Freie Universität Berlin and Humboldt-Universität </w:t>
      </w:r>
      <w:proofErr w:type="spellStart"/>
      <w:r w:rsidRPr="00F329CF">
        <w:rPr>
          <w:rFonts w:ascii="Arial" w:hAnsi="Arial" w:cs="Arial"/>
          <w:color w:val="000000" w:themeColor="text1"/>
          <w:sz w:val="22"/>
          <w:szCs w:val="22"/>
        </w:rPr>
        <w:t>zu</w:t>
      </w:r>
      <w:proofErr w:type="spellEnd"/>
      <w:r w:rsidRPr="00F329CF">
        <w:rPr>
          <w:rFonts w:ascii="Arial" w:hAnsi="Arial" w:cs="Arial"/>
          <w:color w:val="000000" w:themeColor="text1"/>
          <w:sz w:val="22"/>
          <w:szCs w:val="22"/>
        </w:rPr>
        <w:t xml:space="preserve"> Berlin, Berlin, Germany</w:t>
      </w:r>
    </w:p>
    <w:p w14:paraId="1DC7C5FD"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4</w:t>
      </w:r>
      <w:r w:rsidRPr="00F329CF">
        <w:rPr>
          <w:rFonts w:ascii="Arial" w:hAnsi="Arial" w:cs="Arial"/>
          <w:color w:val="000000" w:themeColor="text1"/>
          <w:sz w:val="22"/>
          <w:szCs w:val="22"/>
        </w:rPr>
        <w:t>Institute for Translational Cancer Research and Experimental Cancer Therapy, Technical University Munich, 81675 Munich, Germany</w:t>
      </w:r>
    </w:p>
    <w:p w14:paraId="1403452B" w14:textId="77777777" w:rsidR="00574B5C" w:rsidRPr="00F329CF" w:rsidRDefault="00574B5C" w:rsidP="00574B5C">
      <w:pPr>
        <w:spacing w:line="480" w:lineRule="auto"/>
        <w:jc w:val="both"/>
        <w:rPr>
          <w:rFonts w:ascii="Arial" w:hAnsi="Arial" w:cs="Arial"/>
          <w:color w:val="000000" w:themeColor="text1"/>
          <w:sz w:val="22"/>
          <w:szCs w:val="22"/>
          <w:shd w:val="clear" w:color="auto" w:fill="FFFFFF"/>
        </w:rPr>
      </w:pPr>
      <w:r w:rsidRPr="00F329CF">
        <w:rPr>
          <w:rFonts w:ascii="Arial" w:hAnsi="Arial" w:cs="Arial"/>
          <w:color w:val="000000" w:themeColor="text1"/>
          <w:sz w:val="22"/>
          <w:szCs w:val="22"/>
          <w:shd w:val="clear" w:color="auto" w:fill="FFFFFF"/>
          <w:vertAlign w:val="superscript"/>
        </w:rPr>
        <w:t>5</w:t>
      </w:r>
      <w:r w:rsidRPr="00F329CF">
        <w:rPr>
          <w:rFonts w:ascii="Arial" w:hAnsi="Arial" w:cs="Arial"/>
          <w:color w:val="000000" w:themeColor="text1"/>
          <w:sz w:val="22"/>
          <w:szCs w:val="22"/>
          <w:shd w:val="clear" w:color="auto" w:fill="FFFFFF"/>
        </w:rPr>
        <w:t>Department of Biochemistry and Biophysics, University of Rochester School of Medicine and Dentistry, Rochester, NY 14642, USA</w:t>
      </w:r>
    </w:p>
    <w:p w14:paraId="5C813652" w14:textId="77777777" w:rsidR="00574B5C" w:rsidRPr="00F329CF" w:rsidRDefault="00574B5C" w:rsidP="00574B5C">
      <w:pPr>
        <w:spacing w:line="480" w:lineRule="auto"/>
        <w:jc w:val="both"/>
        <w:rPr>
          <w:rFonts w:ascii="Arial" w:hAnsi="Arial" w:cs="Arial"/>
          <w:color w:val="000000" w:themeColor="text1"/>
          <w:sz w:val="22"/>
          <w:szCs w:val="22"/>
          <w:shd w:val="clear" w:color="auto" w:fill="FFFFFF"/>
        </w:rPr>
      </w:pPr>
      <w:r w:rsidRPr="00F329CF">
        <w:rPr>
          <w:rFonts w:ascii="Arial" w:hAnsi="Arial" w:cs="Arial"/>
          <w:color w:val="000000" w:themeColor="text1"/>
          <w:sz w:val="22"/>
          <w:szCs w:val="22"/>
          <w:shd w:val="clear" w:color="auto" w:fill="FFFFFF"/>
          <w:vertAlign w:val="superscript"/>
        </w:rPr>
        <w:t>6</w:t>
      </w:r>
      <w:r w:rsidRPr="00F329CF">
        <w:rPr>
          <w:rFonts w:ascii="Arial" w:hAnsi="Arial" w:cs="Arial"/>
          <w:color w:val="000000" w:themeColor="text1"/>
          <w:sz w:val="22"/>
          <w:szCs w:val="22"/>
          <w:shd w:val="clear" w:color="auto" w:fill="FFFFFF"/>
        </w:rPr>
        <w:t>Center for RNA Biology, Rochester, NY 14642, USA</w:t>
      </w:r>
    </w:p>
    <w:p w14:paraId="640DCE5D" w14:textId="77777777" w:rsidR="00574B5C" w:rsidRPr="00F329CF" w:rsidRDefault="00574B5C" w:rsidP="00574B5C">
      <w:pPr>
        <w:spacing w:line="480" w:lineRule="auto"/>
        <w:jc w:val="both"/>
        <w:rPr>
          <w:rFonts w:ascii="Arial" w:hAnsi="Arial" w:cs="Arial"/>
          <w:color w:val="000000" w:themeColor="text1"/>
          <w:sz w:val="22"/>
          <w:szCs w:val="22"/>
          <w:shd w:val="clear" w:color="auto" w:fill="FFFFFF"/>
        </w:rPr>
      </w:pPr>
      <w:r w:rsidRPr="00F329CF">
        <w:rPr>
          <w:rFonts w:ascii="Arial" w:hAnsi="Arial" w:cs="Arial"/>
          <w:color w:val="000000" w:themeColor="text1"/>
          <w:sz w:val="22"/>
          <w:szCs w:val="22"/>
          <w:shd w:val="clear" w:color="auto" w:fill="FFFFFF"/>
          <w:vertAlign w:val="superscript"/>
        </w:rPr>
        <w:t>7</w:t>
      </w:r>
      <w:r w:rsidRPr="00F329CF">
        <w:rPr>
          <w:rFonts w:ascii="Arial" w:hAnsi="Arial" w:cs="Arial"/>
          <w:color w:val="000000" w:themeColor="text1"/>
          <w:sz w:val="22"/>
          <w:szCs w:val="22"/>
          <w:shd w:val="clear" w:color="auto" w:fill="FFFFFF"/>
        </w:rPr>
        <w:t>Wilmot Cancer Institute, Rochester, NY 14642, USA</w:t>
      </w:r>
    </w:p>
    <w:p w14:paraId="00B2B92E" w14:textId="77777777" w:rsidR="00574B5C" w:rsidRPr="00F329CF" w:rsidRDefault="00574B5C" w:rsidP="00574B5C">
      <w:pPr>
        <w:spacing w:line="480" w:lineRule="auto"/>
        <w:jc w:val="both"/>
        <w:rPr>
          <w:rFonts w:ascii="Arial" w:hAnsi="Arial" w:cs="Arial"/>
          <w:color w:val="000000" w:themeColor="text1"/>
          <w:sz w:val="22"/>
          <w:szCs w:val="22"/>
          <w:shd w:val="clear" w:color="auto" w:fill="FFFFFF"/>
        </w:rPr>
      </w:pPr>
      <w:r w:rsidRPr="00F329CF">
        <w:rPr>
          <w:rFonts w:ascii="Arial" w:hAnsi="Arial" w:cs="Arial"/>
          <w:color w:val="000000" w:themeColor="text1"/>
          <w:sz w:val="22"/>
          <w:szCs w:val="22"/>
          <w:shd w:val="clear" w:color="auto" w:fill="FFFFFF"/>
          <w:vertAlign w:val="superscript"/>
        </w:rPr>
        <w:t>8</w:t>
      </w:r>
      <w:r w:rsidRPr="00F329CF">
        <w:rPr>
          <w:rFonts w:ascii="Arial" w:hAnsi="Arial" w:cs="Arial"/>
          <w:color w:val="000000" w:themeColor="text1"/>
          <w:sz w:val="22"/>
          <w:szCs w:val="22"/>
        </w:rPr>
        <w:t>Institute of Toxicology, University of Mainz Medical Center, Mainz, 55131, Germany</w:t>
      </w:r>
    </w:p>
    <w:p w14:paraId="6376C2B2"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9</w:t>
      </w:r>
      <w:r w:rsidRPr="00F329CF">
        <w:rPr>
          <w:rFonts w:ascii="Arial" w:hAnsi="Arial" w:cs="Arial"/>
          <w:color w:val="000000" w:themeColor="text1"/>
          <w:sz w:val="22"/>
          <w:szCs w:val="22"/>
        </w:rPr>
        <w:t xml:space="preserve">Institute of Molecular Oncology and Functional Genomics, TUM School of Medicine, </w:t>
      </w:r>
      <w:proofErr w:type="spellStart"/>
      <w:r w:rsidRPr="00F329CF">
        <w:rPr>
          <w:rFonts w:ascii="Arial" w:hAnsi="Arial" w:cs="Arial"/>
          <w:color w:val="000000" w:themeColor="text1"/>
          <w:sz w:val="22"/>
          <w:szCs w:val="22"/>
        </w:rPr>
        <w:t>Technische</w:t>
      </w:r>
      <w:proofErr w:type="spellEnd"/>
      <w:r w:rsidRPr="00F329CF">
        <w:rPr>
          <w:rFonts w:ascii="Arial" w:hAnsi="Arial" w:cs="Arial"/>
          <w:color w:val="000000" w:themeColor="text1"/>
          <w:sz w:val="22"/>
          <w:szCs w:val="22"/>
        </w:rPr>
        <w:t xml:space="preserve"> Universität München, 81675 Munich, Germany</w:t>
      </w:r>
    </w:p>
    <w:p w14:paraId="5E180E37" w14:textId="77777777" w:rsidR="00574B5C" w:rsidRPr="00F329CF" w:rsidRDefault="00574B5C" w:rsidP="00574B5C">
      <w:pPr>
        <w:spacing w:line="480" w:lineRule="auto"/>
        <w:jc w:val="both"/>
        <w:rPr>
          <w:rFonts w:ascii="Arial" w:hAnsi="Arial" w:cs="Arial"/>
          <w:color w:val="000000" w:themeColor="text1"/>
          <w:sz w:val="22"/>
          <w:szCs w:val="22"/>
          <w:shd w:val="clear" w:color="auto" w:fill="FFFFFF"/>
        </w:rPr>
      </w:pPr>
      <w:r w:rsidRPr="00F329CF">
        <w:rPr>
          <w:rFonts w:ascii="Arial" w:hAnsi="Arial" w:cs="Arial"/>
          <w:color w:val="000000" w:themeColor="text1"/>
          <w:sz w:val="22"/>
          <w:szCs w:val="22"/>
          <w:shd w:val="clear" w:color="auto" w:fill="FFFFFF"/>
          <w:vertAlign w:val="superscript"/>
        </w:rPr>
        <w:lastRenderedPageBreak/>
        <w:t>10</w:t>
      </w:r>
      <w:r w:rsidRPr="00F329CF">
        <w:rPr>
          <w:rFonts w:ascii="Arial" w:hAnsi="Arial" w:cs="Arial"/>
          <w:color w:val="000000" w:themeColor="text1"/>
          <w:sz w:val="22"/>
          <w:szCs w:val="22"/>
          <w:shd w:val="clear" w:color="auto" w:fill="FFFFFF"/>
        </w:rPr>
        <w:t xml:space="preserve">Institute of Molecular Immunology and Experimental Oncology, University Hospital München rechts der Isar, Technical University of Munich, </w:t>
      </w:r>
      <w:proofErr w:type="spellStart"/>
      <w:r w:rsidRPr="00F329CF">
        <w:rPr>
          <w:rFonts w:ascii="Arial" w:hAnsi="Arial" w:cs="Arial"/>
          <w:color w:val="000000" w:themeColor="text1"/>
          <w:sz w:val="22"/>
          <w:szCs w:val="22"/>
          <w:shd w:val="clear" w:color="auto" w:fill="FFFFFF"/>
        </w:rPr>
        <w:t>Ismaningerstr</w:t>
      </w:r>
      <w:proofErr w:type="spellEnd"/>
      <w:r w:rsidRPr="00F329CF">
        <w:rPr>
          <w:rFonts w:ascii="Arial" w:hAnsi="Arial" w:cs="Arial"/>
          <w:color w:val="000000" w:themeColor="text1"/>
          <w:sz w:val="22"/>
          <w:szCs w:val="22"/>
          <w:shd w:val="clear" w:color="auto" w:fill="FFFFFF"/>
        </w:rPr>
        <w:t>. 22, 81675 München Germany</w:t>
      </w:r>
    </w:p>
    <w:p w14:paraId="5BE63A55" w14:textId="77777777" w:rsidR="00574B5C" w:rsidRPr="00F329CF" w:rsidRDefault="00574B5C" w:rsidP="00574B5C">
      <w:pPr>
        <w:spacing w:line="480" w:lineRule="auto"/>
        <w:jc w:val="both"/>
        <w:rPr>
          <w:rFonts w:ascii="Arial" w:hAnsi="Arial" w:cs="Arial"/>
          <w:color w:val="000000" w:themeColor="text1"/>
          <w:sz w:val="22"/>
          <w:szCs w:val="22"/>
          <w:shd w:val="clear" w:color="auto" w:fill="FFFFFF"/>
        </w:rPr>
      </w:pPr>
      <w:r w:rsidRPr="00F329CF">
        <w:rPr>
          <w:rFonts w:ascii="Arial" w:hAnsi="Arial" w:cs="Arial"/>
          <w:color w:val="000000" w:themeColor="text1"/>
          <w:sz w:val="22"/>
          <w:szCs w:val="22"/>
          <w:shd w:val="clear" w:color="auto" w:fill="FFFFFF"/>
          <w:vertAlign w:val="superscript"/>
        </w:rPr>
        <w:t>11</w:t>
      </w:r>
      <w:r w:rsidRPr="00F329CF">
        <w:rPr>
          <w:rFonts w:ascii="Arial" w:hAnsi="Arial" w:cs="Arial"/>
          <w:color w:val="000000" w:themeColor="text1"/>
          <w:sz w:val="22"/>
          <w:szCs w:val="22"/>
          <w:shd w:val="clear" w:color="auto" w:fill="FFFFFF"/>
        </w:rPr>
        <w:t>Department of General, Visceral and Transplantation Surgery, Heidelberg University Hospital, 6912 Heidelberg, Germany.</w:t>
      </w:r>
    </w:p>
    <w:p w14:paraId="2A58AD5D" w14:textId="77777777" w:rsidR="00574B5C" w:rsidRPr="00F329CF" w:rsidRDefault="00574B5C" w:rsidP="00574B5C">
      <w:pPr>
        <w:spacing w:line="480" w:lineRule="auto"/>
        <w:jc w:val="both"/>
        <w:rPr>
          <w:rFonts w:ascii="Arial" w:hAnsi="Arial" w:cs="Arial"/>
          <w:iCs/>
          <w:color w:val="000000" w:themeColor="text1"/>
          <w:sz w:val="22"/>
          <w:szCs w:val="22"/>
        </w:rPr>
      </w:pPr>
      <w:r w:rsidRPr="00F329CF">
        <w:rPr>
          <w:rFonts w:ascii="Arial" w:hAnsi="Arial" w:cs="Arial"/>
          <w:iCs/>
          <w:color w:val="000000" w:themeColor="text1"/>
          <w:sz w:val="22"/>
          <w:szCs w:val="22"/>
          <w:vertAlign w:val="superscript"/>
        </w:rPr>
        <w:t>12</w:t>
      </w:r>
      <w:r w:rsidRPr="00F329CF">
        <w:rPr>
          <w:rFonts w:ascii="Arial" w:hAnsi="Arial" w:cs="Arial"/>
          <w:iCs/>
          <w:color w:val="000000" w:themeColor="text1"/>
          <w:sz w:val="22"/>
          <w:szCs w:val="22"/>
        </w:rPr>
        <w:t>University Medical Center Göttingen</w:t>
      </w:r>
      <w:r w:rsidRPr="00F329CF">
        <w:rPr>
          <w:rFonts w:ascii="Arial" w:hAnsi="Arial" w:cs="Arial"/>
          <w:color w:val="000000" w:themeColor="text1"/>
          <w:sz w:val="22"/>
          <w:szCs w:val="22"/>
          <w:shd w:val="clear" w:color="auto" w:fill="FFFFFF"/>
        </w:rPr>
        <w:t xml:space="preserve"> Department of Gastroenterology, Gastrointestinal Oncology and Endocrinology, </w:t>
      </w:r>
      <w:r w:rsidRPr="00F329CF">
        <w:rPr>
          <w:rFonts w:ascii="Arial" w:hAnsi="Arial" w:cs="Arial"/>
          <w:iCs/>
          <w:color w:val="000000" w:themeColor="text1"/>
          <w:sz w:val="22"/>
          <w:szCs w:val="22"/>
        </w:rPr>
        <w:t>37075 Göttingen, Germany</w:t>
      </w:r>
    </w:p>
    <w:p w14:paraId="26FFA480" w14:textId="77777777" w:rsidR="00574B5C" w:rsidRPr="00F329CF" w:rsidRDefault="00574B5C" w:rsidP="00574B5C">
      <w:pPr>
        <w:spacing w:line="480" w:lineRule="auto"/>
        <w:jc w:val="both"/>
        <w:rPr>
          <w:rFonts w:ascii="Arial" w:hAnsi="Arial" w:cs="Arial"/>
          <w:color w:val="000000" w:themeColor="text1"/>
          <w:sz w:val="22"/>
          <w:szCs w:val="22"/>
          <w:shd w:val="clear" w:color="auto" w:fill="FFFFFF"/>
        </w:rPr>
      </w:pPr>
      <w:r w:rsidRPr="00F329CF">
        <w:rPr>
          <w:rFonts w:ascii="Arial" w:hAnsi="Arial" w:cs="Arial"/>
          <w:color w:val="000000" w:themeColor="text1"/>
          <w:sz w:val="22"/>
          <w:szCs w:val="22"/>
          <w:shd w:val="clear" w:color="auto" w:fill="FFFFFF"/>
          <w:vertAlign w:val="superscript"/>
        </w:rPr>
        <w:t>13</w:t>
      </w:r>
      <w:r w:rsidRPr="00F329CF">
        <w:rPr>
          <w:rFonts w:ascii="Arial" w:hAnsi="Arial" w:cs="Arial"/>
          <w:color w:val="000000" w:themeColor="text1"/>
          <w:sz w:val="22"/>
          <w:szCs w:val="22"/>
          <w:shd w:val="clear" w:color="auto" w:fill="FFFFFF"/>
        </w:rPr>
        <w:t>Clinical Research Unit 5002, KFO5002, University Medical Center Göttingen, 37075 Göttingen, Germany</w:t>
      </w:r>
    </w:p>
    <w:p w14:paraId="38568291" w14:textId="77777777" w:rsidR="00574B5C" w:rsidRPr="00F329CF" w:rsidRDefault="00574B5C" w:rsidP="00574B5C">
      <w:pPr>
        <w:pStyle w:val="KeinLeerraum"/>
        <w:spacing w:line="480" w:lineRule="auto"/>
        <w:jc w:val="both"/>
        <w:rPr>
          <w:rFonts w:ascii="Arial" w:hAnsi="Arial" w:cs="Arial"/>
          <w:color w:val="000000" w:themeColor="text1"/>
          <w:lang w:val="en-US"/>
        </w:rPr>
      </w:pPr>
      <w:r w:rsidRPr="00F329CF">
        <w:rPr>
          <w:rFonts w:ascii="Arial" w:hAnsi="Arial" w:cs="Arial"/>
          <w:color w:val="000000" w:themeColor="text1"/>
          <w:vertAlign w:val="superscript"/>
          <w:lang w:val="en-US"/>
        </w:rPr>
        <w:t>14</w:t>
      </w:r>
      <w:r w:rsidRPr="00F329CF">
        <w:rPr>
          <w:rFonts w:ascii="Arial" w:hAnsi="Arial" w:cs="Arial"/>
          <w:color w:val="000000" w:themeColor="text1"/>
          <w:lang w:val="en-US"/>
        </w:rPr>
        <w:t>CCC-N (Comprehensive Cancer Center Lower Saxony), Göttingen, 37075, Germany</w:t>
      </w:r>
    </w:p>
    <w:p w14:paraId="69DBB3C3"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15</w:t>
      </w:r>
      <w:r w:rsidRPr="00F329CF">
        <w:rPr>
          <w:rFonts w:ascii="Arial" w:hAnsi="Arial" w:cs="Arial"/>
          <w:color w:val="000000" w:themeColor="text1"/>
          <w:sz w:val="22"/>
          <w:szCs w:val="22"/>
        </w:rPr>
        <w:t>Department of Pediatrics, Dr. von Hauner Children's Hospital, University Hospital, LMU Munich, Munich, 80337, Germany</w:t>
      </w:r>
    </w:p>
    <w:p w14:paraId="2C8C3DCC"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16</w:t>
      </w:r>
      <w:r w:rsidRPr="00F329CF">
        <w:rPr>
          <w:rFonts w:ascii="Arial" w:hAnsi="Arial" w:cs="Arial"/>
          <w:color w:val="000000" w:themeColor="text1"/>
          <w:sz w:val="22"/>
          <w:szCs w:val="22"/>
        </w:rPr>
        <w:t>German Cancer Research Center (DKFZ) and German Cancer Consortium (DKTK), 69120 Heidelberg, Germany</w:t>
      </w:r>
    </w:p>
    <w:p w14:paraId="1B2B7B8D"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17</w:t>
      </w:r>
      <w:r w:rsidRPr="00F329CF">
        <w:rPr>
          <w:rFonts w:ascii="Arial" w:hAnsi="Arial" w:cs="Arial"/>
          <w:color w:val="000000" w:themeColor="text1"/>
          <w:sz w:val="22"/>
          <w:szCs w:val="22"/>
        </w:rPr>
        <w:t>DEFEAT-PDAC – Decoding and targeting the PDAC ecosystem – a German Pancreatic Cancer Alliance (GPCA) consortium – partner site Munich</w:t>
      </w:r>
    </w:p>
    <w:p w14:paraId="6E2F8BCA"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18</w:t>
      </w:r>
      <w:r w:rsidRPr="00F329CF">
        <w:rPr>
          <w:rFonts w:ascii="Arial" w:hAnsi="Arial" w:cs="Arial"/>
          <w:color w:val="000000" w:themeColor="text1"/>
          <w:sz w:val="22"/>
          <w:szCs w:val="22"/>
        </w:rPr>
        <w:t>Translational Pancreatic Research Cancer Center, Medical Clinic and Polyclinic II, Klinikum Rechts Der Isar, Technical University Munich, 81675 Munich, Germany</w:t>
      </w:r>
    </w:p>
    <w:p w14:paraId="3112ADBC" w14:textId="77777777" w:rsidR="00574B5C" w:rsidRPr="00F329CF" w:rsidRDefault="00574B5C" w:rsidP="00574B5C">
      <w:pPr>
        <w:shd w:val="clear" w:color="auto" w:fill="FFFFFF"/>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19</w:t>
      </w:r>
      <w:r w:rsidRPr="00F329CF">
        <w:rPr>
          <w:rFonts w:ascii="Arial" w:hAnsi="Arial" w:cs="Arial"/>
          <w:color w:val="000000" w:themeColor="text1"/>
          <w:sz w:val="22"/>
          <w:szCs w:val="22"/>
        </w:rPr>
        <w:t xml:space="preserve">Center for Organoid Systems (COS), TUM, </w:t>
      </w:r>
      <w:proofErr w:type="spellStart"/>
      <w:r w:rsidRPr="00F329CF">
        <w:rPr>
          <w:rFonts w:ascii="Arial" w:hAnsi="Arial" w:cs="Arial"/>
          <w:color w:val="000000" w:themeColor="text1"/>
          <w:sz w:val="22"/>
          <w:szCs w:val="22"/>
        </w:rPr>
        <w:t>Garching</w:t>
      </w:r>
      <w:proofErr w:type="spellEnd"/>
      <w:r w:rsidRPr="00F329CF">
        <w:rPr>
          <w:rFonts w:ascii="Arial" w:hAnsi="Arial" w:cs="Arial"/>
          <w:color w:val="000000" w:themeColor="text1"/>
          <w:sz w:val="22"/>
          <w:szCs w:val="22"/>
        </w:rPr>
        <w:t>, Germany.</w:t>
      </w:r>
    </w:p>
    <w:p w14:paraId="349FC79C"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20</w:t>
      </w:r>
      <w:r w:rsidRPr="00F329CF">
        <w:rPr>
          <w:rFonts w:ascii="Arial" w:hAnsi="Arial" w:cs="Arial"/>
          <w:color w:val="000000" w:themeColor="text1"/>
          <w:sz w:val="22"/>
          <w:szCs w:val="22"/>
        </w:rPr>
        <w:t>Max Delbrück Center (MDC), 13125 Berlin, Germany</w:t>
      </w:r>
    </w:p>
    <w:p w14:paraId="70B97BFE"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color w:val="000000" w:themeColor="text1"/>
          <w:sz w:val="22"/>
          <w:szCs w:val="22"/>
          <w:vertAlign w:val="superscript"/>
        </w:rPr>
        <w:t>21</w:t>
      </w:r>
      <w:r w:rsidRPr="00F329CF">
        <w:rPr>
          <w:rFonts w:ascii="Arial" w:hAnsi="Arial" w:cs="Arial"/>
          <w:color w:val="000000" w:themeColor="text1"/>
          <w:sz w:val="22"/>
          <w:szCs w:val="22"/>
        </w:rPr>
        <w:t>DEFEAT-PDAC – Decoding and targeting the PDAC ecosystem – a German Pancreatic Cancer Alliance (GPCA) consortium – partner site Göttingen</w:t>
      </w:r>
    </w:p>
    <w:p w14:paraId="16D6B4B0" w14:textId="77777777" w:rsidR="00574B5C" w:rsidRPr="00F329CF" w:rsidRDefault="00574B5C" w:rsidP="00574B5C">
      <w:pPr>
        <w:spacing w:line="480" w:lineRule="auto"/>
        <w:jc w:val="both"/>
        <w:rPr>
          <w:rFonts w:ascii="Arial" w:hAnsi="Arial" w:cs="Arial"/>
          <w:color w:val="000000" w:themeColor="text1"/>
          <w:sz w:val="22"/>
          <w:szCs w:val="22"/>
        </w:rPr>
      </w:pPr>
      <w:r w:rsidRPr="00F329CF">
        <w:rPr>
          <w:rFonts w:ascii="Arial" w:hAnsi="Arial" w:cs="Arial"/>
          <w:i/>
          <w:iCs/>
          <w:color w:val="000000" w:themeColor="text1"/>
          <w:sz w:val="22"/>
          <w:szCs w:val="22"/>
        </w:rPr>
        <w:t>Running Title:</w:t>
      </w:r>
      <w:r w:rsidRPr="00F329CF">
        <w:rPr>
          <w:rFonts w:ascii="Arial" w:hAnsi="Arial" w:cs="Arial"/>
          <w:color w:val="000000" w:themeColor="text1"/>
          <w:sz w:val="22"/>
          <w:szCs w:val="22"/>
        </w:rPr>
        <w:t xml:space="preserve"> PP2A and pancreatic cancer</w:t>
      </w:r>
    </w:p>
    <w:p w14:paraId="34CFBD66" w14:textId="58FB6AC3" w:rsidR="00574B5C" w:rsidRPr="00F329CF" w:rsidRDefault="00574B5C" w:rsidP="00574B5C">
      <w:pPr>
        <w:pStyle w:val="SMHeading"/>
        <w:spacing w:line="480" w:lineRule="auto"/>
        <w:jc w:val="both"/>
        <w:rPr>
          <w:rFonts w:ascii="Arial" w:hAnsi="Arial" w:cs="Arial"/>
          <w:b w:val="0"/>
          <w:bCs w:val="0"/>
          <w:i/>
          <w:iCs/>
          <w:color w:val="000000" w:themeColor="text1"/>
          <w:sz w:val="22"/>
          <w:szCs w:val="22"/>
        </w:rPr>
      </w:pPr>
      <w:r w:rsidRPr="00F329CF">
        <w:rPr>
          <w:rFonts w:ascii="Arial" w:hAnsi="Arial" w:cs="Arial"/>
          <w:b w:val="0"/>
          <w:bCs w:val="0"/>
          <w:i/>
          <w:iCs/>
          <w:color w:val="000000" w:themeColor="text1"/>
          <w:sz w:val="22"/>
          <w:szCs w:val="22"/>
          <w:vertAlign w:val="superscript"/>
        </w:rPr>
        <w:t>*</w:t>
      </w:r>
      <w:r w:rsidRPr="00F329CF">
        <w:rPr>
          <w:rFonts w:ascii="Arial" w:hAnsi="Arial" w:cs="Arial"/>
          <w:b w:val="0"/>
          <w:bCs w:val="0"/>
          <w:i/>
          <w:iCs/>
          <w:color w:val="000000" w:themeColor="text1"/>
          <w:sz w:val="22"/>
          <w:szCs w:val="22"/>
        </w:rPr>
        <w:t>Corresponding author:</w:t>
      </w:r>
      <w:r w:rsidRPr="00F329CF">
        <w:rPr>
          <w:rFonts w:ascii="Arial" w:hAnsi="Arial" w:cs="Arial"/>
          <w:b w:val="0"/>
          <w:bCs w:val="0"/>
          <w:color w:val="000000" w:themeColor="text1"/>
          <w:sz w:val="22"/>
          <w:szCs w:val="22"/>
        </w:rPr>
        <w:t xml:space="preserve"> </w:t>
      </w:r>
      <w:r w:rsidRPr="00F329CF">
        <w:rPr>
          <w:rFonts w:ascii="Arial" w:hAnsi="Arial" w:cs="Arial"/>
          <w:b w:val="0"/>
          <w:bCs w:val="0"/>
          <w:i/>
          <w:color w:val="000000" w:themeColor="text1"/>
          <w:sz w:val="22"/>
          <w:szCs w:val="22"/>
        </w:rPr>
        <w:t>Schneider, Günter</w:t>
      </w:r>
      <w:r w:rsidRPr="00F329CF">
        <w:rPr>
          <w:rFonts w:ascii="Arial" w:hAnsi="Arial" w:cs="Arial"/>
          <w:b w:val="0"/>
          <w:bCs w:val="0"/>
          <w:color w:val="000000" w:themeColor="text1"/>
          <w:sz w:val="22"/>
          <w:szCs w:val="22"/>
        </w:rPr>
        <w:t xml:space="preserve">: </w:t>
      </w:r>
      <w:r w:rsidRPr="00F329CF">
        <w:rPr>
          <w:rFonts w:ascii="Arial" w:hAnsi="Arial" w:cs="Arial"/>
          <w:b w:val="0"/>
          <w:bCs w:val="0"/>
          <w:iCs/>
          <w:color w:val="000000" w:themeColor="text1"/>
          <w:sz w:val="22"/>
          <w:szCs w:val="22"/>
        </w:rPr>
        <w:t>University Medical Center Göttingen, Department of General, Visceral and Pediatric Surgery, 37075 Göttingen</w:t>
      </w:r>
      <w:r w:rsidRPr="00F329CF">
        <w:rPr>
          <w:rFonts w:ascii="Arial" w:hAnsi="Arial" w:cs="Arial"/>
          <w:b w:val="0"/>
          <w:bCs w:val="0"/>
          <w:color w:val="000000" w:themeColor="text1"/>
          <w:sz w:val="22"/>
          <w:szCs w:val="22"/>
        </w:rPr>
        <w:t xml:space="preserve">, Germany, phone: +49-5551-39-20488, e-mail: </w:t>
      </w:r>
      <w:hyperlink r:id="rId8" w:history="1">
        <w:r w:rsidRPr="00F329CF">
          <w:rPr>
            <w:rStyle w:val="Hyperlink"/>
            <w:rFonts w:ascii="Arial" w:hAnsi="Arial" w:cs="Arial"/>
            <w:b w:val="0"/>
            <w:bCs w:val="0"/>
            <w:color w:val="000000" w:themeColor="text1"/>
            <w:sz w:val="22"/>
            <w:szCs w:val="22"/>
          </w:rPr>
          <w:t>guenter.schneider@med.uni-goettingen.de</w:t>
        </w:r>
      </w:hyperlink>
      <w:r w:rsidRPr="00F329CF">
        <w:rPr>
          <w:rFonts w:ascii="Arial" w:hAnsi="Arial" w:cs="Arial"/>
          <w:b w:val="0"/>
          <w:bCs w:val="0"/>
          <w:color w:val="000000" w:themeColor="text1"/>
          <w:sz w:val="22"/>
          <w:szCs w:val="22"/>
        </w:rPr>
        <w:t xml:space="preserve">. </w:t>
      </w:r>
      <w:r w:rsidR="00915D5B" w:rsidRPr="00F329CF">
        <w:rPr>
          <w:rFonts w:ascii="Arial" w:hAnsi="Arial" w:cs="Arial"/>
          <w:b w:val="0"/>
          <w:bCs w:val="0"/>
          <w:i/>
          <w:iCs/>
          <w:color w:val="000000" w:themeColor="text1"/>
          <w:sz w:val="22"/>
          <w:szCs w:val="22"/>
          <w:vertAlign w:val="superscript"/>
        </w:rPr>
        <w:t>$</w:t>
      </w:r>
      <w:r w:rsidRPr="00F329CF">
        <w:rPr>
          <w:rFonts w:ascii="Arial" w:hAnsi="Arial" w:cs="Arial"/>
          <w:b w:val="0"/>
          <w:bCs w:val="0"/>
          <w:i/>
          <w:iCs/>
          <w:color w:val="000000" w:themeColor="text1"/>
          <w:sz w:val="22"/>
          <w:szCs w:val="22"/>
        </w:rPr>
        <w:t>equally contributing last authors.</w:t>
      </w:r>
    </w:p>
    <w:p w14:paraId="175CB5E8" w14:textId="42192107" w:rsidR="001008D4" w:rsidRPr="00F329CF" w:rsidRDefault="00574B5C" w:rsidP="00574B5C">
      <w:pPr>
        <w:rPr>
          <w:rFonts w:ascii="Arial" w:hAnsi="Arial" w:cs="Arial"/>
          <w:b/>
          <w:bCs/>
          <w:i/>
          <w:iCs/>
          <w:color w:val="000000" w:themeColor="text1"/>
          <w:kern w:val="32"/>
          <w:sz w:val="22"/>
          <w:szCs w:val="22"/>
        </w:rPr>
      </w:pPr>
      <w:r w:rsidRPr="00F329CF">
        <w:rPr>
          <w:rFonts w:ascii="Arial" w:hAnsi="Arial" w:cs="Arial"/>
          <w:b/>
          <w:bCs/>
          <w:i/>
          <w:iCs/>
          <w:color w:val="000000" w:themeColor="text1"/>
          <w:sz w:val="22"/>
          <w:szCs w:val="22"/>
        </w:rPr>
        <w:br w:type="page"/>
      </w:r>
      <w:r w:rsidR="00041EC3" w:rsidRPr="00F329CF">
        <w:rPr>
          <w:rFonts w:ascii="Arial" w:hAnsi="Arial" w:cs="Arial"/>
          <w:b/>
          <w:bCs/>
          <w:sz w:val="22"/>
          <w:szCs w:val="22"/>
        </w:rPr>
        <w:lastRenderedPageBreak/>
        <w:t>Supplemental Figure</w:t>
      </w:r>
      <w:r w:rsidR="006D3854" w:rsidRPr="00F329CF">
        <w:rPr>
          <w:rFonts w:ascii="Arial" w:hAnsi="Arial" w:cs="Arial"/>
          <w:b/>
          <w:bCs/>
          <w:sz w:val="22"/>
          <w:szCs w:val="22"/>
        </w:rPr>
        <w:t>s</w:t>
      </w:r>
    </w:p>
    <w:p w14:paraId="6DBEA88D" w14:textId="0BEC8152" w:rsidR="001008D4" w:rsidRPr="00F329CF" w:rsidRDefault="00F329CF" w:rsidP="006279C2">
      <w:pPr>
        <w:pStyle w:val="SMHeading"/>
        <w:spacing w:line="480" w:lineRule="auto"/>
        <w:jc w:val="both"/>
        <w:rPr>
          <w:rFonts w:ascii="Arial" w:hAnsi="Arial" w:cs="Arial"/>
          <w:sz w:val="22"/>
          <w:szCs w:val="22"/>
        </w:rPr>
      </w:pPr>
      <w:r w:rsidRPr="00F329CF">
        <w:rPr>
          <w:rFonts w:ascii="Arial" w:hAnsi="Arial" w:cs="Arial"/>
          <w:noProof/>
          <w:sz w:val="22"/>
          <w:szCs w:val="22"/>
          <w14:ligatures w14:val="standardContextual"/>
        </w:rPr>
        <w:drawing>
          <wp:inline distT="0" distB="0" distL="0" distR="0" wp14:anchorId="0B29F039" wp14:editId="271E1DB0">
            <wp:extent cx="5760720" cy="3896360"/>
            <wp:effectExtent l="0" t="0" r="5080" b="2540"/>
            <wp:docPr id="5741606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160623" name="Grafik 574160623"/>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896360"/>
                    </a:xfrm>
                    <a:prstGeom prst="rect">
                      <a:avLst/>
                    </a:prstGeom>
                  </pic:spPr>
                </pic:pic>
              </a:graphicData>
            </a:graphic>
          </wp:inline>
        </w:drawing>
      </w:r>
    </w:p>
    <w:p w14:paraId="35E559F7" w14:textId="075BC00C" w:rsidR="006279C2" w:rsidRPr="00F329CF" w:rsidRDefault="006279C2" w:rsidP="006279C2">
      <w:pPr>
        <w:pStyle w:val="SMHeading"/>
        <w:spacing w:line="480" w:lineRule="auto"/>
        <w:jc w:val="both"/>
        <w:rPr>
          <w:rFonts w:ascii="Arial" w:hAnsi="Arial" w:cs="Arial"/>
          <w:sz w:val="22"/>
          <w:szCs w:val="22"/>
        </w:rPr>
      </w:pPr>
      <w:r w:rsidRPr="00F329CF">
        <w:rPr>
          <w:rFonts w:ascii="Arial" w:hAnsi="Arial" w:cs="Arial"/>
          <w:sz w:val="22"/>
          <w:szCs w:val="22"/>
        </w:rPr>
        <w:t>Fig</w:t>
      </w:r>
      <w:r w:rsidR="00F329CF" w:rsidRPr="00F329CF">
        <w:rPr>
          <w:rFonts w:ascii="Arial" w:hAnsi="Arial" w:cs="Arial"/>
          <w:sz w:val="22"/>
          <w:szCs w:val="22"/>
        </w:rPr>
        <w:t>ure</w:t>
      </w:r>
      <w:r w:rsidRPr="00F329CF">
        <w:rPr>
          <w:rFonts w:ascii="Arial" w:hAnsi="Arial" w:cs="Arial"/>
          <w:sz w:val="22"/>
          <w:szCs w:val="22"/>
        </w:rPr>
        <w:t xml:space="preserve"> S1 </w:t>
      </w:r>
      <w:r w:rsidR="000C5748" w:rsidRPr="00F329CF">
        <w:rPr>
          <w:rFonts w:ascii="Arial" w:hAnsi="Arial" w:cs="Arial"/>
          <w:sz w:val="22"/>
          <w:szCs w:val="22"/>
          <w:lang w:eastAsia="de-DE"/>
        </w:rPr>
        <w:t xml:space="preserve">Mesenchymal </w:t>
      </w:r>
      <w:r w:rsidRPr="00F329CF">
        <w:rPr>
          <w:rFonts w:ascii="Arial" w:hAnsi="Arial" w:cs="Arial"/>
          <w:sz w:val="22"/>
          <w:szCs w:val="22"/>
          <w:lang w:eastAsia="de-DE"/>
        </w:rPr>
        <w:t>PDAC</w:t>
      </w:r>
      <w:r w:rsidR="000C5748" w:rsidRPr="00F329CF">
        <w:rPr>
          <w:rFonts w:ascii="Arial" w:hAnsi="Arial" w:cs="Arial"/>
          <w:sz w:val="22"/>
          <w:szCs w:val="22"/>
          <w:lang w:eastAsia="de-DE"/>
        </w:rPr>
        <w:t xml:space="preserve"> cells respond to LB100</w:t>
      </w:r>
    </w:p>
    <w:p w14:paraId="576676AD" w14:textId="6D581381" w:rsidR="006D3854" w:rsidRPr="00F329CF" w:rsidRDefault="001008D4" w:rsidP="00041EC3">
      <w:pPr>
        <w:spacing w:line="480" w:lineRule="auto"/>
        <w:jc w:val="both"/>
        <w:rPr>
          <w:rFonts w:ascii="Arial" w:hAnsi="Arial" w:cs="Arial"/>
          <w:color w:val="000000" w:themeColor="text1"/>
          <w:sz w:val="22"/>
          <w:szCs w:val="22"/>
          <w:lang w:eastAsia="de-DE"/>
        </w:rPr>
      </w:pPr>
      <w:r w:rsidRPr="00F329CF">
        <w:rPr>
          <w:rFonts w:ascii="Arial" w:hAnsi="Arial" w:cs="Arial"/>
          <w:b/>
          <w:bCs/>
          <w:sz w:val="22"/>
          <w:szCs w:val="22"/>
          <w:shd w:val="clear" w:color="auto" w:fill="FFFFFF"/>
        </w:rPr>
        <w:t>A</w:t>
      </w:r>
      <w:r w:rsidR="00E24F36" w:rsidRPr="00F329CF">
        <w:rPr>
          <w:rFonts w:ascii="Arial" w:hAnsi="Arial" w:cs="Arial"/>
          <w:b/>
          <w:bCs/>
          <w:sz w:val="22"/>
          <w:szCs w:val="22"/>
          <w:shd w:val="clear" w:color="auto" w:fill="FFFFFF"/>
        </w:rPr>
        <w:t>)</w:t>
      </w:r>
      <w:r w:rsidR="00E24F36" w:rsidRPr="00F329CF">
        <w:rPr>
          <w:rFonts w:ascii="Arial" w:hAnsi="Arial" w:cs="Arial"/>
          <w:sz w:val="22"/>
          <w:szCs w:val="22"/>
          <w:lang w:eastAsia="de-DE"/>
        </w:rPr>
        <w:t xml:space="preserve"> Inhibition of growth was measured by a clonogenic growth assay of murine mesenchymal (n</w:t>
      </w:r>
      <w:r w:rsidRPr="00F329CF">
        <w:rPr>
          <w:rFonts w:ascii="Arial" w:hAnsi="Arial" w:cs="Arial"/>
          <w:sz w:val="22"/>
          <w:szCs w:val="22"/>
          <w:lang w:eastAsia="de-DE"/>
        </w:rPr>
        <w:t xml:space="preserve"> </w:t>
      </w:r>
      <w:r w:rsidR="00E24F36" w:rsidRPr="00F329CF">
        <w:rPr>
          <w:rFonts w:ascii="Arial" w:hAnsi="Arial" w:cs="Arial"/>
          <w:sz w:val="22"/>
          <w:szCs w:val="22"/>
          <w:lang w:eastAsia="de-DE"/>
        </w:rPr>
        <w:t>=</w:t>
      </w:r>
      <w:r w:rsidRPr="00F329CF">
        <w:rPr>
          <w:rFonts w:ascii="Arial" w:hAnsi="Arial" w:cs="Arial"/>
          <w:sz w:val="22"/>
          <w:szCs w:val="22"/>
          <w:lang w:eastAsia="de-DE"/>
        </w:rPr>
        <w:t xml:space="preserve"> </w:t>
      </w:r>
      <w:r w:rsidR="00E24F36" w:rsidRPr="00F329CF">
        <w:rPr>
          <w:rFonts w:ascii="Arial" w:hAnsi="Arial" w:cs="Arial"/>
          <w:sz w:val="22"/>
          <w:szCs w:val="22"/>
          <w:lang w:eastAsia="de-DE"/>
        </w:rPr>
        <w:t>4, 8248, 8513, 3250, S411) and epithelial (n</w:t>
      </w:r>
      <w:r w:rsidRPr="00F329CF">
        <w:rPr>
          <w:rFonts w:ascii="Arial" w:hAnsi="Arial" w:cs="Arial"/>
          <w:sz w:val="22"/>
          <w:szCs w:val="22"/>
          <w:lang w:eastAsia="de-DE"/>
        </w:rPr>
        <w:t xml:space="preserve"> </w:t>
      </w:r>
      <w:r w:rsidR="00E24F36" w:rsidRPr="00F329CF">
        <w:rPr>
          <w:rFonts w:ascii="Arial" w:hAnsi="Arial" w:cs="Arial"/>
          <w:sz w:val="22"/>
          <w:szCs w:val="22"/>
          <w:lang w:eastAsia="de-DE"/>
        </w:rPr>
        <w:t>=</w:t>
      </w:r>
      <w:r w:rsidRPr="00F329CF">
        <w:rPr>
          <w:rFonts w:ascii="Arial" w:hAnsi="Arial" w:cs="Arial"/>
          <w:sz w:val="22"/>
          <w:szCs w:val="22"/>
          <w:lang w:eastAsia="de-DE"/>
        </w:rPr>
        <w:t xml:space="preserve"> </w:t>
      </w:r>
      <w:r w:rsidR="00E24F36" w:rsidRPr="00F329CF">
        <w:rPr>
          <w:rFonts w:ascii="Arial" w:hAnsi="Arial" w:cs="Arial"/>
          <w:sz w:val="22"/>
          <w:szCs w:val="22"/>
          <w:lang w:eastAsia="de-DE"/>
        </w:rPr>
        <w:t>3, 9591, 8296, S821) PDAC cell lines after treatment with 25 µM LB100 for 14 days (</w:t>
      </w:r>
      <w:r w:rsidR="00E24F36" w:rsidRPr="00F329CF">
        <w:rPr>
          <w:rFonts w:ascii="Arial" w:hAnsi="Arial" w:cs="Arial"/>
          <w:i/>
          <w:iCs/>
          <w:sz w:val="22"/>
          <w:szCs w:val="22"/>
          <w:lang w:eastAsia="de-DE"/>
        </w:rPr>
        <w:t>p</w:t>
      </w:r>
      <w:r w:rsidR="00E24F36" w:rsidRPr="00F329CF">
        <w:rPr>
          <w:rFonts w:ascii="Arial" w:hAnsi="Arial" w:cs="Arial"/>
          <w:sz w:val="22"/>
          <w:szCs w:val="22"/>
          <w:lang w:eastAsia="de-DE"/>
        </w:rPr>
        <w:t>= 0.057, two-tailed Mann Whitney test). Each dot represents one PDAC cell line and the mean of three independent biological replicates. Displayed is the percent inhibition of colony formation after treatment compared to the vehicle-treated controls.</w:t>
      </w:r>
      <w:r w:rsidR="00F7237B" w:rsidRPr="00F329CF">
        <w:rPr>
          <w:rFonts w:ascii="Arial" w:hAnsi="Arial" w:cs="Arial"/>
          <w:sz w:val="22"/>
          <w:szCs w:val="22"/>
          <w:lang w:eastAsia="de-DE"/>
        </w:rPr>
        <w:t xml:space="preserve"> </w:t>
      </w:r>
      <w:r w:rsidRPr="00F329CF">
        <w:rPr>
          <w:rFonts w:ascii="Arial" w:hAnsi="Arial" w:cs="Arial"/>
          <w:b/>
          <w:bCs/>
          <w:sz w:val="22"/>
          <w:szCs w:val="22"/>
          <w:lang w:eastAsia="de-DE"/>
        </w:rPr>
        <w:t>B</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Representative bright field images of the mesenchymal and epithelial subpart of differential </w:t>
      </w:r>
      <w:proofErr w:type="spellStart"/>
      <w:r w:rsidR="00F7237B" w:rsidRPr="00F329CF">
        <w:rPr>
          <w:rFonts w:ascii="Arial" w:hAnsi="Arial" w:cs="Arial"/>
          <w:sz w:val="22"/>
          <w:szCs w:val="22"/>
          <w:lang w:eastAsia="de-DE"/>
        </w:rPr>
        <w:t>trypsinized</w:t>
      </w:r>
      <w:proofErr w:type="spellEnd"/>
      <w:r w:rsidR="00F7237B" w:rsidRPr="00F329CF">
        <w:rPr>
          <w:rFonts w:ascii="Arial" w:hAnsi="Arial" w:cs="Arial"/>
          <w:sz w:val="22"/>
          <w:szCs w:val="22"/>
          <w:lang w:eastAsia="de-DE"/>
        </w:rPr>
        <w:t xml:space="preserve"> Pank901m murine PDAC cell line after 5 and 10 µM of LB100 treatment (6 hours). Scalebar = 100 µM. </w:t>
      </w:r>
      <w:r w:rsidRPr="00F329CF">
        <w:rPr>
          <w:rFonts w:ascii="Arial" w:hAnsi="Arial" w:cs="Arial"/>
          <w:b/>
          <w:bCs/>
          <w:sz w:val="22"/>
          <w:szCs w:val="22"/>
          <w:lang w:eastAsia="de-DE"/>
        </w:rPr>
        <w:t>C</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Clonogenic growth assay in the mesenchymal and epithelial subpart from </w:t>
      </w:r>
      <w:r w:rsidRPr="00F329CF">
        <w:rPr>
          <w:rFonts w:ascii="Arial" w:hAnsi="Arial" w:cs="Arial"/>
          <w:sz w:val="22"/>
          <w:szCs w:val="22"/>
          <w:lang w:eastAsia="de-DE"/>
        </w:rPr>
        <w:t>B</w:t>
      </w:r>
      <w:r w:rsidR="00F7237B" w:rsidRPr="00F329CF">
        <w:rPr>
          <w:rFonts w:ascii="Arial" w:hAnsi="Arial" w:cs="Arial"/>
          <w:sz w:val="22"/>
          <w:szCs w:val="22"/>
          <w:lang w:eastAsia="de-DE"/>
        </w:rPr>
        <w:t xml:space="preserve">) after LB100 treatment with indicated concentrations for 14 days. One representative image of the experiment is displayed. </w:t>
      </w:r>
      <w:r w:rsidRPr="00F329CF">
        <w:rPr>
          <w:rFonts w:ascii="Arial" w:hAnsi="Arial" w:cs="Arial"/>
          <w:b/>
          <w:bCs/>
          <w:sz w:val="22"/>
          <w:szCs w:val="22"/>
          <w:lang w:eastAsia="de-DE"/>
        </w:rPr>
        <w:t>D</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Quantification of four replicates from </w:t>
      </w:r>
      <w:r w:rsidRPr="00F329CF">
        <w:rPr>
          <w:rFonts w:ascii="Arial" w:hAnsi="Arial" w:cs="Arial"/>
          <w:sz w:val="22"/>
          <w:szCs w:val="22"/>
          <w:lang w:eastAsia="de-DE"/>
        </w:rPr>
        <w:t>C</w:t>
      </w:r>
      <w:r w:rsidR="00F7237B" w:rsidRPr="00F329CF">
        <w:rPr>
          <w:rFonts w:ascii="Arial" w:hAnsi="Arial" w:cs="Arial"/>
          <w:sz w:val="22"/>
          <w:szCs w:val="22"/>
          <w:lang w:eastAsia="de-DE"/>
        </w:rPr>
        <w:t>) (n = 4, Two-Way ANOVA **</w:t>
      </w:r>
      <w:r w:rsidR="00F7237B" w:rsidRPr="00F329CF">
        <w:rPr>
          <w:rFonts w:ascii="Arial" w:hAnsi="Arial" w:cs="Arial"/>
          <w:i/>
          <w:iCs/>
          <w:sz w:val="22"/>
          <w:szCs w:val="22"/>
          <w:lang w:eastAsia="de-DE"/>
        </w:rPr>
        <w:t>p</w:t>
      </w:r>
      <w:r w:rsidR="00F7237B" w:rsidRPr="00F329CF">
        <w:rPr>
          <w:rFonts w:ascii="Arial" w:hAnsi="Arial" w:cs="Arial"/>
          <w:sz w:val="22"/>
          <w:szCs w:val="22"/>
          <w:lang w:eastAsia="de-DE"/>
        </w:rPr>
        <w:t xml:space="preserve">&lt;0.01, ****p&lt;0.0001). </w:t>
      </w:r>
      <w:r w:rsidRPr="00F329CF">
        <w:rPr>
          <w:rFonts w:ascii="Arial" w:hAnsi="Arial" w:cs="Arial"/>
          <w:b/>
          <w:bCs/>
          <w:sz w:val="22"/>
          <w:szCs w:val="22"/>
          <w:lang w:eastAsia="de-DE"/>
        </w:rPr>
        <w:t>E</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LB100 dose-respond curves of separated mesenchymal (red) and epithelial part (blue) of a differential </w:t>
      </w:r>
      <w:proofErr w:type="spellStart"/>
      <w:r w:rsidR="00F7237B" w:rsidRPr="00F329CF">
        <w:rPr>
          <w:rFonts w:ascii="Arial" w:hAnsi="Arial" w:cs="Arial"/>
          <w:sz w:val="22"/>
          <w:szCs w:val="22"/>
          <w:lang w:eastAsia="de-DE"/>
        </w:rPr>
        <w:t>trypsinized</w:t>
      </w:r>
      <w:proofErr w:type="spellEnd"/>
      <w:r w:rsidR="00F7237B" w:rsidRPr="00F329CF">
        <w:rPr>
          <w:rFonts w:ascii="Arial" w:hAnsi="Arial" w:cs="Arial"/>
          <w:sz w:val="22"/>
          <w:szCs w:val="22"/>
          <w:lang w:eastAsia="de-DE"/>
        </w:rPr>
        <w:t xml:space="preserve"> F2612 murine PDAC cell line after treatment with LB100 in a 7-point dilution or vehicle control for 3 </w:t>
      </w:r>
      <w:r w:rsidR="00F7237B" w:rsidRPr="00F329CF">
        <w:rPr>
          <w:rFonts w:ascii="Arial" w:hAnsi="Arial" w:cs="Arial"/>
          <w:sz w:val="22"/>
          <w:szCs w:val="22"/>
          <w:lang w:eastAsia="de-DE"/>
        </w:rPr>
        <w:lastRenderedPageBreak/>
        <w:t xml:space="preserve">days. Viability was measured by Cell-Titer Glo assay. </w:t>
      </w:r>
      <w:r w:rsidR="00F7237B" w:rsidRPr="00F329CF">
        <w:rPr>
          <w:rFonts w:ascii="Arial" w:hAnsi="Arial" w:cs="Arial"/>
          <w:sz w:val="22"/>
          <w:szCs w:val="22"/>
          <w:shd w:val="clear" w:color="auto" w:fill="FFFFFF"/>
        </w:rPr>
        <w:t>Dots represent the mean +/- SD of at least three independent experiments. The GI</w:t>
      </w:r>
      <w:r w:rsidR="00F7237B" w:rsidRPr="00F329CF">
        <w:rPr>
          <w:rFonts w:ascii="Arial" w:hAnsi="Arial" w:cs="Arial"/>
          <w:sz w:val="22"/>
          <w:szCs w:val="22"/>
          <w:shd w:val="clear" w:color="auto" w:fill="FFFFFF"/>
          <w:vertAlign w:val="subscript"/>
        </w:rPr>
        <w:t>50</w:t>
      </w:r>
      <w:r w:rsidR="00F7237B" w:rsidRPr="00F329CF">
        <w:rPr>
          <w:rFonts w:ascii="Arial" w:hAnsi="Arial" w:cs="Arial"/>
          <w:sz w:val="22"/>
          <w:szCs w:val="22"/>
          <w:shd w:val="clear" w:color="auto" w:fill="FFFFFF"/>
        </w:rPr>
        <w:t xml:space="preserve"> values are indicated.</w:t>
      </w:r>
      <w:r w:rsidR="00F7237B" w:rsidRPr="00F329CF">
        <w:rPr>
          <w:rFonts w:ascii="Arial" w:hAnsi="Arial" w:cs="Arial"/>
          <w:sz w:val="22"/>
          <w:szCs w:val="22"/>
          <w:lang w:eastAsia="de-DE"/>
        </w:rPr>
        <w:t xml:space="preserve"> </w:t>
      </w:r>
      <w:r w:rsidRPr="00F329CF">
        <w:rPr>
          <w:rFonts w:ascii="Arial" w:hAnsi="Arial" w:cs="Arial"/>
          <w:b/>
          <w:bCs/>
          <w:sz w:val="22"/>
          <w:szCs w:val="22"/>
          <w:lang w:eastAsia="de-DE"/>
        </w:rPr>
        <w:t>F</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Representative picture of a clonogenic growth assay after treatment with indicated concentrations of LB100 from the cell line described in </w:t>
      </w:r>
      <w:r w:rsidRPr="00F329CF">
        <w:rPr>
          <w:rFonts w:ascii="Arial" w:hAnsi="Arial" w:cs="Arial"/>
          <w:sz w:val="22"/>
          <w:szCs w:val="22"/>
          <w:lang w:eastAsia="de-DE"/>
        </w:rPr>
        <w:t>E</w:t>
      </w:r>
      <w:r w:rsidR="00F7237B" w:rsidRPr="00F329CF">
        <w:rPr>
          <w:rFonts w:ascii="Arial" w:hAnsi="Arial" w:cs="Arial"/>
          <w:sz w:val="22"/>
          <w:szCs w:val="22"/>
          <w:lang w:eastAsia="de-DE"/>
        </w:rPr>
        <w:t xml:space="preserve">). </w:t>
      </w:r>
      <w:r w:rsidRPr="00F329CF">
        <w:rPr>
          <w:rFonts w:ascii="Arial" w:hAnsi="Arial" w:cs="Arial"/>
          <w:b/>
          <w:bCs/>
          <w:sz w:val="22"/>
          <w:szCs w:val="22"/>
          <w:lang w:eastAsia="de-DE"/>
        </w:rPr>
        <w:t>G</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Quantification of four independent biological replicates from </w:t>
      </w:r>
      <w:r w:rsidRPr="00F329CF">
        <w:rPr>
          <w:rFonts w:ascii="Arial" w:hAnsi="Arial" w:cs="Arial"/>
          <w:sz w:val="22"/>
          <w:szCs w:val="22"/>
          <w:lang w:eastAsia="de-DE"/>
        </w:rPr>
        <w:t>F</w:t>
      </w:r>
      <w:r w:rsidR="00F7237B" w:rsidRPr="00F329CF">
        <w:rPr>
          <w:rFonts w:ascii="Arial" w:hAnsi="Arial" w:cs="Arial"/>
          <w:sz w:val="22"/>
          <w:szCs w:val="22"/>
          <w:lang w:eastAsia="de-DE"/>
        </w:rPr>
        <w:t>)</w:t>
      </w:r>
      <w:r w:rsidR="00F7237B" w:rsidRPr="00F329CF">
        <w:rPr>
          <w:rFonts w:ascii="Arial" w:hAnsi="Arial" w:cs="Arial"/>
          <w:b/>
          <w:bCs/>
          <w:sz w:val="22"/>
          <w:szCs w:val="22"/>
          <w:lang w:eastAsia="de-DE"/>
        </w:rPr>
        <w:t xml:space="preserve"> </w:t>
      </w:r>
      <w:r w:rsidR="00F7237B" w:rsidRPr="00F329CF">
        <w:rPr>
          <w:rFonts w:ascii="Arial" w:hAnsi="Arial" w:cs="Arial"/>
          <w:sz w:val="22"/>
          <w:szCs w:val="22"/>
          <w:lang w:eastAsia="de-DE"/>
        </w:rPr>
        <w:t>(</w:t>
      </w:r>
      <w:r w:rsidR="00CB6576">
        <w:rPr>
          <w:rFonts w:ascii="Arial" w:hAnsi="Arial" w:cs="Arial"/>
          <w:sz w:val="22"/>
          <w:szCs w:val="22"/>
          <w:lang w:eastAsia="de-DE"/>
        </w:rPr>
        <w:t>n</w:t>
      </w:r>
      <w:r w:rsidR="000648E5">
        <w:rPr>
          <w:rFonts w:ascii="Arial" w:hAnsi="Arial" w:cs="Arial"/>
          <w:sz w:val="22"/>
          <w:szCs w:val="22"/>
          <w:lang w:eastAsia="de-DE"/>
        </w:rPr>
        <w:t xml:space="preserve"> </w:t>
      </w:r>
      <w:r w:rsidR="00CB6576">
        <w:rPr>
          <w:rFonts w:ascii="Arial" w:hAnsi="Arial" w:cs="Arial"/>
          <w:sz w:val="22"/>
          <w:szCs w:val="22"/>
          <w:lang w:eastAsia="de-DE"/>
        </w:rPr>
        <w:t>=</w:t>
      </w:r>
      <w:r w:rsidR="000648E5">
        <w:rPr>
          <w:rFonts w:ascii="Arial" w:hAnsi="Arial" w:cs="Arial"/>
          <w:sz w:val="22"/>
          <w:szCs w:val="22"/>
          <w:lang w:eastAsia="de-DE"/>
        </w:rPr>
        <w:t xml:space="preserve"> </w:t>
      </w:r>
      <w:proofErr w:type="gramStart"/>
      <w:r w:rsidR="00CB6576">
        <w:rPr>
          <w:rFonts w:ascii="Arial" w:hAnsi="Arial" w:cs="Arial"/>
          <w:sz w:val="22"/>
          <w:szCs w:val="22"/>
          <w:lang w:eastAsia="de-DE"/>
        </w:rPr>
        <w:t>4,</w:t>
      </w:r>
      <w:r w:rsidR="00F7237B" w:rsidRPr="00F329CF">
        <w:rPr>
          <w:rFonts w:ascii="Arial" w:hAnsi="Arial" w:cs="Arial"/>
          <w:sz w:val="22"/>
          <w:szCs w:val="22"/>
          <w:lang w:eastAsia="de-DE"/>
        </w:rPr>
        <w:t>*</w:t>
      </w:r>
      <w:proofErr w:type="gramEnd"/>
      <w:r w:rsidR="00F7237B" w:rsidRPr="00F329CF">
        <w:rPr>
          <w:rFonts w:ascii="Arial" w:hAnsi="Arial" w:cs="Arial"/>
          <w:sz w:val="22"/>
          <w:szCs w:val="22"/>
          <w:lang w:eastAsia="de-DE"/>
        </w:rPr>
        <w:t xml:space="preserve">p value&lt;0.05, two-tailed Mann-Whitney test). </w:t>
      </w:r>
      <w:r w:rsidRPr="00F329CF">
        <w:rPr>
          <w:rFonts w:ascii="Arial" w:hAnsi="Arial" w:cs="Arial"/>
          <w:b/>
          <w:bCs/>
          <w:sz w:val="22"/>
          <w:szCs w:val="22"/>
          <w:lang w:eastAsia="de-DE"/>
        </w:rPr>
        <w:t>H</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Weekly representative bright field images from the </w:t>
      </w:r>
      <w:proofErr w:type="gramStart"/>
      <w:r w:rsidR="00F7237B" w:rsidRPr="00F329CF">
        <w:rPr>
          <w:rFonts w:ascii="Arial" w:hAnsi="Arial" w:cs="Arial"/>
          <w:i/>
          <w:iCs/>
          <w:sz w:val="22"/>
          <w:szCs w:val="22"/>
          <w:lang w:eastAsia="de-DE"/>
        </w:rPr>
        <w:t>in situ</w:t>
      </w:r>
      <w:proofErr w:type="gramEnd"/>
      <w:r w:rsidR="00F7237B" w:rsidRPr="00F329CF">
        <w:rPr>
          <w:rFonts w:ascii="Arial" w:hAnsi="Arial" w:cs="Arial"/>
          <w:sz w:val="22"/>
          <w:szCs w:val="22"/>
          <w:lang w:eastAsia="de-DE"/>
        </w:rPr>
        <w:t xml:space="preserve"> resistance assay over 5 weeks in the depicted PDCL lines with 0, 5, 10 or 20 µM LB100 treatment. Scalebar = 1mm. </w:t>
      </w:r>
      <w:r w:rsidRPr="00F329CF">
        <w:rPr>
          <w:rFonts w:ascii="Arial" w:hAnsi="Arial" w:cs="Arial"/>
          <w:b/>
          <w:bCs/>
          <w:sz w:val="22"/>
          <w:szCs w:val="22"/>
          <w:lang w:eastAsia="de-DE"/>
        </w:rPr>
        <w:t>I</w:t>
      </w:r>
      <w:r w:rsidR="00F7237B" w:rsidRPr="00F329CF">
        <w:rPr>
          <w:rFonts w:ascii="Arial" w:hAnsi="Arial" w:cs="Arial"/>
          <w:b/>
          <w:bCs/>
          <w:sz w:val="22"/>
          <w:szCs w:val="22"/>
          <w:lang w:eastAsia="de-DE"/>
        </w:rPr>
        <w:t>)</w:t>
      </w:r>
      <w:r w:rsidR="00F7237B" w:rsidRPr="00F329CF">
        <w:rPr>
          <w:rFonts w:ascii="Arial" w:hAnsi="Arial" w:cs="Arial"/>
          <w:sz w:val="22"/>
          <w:szCs w:val="22"/>
          <w:lang w:eastAsia="de-DE"/>
        </w:rPr>
        <w:t xml:space="preserve"> </w:t>
      </w:r>
      <w:r w:rsidR="00F7237B" w:rsidRPr="00F329CF">
        <w:rPr>
          <w:rFonts w:ascii="Arial" w:hAnsi="Arial" w:cs="Arial"/>
          <w:i/>
          <w:iCs/>
          <w:sz w:val="22"/>
          <w:szCs w:val="22"/>
          <w:lang w:eastAsia="de-DE"/>
        </w:rPr>
        <w:t>Left:</w:t>
      </w:r>
      <w:r w:rsidR="00F7237B" w:rsidRPr="00F329CF">
        <w:rPr>
          <w:rFonts w:ascii="Arial" w:hAnsi="Arial" w:cs="Arial"/>
          <w:sz w:val="22"/>
          <w:szCs w:val="22"/>
          <w:lang w:eastAsia="de-DE"/>
        </w:rPr>
        <w:t xml:space="preserve"> Representative bright field images of the indicated primary PDCL from the CRU5002 cohort. </w:t>
      </w:r>
      <w:r w:rsidR="00F7237B" w:rsidRPr="00F329CF">
        <w:rPr>
          <w:rFonts w:ascii="Arial" w:hAnsi="Arial" w:cs="Arial"/>
          <w:i/>
          <w:iCs/>
          <w:sz w:val="22"/>
          <w:szCs w:val="22"/>
          <w:lang w:eastAsia="de-DE"/>
        </w:rPr>
        <w:t>Right:</w:t>
      </w:r>
      <w:r w:rsidR="00F7237B" w:rsidRPr="00F329CF">
        <w:rPr>
          <w:rFonts w:ascii="Arial" w:hAnsi="Arial" w:cs="Arial"/>
          <w:color w:val="000000" w:themeColor="text1"/>
          <w:sz w:val="22"/>
          <w:szCs w:val="22"/>
        </w:rPr>
        <w:t xml:space="preserve"> cells were treated with LB100 in a 7-point dilution for 72h and assayed for cell viability</w:t>
      </w:r>
      <w:r w:rsidR="00F7237B" w:rsidRPr="00F329CF">
        <w:rPr>
          <w:rFonts w:ascii="Arial" w:hAnsi="Arial" w:cs="Arial"/>
          <w:color w:val="000000" w:themeColor="text1"/>
          <w:sz w:val="22"/>
          <w:szCs w:val="22"/>
          <w:shd w:val="clear" w:color="auto" w:fill="FFFFFF"/>
        </w:rPr>
        <w:t xml:space="preserve"> (n ≥ 3)</w:t>
      </w:r>
      <w:r w:rsidR="00F7237B" w:rsidRPr="00F329CF">
        <w:rPr>
          <w:rFonts w:ascii="Arial" w:hAnsi="Arial" w:cs="Arial"/>
          <w:color w:val="000000" w:themeColor="text1"/>
          <w:sz w:val="22"/>
          <w:szCs w:val="22"/>
        </w:rPr>
        <w:t>. Displayed are the half-maximal growth inhibitory (GI</w:t>
      </w:r>
      <w:r w:rsidR="00F7237B" w:rsidRPr="00F329CF">
        <w:rPr>
          <w:rFonts w:ascii="Arial" w:hAnsi="Arial" w:cs="Arial"/>
          <w:color w:val="000000" w:themeColor="text1"/>
          <w:sz w:val="22"/>
          <w:szCs w:val="22"/>
          <w:vertAlign w:val="subscript"/>
        </w:rPr>
        <w:t>50</w:t>
      </w:r>
      <w:r w:rsidR="00F7237B" w:rsidRPr="00F329CF">
        <w:rPr>
          <w:rFonts w:ascii="Arial" w:hAnsi="Arial" w:cs="Arial"/>
          <w:color w:val="000000" w:themeColor="text1"/>
          <w:sz w:val="22"/>
          <w:szCs w:val="22"/>
        </w:rPr>
        <w:t xml:space="preserve">) concentrations in epithelial and mesenchymal </w:t>
      </w:r>
      <w:r w:rsidRPr="00F329CF">
        <w:rPr>
          <w:rFonts w:ascii="Arial" w:hAnsi="Arial" w:cs="Arial"/>
          <w:color w:val="000000" w:themeColor="text1"/>
          <w:sz w:val="22"/>
          <w:szCs w:val="22"/>
        </w:rPr>
        <w:t>PDCL</w:t>
      </w:r>
      <w:r w:rsidR="00F7237B" w:rsidRPr="00F329CF">
        <w:rPr>
          <w:rFonts w:ascii="Arial" w:hAnsi="Arial" w:cs="Arial"/>
          <w:color w:val="000000" w:themeColor="text1"/>
          <w:sz w:val="22"/>
          <w:szCs w:val="22"/>
        </w:rPr>
        <w:t>.</w:t>
      </w:r>
      <w:r w:rsidR="008419C3" w:rsidRPr="00F329CF">
        <w:rPr>
          <w:rFonts w:ascii="Arial" w:hAnsi="Arial" w:cs="Arial"/>
          <w:color w:val="000000" w:themeColor="text1"/>
          <w:sz w:val="22"/>
          <w:szCs w:val="22"/>
        </w:rPr>
        <w:t xml:space="preserve"> </w:t>
      </w:r>
      <w:r w:rsidRPr="00F329CF">
        <w:rPr>
          <w:rFonts w:ascii="Arial" w:hAnsi="Arial" w:cs="Arial"/>
          <w:b/>
          <w:bCs/>
          <w:color w:val="000000" w:themeColor="text1"/>
          <w:sz w:val="22"/>
          <w:szCs w:val="22"/>
        </w:rPr>
        <w:t>J</w:t>
      </w:r>
      <w:r w:rsidR="008419C3" w:rsidRPr="00F329CF">
        <w:rPr>
          <w:rFonts w:ascii="Arial" w:hAnsi="Arial" w:cs="Arial"/>
          <w:b/>
          <w:bCs/>
          <w:color w:val="000000" w:themeColor="text1"/>
          <w:sz w:val="22"/>
          <w:szCs w:val="22"/>
        </w:rPr>
        <w:t>)</w:t>
      </w:r>
      <w:r w:rsidR="008419C3" w:rsidRPr="00F329CF">
        <w:rPr>
          <w:rFonts w:ascii="Arial" w:hAnsi="Arial" w:cs="Arial"/>
          <w:sz w:val="22"/>
          <w:szCs w:val="22"/>
          <w:lang w:eastAsia="de-DE"/>
        </w:rPr>
        <w:t xml:space="preserve"> Population of mesenchymal murine PDAC cells with very high LB100 sensitivity was compared to </w:t>
      </w:r>
      <w:proofErr w:type="spellStart"/>
      <w:r w:rsidR="003D2C53" w:rsidRPr="00F329CF">
        <w:rPr>
          <w:rFonts w:ascii="Arial" w:hAnsi="Arial" w:cs="Arial"/>
          <w:sz w:val="22"/>
          <w:szCs w:val="22"/>
          <w:lang w:eastAsia="de-DE"/>
        </w:rPr>
        <w:t>murin</w:t>
      </w:r>
      <w:proofErr w:type="spellEnd"/>
      <w:r w:rsidR="003D2C53" w:rsidRPr="00F329CF">
        <w:rPr>
          <w:rFonts w:ascii="Arial" w:hAnsi="Arial" w:cs="Arial"/>
          <w:sz w:val="22"/>
          <w:szCs w:val="22"/>
          <w:lang w:eastAsia="de-DE"/>
        </w:rPr>
        <w:t xml:space="preserve"> </w:t>
      </w:r>
      <w:r w:rsidR="008419C3" w:rsidRPr="00F329CF">
        <w:rPr>
          <w:rFonts w:ascii="Arial" w:hAnsi="Arial" w:cs="Arial"/>
          <w:sz w:val="22"/>
          <w:szCs w:val="22"/>
          <w:lang w:eastAsia="de-DE"/>
        </w:rPr>
        <w:t xml:space="preserve">mesenchymal PDAC cells with lower LB100 sensitivity by GSEA. GSEA was performed by GeneTrail3.2 using default settings but adding the HALLMARK signatures. Signatures were ranked by FDR and the top 5 five </w:t>
      </w:r>
      <w:r w:rsidR="008419C3" w:rsidRPr="00F329CF">
        <w:rPr>
          <w:rFonts w:ascii="Arial" w:hAnsi="Arial" w:cs="Arial"/>
          <w:color w:val="000000" w:themeColor="text1"/>
          <w:sz w:val="22"/>
          <w:szCs w:val="22"/>
          <w:lang w:eastAsia="de-DE"/>
        </w:rPr>
        <w:t>signatures were depicted. The enrichment score is color-coded.</w:t>
      </w:r>
    </w:p>
    <w:p w14:paraId="106C0596" w14:textId="77777777" w:rsidR="006D3854" w:rsidRPr="00F329CF" w:rsidRDefault="006D3854">
      <w:pPr>
        <w:rPr>
          <w:rFonts w:ascii="Arial" w:hAnsi="Arial" w:cs="Arial"/>
          <w:color w:val="000000" w:themeColor="text1"/>
          <w:sz w:val="22"/>
          <w:szCs w:val="22"/>
          <w:lang w:eastAsia="de-DE"/>
        </w:rPr>
      </w:pPr>
      <w:r w:rsidRPr="00F329CF">
        <w:rPr>
          <w:rFonts w:ascii="Arial" w:hAnsi="Arial" w:cs="Arial"/>
          <w:color w:val="000000" w:themeColor="text1"/>
          <w:sz w:val="22"/>
          <w:szCs w:val="22"/>
          <w:lang w:eastAsia="de-DE"/>
        </w:rPr>
        <w:br w:type="page"/>
      </w:r>
    </w:p>
    <w:p w14:paraId="080BC02A" w14:textId="1AD01291" w:rsidR="001008D4" w:rsidRPr="00F329CF" w:rsidRDefault="00F329CF" w:rsidP="00041EC3">
      <w:pPr>
        <w:spacing w:line="480" w:lineRule="auto"/>
        <w:jc w:val="both"/>
        <w:rPr>
          <w:rFonts w:ascii="Arial" w:hAnsi="Arial" w:cs="Arial"/>
          <w:b/>
          <w:bCs/>
          <w:sz w:val="22"/>
          <w:szCs w:val="22"/>
        </w:rPr>
      </w:pPr>
      <w:r w:rsidRPr="00F329CF">
        <w:rPr>
          <w:rFonts w:ascii="Arial" w:hAnsi="Arial" w:cs="Arial"/>
          <w:b/>
          <w:bCs/>
          <w:noProof/>
          <w:sz w:val="22"/>
          <w:szCs w:val="22"/>
          <w14:ligatures w14:val="standardContextual"/>
        </w:rPr>
        <w:lastRenderedPageBreak/>
        <w:drawing>
          <wp:inline distT="0" distB="0" distL="0" distR="0" wp14:anchorId="3B64FD79" wp14:editId="7DD6739C">
            <wp:extent cx="5760720" cy="5019675"/>
            <wp:effectExtent l="0" t="0" r="5080" b="0"/>
            <wp:docPr id="155835783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357839" name="Grafik 155835783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019675"/>
                    </a:xfrm>
                    <a:prstGeom prst="rect">
                      <a:avLst/>
                    </a:prstGeom>
                  </pic:spPr>
                </pic:pic>
              </a:graphicData>
            </a:graphic>
          </wp:inline>
        </w:drawing>
      </w:r>
    </w:p>
    <w:p w14:paraId="51F5E3FE" w14:textId="40EF9F61" w:rsidR="001F63AC" w:rsidRPr="00F329CF" w:rsidRDefault="004A7A4B" w:rsidP="00041EC3">
      <w:pPr>
        <w:spacing w:line="480" w:lineRule="auto"/>
        <w:jc w:val="both"/>
        <w:rPr>
          <w:rFonts w:ascii="Arial" w:hAnsi="Arial" w:cs="Arial"/>
          <w:color w:val="000000" w:themeColor="text1"/>
          <w:sz w:val="22"/>
          <w:szCs w:val="22"/>
        </w:rPr>
      </w:pPr>
      <w:r w:rsidRPr="00F329CF">
        <w:rPr>
          <w:rFonts w:ascii="Arial" w:hAnsi="Arial" w:cs="Arial"/>
          <w:b/>
          <w:bCs/>
          <w:sz w:val="22"/>
          <w:szCs w:val="22"/>
        </w:rPr>
        <w:t>Fig</w:t>
      </w:r>
      <w:r w:rsidR="00F329CF" w:rsidRPr="00F329CF">
        <w:rPr>
          <w:rFonts w:ascii="Arial" w:hAnsi="Arial" w:cs="Arial"/>
          <w:b/>
          <w:bCs/>
          <w:sz w:val="22"/>
          <w:szCs w:val="22"/>
        </w:rPr>
        <w:t>ure</w:t>
      </w:r>
      <w:r w:rsidRPr="00F329CF">
        <w:rPr>
          <w:rFonts w:ascii="Arial" w:hAnsi="Arial" w:cs="Arial"/>
          <w:b/>
          <w:bCs/>
          <w:sz w:val="22"/>
          <w:szCs w:val="22"/>
        </w:rPr>
        <w:t xml:space="preserve"> S2 </w:t>
      </w:r>
      <w:r w:rsidRPr="00F329CF">
        <w:rPr>
          <w:rFonts w:ascii="Arial" w:hAnsi="Arial" w:cs="Arial"/>
          <w:b/>
          <w:bCs/>
          <w:sz w:val="22"/>
          <w:szCs w:val="22"/>
          <w:lang w:eastAsia="de-DE"/>
        </w:rPr>
        <w:t>LB100-</w:t>
      </w:r>
      <w:r w:rsidR="001F63AC" w:rsidRPr="00F329CF">
        <w:rPr>
          <w:rFonts w:ascii="Arial" w:hAnsi="Arial" w:cs="Arial"/>
          <w:b/>
          <w:bCs/>
          <w:sz w:val="22"/>
          <w:szCs w:val="22"/>
          <w:lang w:eastAsia="de-DE"/>
        </w:rPr>
        <w:t>induced cellular response</w:t>
      </w:r>
    </w:p>
    <w:p w14:paraId="2FCC675A" w14:textId="70E0FEE6" w:rsidR="00574B5C" w:rsidRPr="00F329CF" w:rsidRDefault="001008D4" w:rsidP="00952ECB">
      <w:pPr>
        <w:spacing w:line="480" w:lineRule="auto"/>
        <w:jc w:val="both"/>
        <w:rPr>
          <w:rFonts w:ascii="Arial" w:hAnsi="Arial" w:cs="Arial"/>
          <w:sz w:val="22"/>
          <w:szCs w:val="22"/>
        </w:rPr>
      </w:pPr>
      <w:r w:rsidRPr="00F329CF">
        <w:rPr>
          <w:rFonts w:ascii="Arial" w:hAnsi="Arial" w:cs="Arial"/>
          <w:b/>
          <w:bCs/>
          <w:sz w:val="22"/>
          <w:szCs w:val="22"/>
          <w:lang w:eastAsia="de-DE"/>
        </w:rPr>
        <w:t>A</w:t>
      </w:r>
      <w:r w:rsidR="001F63AC" w:rsidRPr="00F329CF">
        <w:rPr>
          <w:rFonts w:ascii="Arial" w:hAnsi="Arial" w:cs="Arial"/>
          <w:b/>
          <w:bCs/>
          <w:sz w:val="22"/>
          <w:szCs w:val="22"/>
          <w:lang w:eastAsia="de-DE"/>
        </w:rPr>
        <w:t xml:space="preserve">) </w:t>
      </w:r>
      <w:r w:rsidR="001F63AC" w:rsidRPr="00F329CF">
        <w:rPr>
          <w:rFonts w:ascii="Arial" w:hAnsi="Arial" w:cs="Arial"/>
          <w:sz w:val="22"/>
          <w:szCs w:val="22"/>
          <w:lang w:eastAsia="de-DE"/>
        </w:rPr>
        <w:t xml:space="preserve">Western Blot analysis of phosphorylation of IRE1 and eIF2a in the indicated PDCL-lines with increasing concentrations of LB100 for six hours (0 µ, 1 µM, 5 µM, 10 µM and 20 µM). HSP90: loading control (n = 1). </w:t>
      </w:r>
      <w:r w:rsidRPr="00F329CF">
        <w:rPr>
          <w:rFonts w:ascii="Arial" w:hAnsi="Arial" w:cs="Arial"/>
          <w:b/>
          <w:bCs/>
          <w:color w:val="000000" w:themeColor="text1"/>
          <w:sz w:val="22"/>
          <w:szCs w:val="22"/>
        </w:rPr>
        <w:t>B</w:t>
      </w:r>
      <w:r w:rsidR="001F63AC" w:rsidRPr="00F329CF">
        <w:rPr>
          <w:rFonts w:ascii="Arial" w:hAnsi="Arial" w:cs="Arial"/>
          <w:b/>
          <w:bCs/>
          <w:color w:val="000000" w:themeColor="text1"/>
          <w:sz w:val="22"/>
          <w:szCs w:val="22"/>
        </w:rPr>
        <w:t xml:space="preserve">) </w:t>
      </w:r>
      <w:r w:rsidR="001F63AC" w:rsidRPr="00F329CF">
        <w:rPr>
          <w:rFonts w:ascii="Arial" w:hAnsi="Arial" w:cs="Arial"/>
          <w:i/>
          <w:iCs/>
          <w:color w:val="000000" w:themeColor="text1"/>
          <w:sz w:val="22"/>
          <w:szCs w:val="22"/>
        </w:rPr>
        <w:t>Left:</w:t>
      </w:r>
      <w:r w:rsidR="001F63AC" w:rsidRPr="00F329CF">
        <w:rPr>
          <w:rFonts w:ascii="Arial" w:hAnsi="Arial" w:cs="Arial"/>
          <w:color w:val="000000" w:themeColor="text1"/>
          <w:sz w:val="22"/>
          <w:szCs w:val="22"/>
        </w:rPr>
        <w:t xml:space="preserve"> Immunocytochemistry was used for visualizing stress granules via the TIA-1 protein (red) after four hours of treatment with LB100 (20µM). Incubation with H2O2 (100µM, 24h) was used as a positive control (blue = DAPI staining). </w:t>
      </w:r>
      <w:r w:rsidR="001F63AC" w:rsidRPr="00F329CF">
        <w:rPr>
          <w:rFonts w:ascii="Arial" w:hAnsi="Arial" w:cs="Arial"/>
          <w:i/>
          <w:iCs/>
          <w:color w:val="000000" w:themeColor="text1"/>
          <w:sz w:val="22"/>
          <w:szCs w:val="22"/>
        </w:rPr>
        <w:t>Right:</w:t>
      </w:r>
      <w:r w:rsidR="001F63AC" w:rsidRPr="00F329CF">
        <w:rPr>
          <w:rFonts w:ascii="Arial" w:hAnsi="Arial" w:cs="Arial"/>
          <w:color w:val="000000" w:themeColor="text1"/>
          <w:sz w:val="22"/>
          <w:szCs w:val="22"/>
        </w:rPr>
        <w:t xml:space="preserve"> Quantification of TIA-1 stress granules per cell (TIA-1/DAPI) from </w:t>
      </w:r>
      <w:r w:rsidR="001E7FDC" w:rsidRPr="00F329CF">
        <w:rPr>
          <w:rFonts w:ascii="Arial" w:hAnsi="Arial" w:cs="Arial"/>
          <w:color w:val="000000" w:themeColor="text1"/>
          <w:sz w:val="22"/>
          <w:szCs w:val="22"/>
        </w:rPr>
        <w:t>b</w:t>
      </w:r>
      <w:r w:rsidR="001F63AC" w:rsidRPr="00F329CF">
        <w:rPr>
          <w:rFonts w:ascii="Arial" w:hAnsi="Arial" w:cs="Arial"/>
          <w:color w:val="000000" w:themeColor="text1"/>
          <w:sz w:val="22"/>
          <w:szCs w:val="22"/>
        </w:rPr>
        <w:t xml:space="preserve">) from a minimum of three independent biological replicates of two mesenchymal (red, 8248 and 3250) and epithelial (blue, 9591 and 8296) cell lines. Each dot represents one quantified picture. (* p&lt;0.05, **p&lt;0.01, ***p&lt;0.001, ANOVA with Bonferroni correction). </w:t>
      </w:r>
      <w:r w:rsidRPr="00F329CF">
        <w:rPr>
          <w:rFonts w:ascii="Arial" w:hAnsi="Arial" w:cs="Arial"/>
          <w:b/>
          <w:bCs/>
          <w:color w:val="000000" w:themeColor="text1"/>
          <w:sz w:val="22"/>
          <w:szCs w:val="22"/>
        </w:rPr>
        <w:t>C</w:t>
      </w:r>
      <w:r w:rsidR="001F63AC" w:rsidRPr="00F329CF">
        <w:rPr>
          <w:rFonts w:ascii="Arial" w:hAnsi="Arial" w:cs="Arial"/>
          <w:b/>
          <w:bCs/>
          <w:color w:val="000000" w:themeColor="text1"/>
          <w:sz w:val="22"/>
          <w:szCs w:val="22"/>
        </w:rPr>
        <w:t xml:space="preserve">) </w:t>
      </w:r>
      <w:r w:rsidR="001F63AC" w:rsidRPr="00F329CF">
        <w:rPr>
          <w:rFonts w:ascii="Arial" w:hAnsi="Arial" w:cs="Arial"/>
          <w:i/>
          <w:iCs/>
          <w:color w:val="000000" w:themeColor="text1"/>
          <w:sz w:val="22"/>
          <w:szCs w:val="22"/>
        </w:rPr>
        <w:t>Left:</w:t>
      </w:r>
      <w:r w:rsidR="001F63AC" w:rsidRPr="00F329CF">
        <w:rPr>
          <w:rFonts w:ascii="Arial" w:hAnsi="Arial" w:cs="Arial"/>
          <w:b/>
          <w:bCs/>
          <w:color w:val="000000" w:themeColor="text1"/>
          <w:sz w:val="22"/>
          <w:szCs w:val="22"/>
        </w:rPr>
        <w:t xml:space="preserve"> </w:t>
      </w:r>
      <w:r w:rsidR="001F63AC" w:rsidRPr="00F329CF">
        <w:rPr>
          <w:rFonts w:ascii="Arial" w:hAnsi="Arial" w:cs="Arial"/>
          <w:color w:val="000000" w:themeColor="text1"/>
          <w:sz w:val="22"/>
          <w:szCs w:val="22"/>
        </w:rPr>
        <w:t xml:space="preserve">Western Blot analysis of mesenchymal and epithelial cell lines after 6 hours of treatment with LB100 (20µM). Demonstrated is one representative western blot out of five independent experiments of the </w:t>
      </w:r>
      <w:r w:rsidR="001F63AC" w:rsidRPr="00F329CF">
        <w:rPr>
          <w:rFonts w:ascii="Arial" w:hAnsi="Arial" w:cs="Arial"/>
          <w:color w:val="000000" w:themeColor="text1"/>
          <w:sz w:val="22"/>
          <w:szCs w:val="22"/>
        </w:rPr>
        <w:lastRenderedPageBreak/>
        <w:t xml:space="preserve">autophagy marker LC3 I/II. HSP90: loading control. </w:t>
      </w:r>
      <w:r w:rsidR="001F63AC" w:rsidRPr="00F329CF">
        <w:rPr>
          <w:rFonts w:ascii="Arial" w:hAnsi="Arial" w:cs="Arial"/>
          <w:i/>
          <w:iCs/>
          <w:color w:val="000000" w:themeColor="text1"/>
          <w:sz w:val="22"/>
          <w:szCs w:val="22"/>
        </w:rPr>
        <w:t>Right:</w:t>
      </w:r>
      <w:r w:rsidR="001F63AC" w:rsidRPr="00F329CF">
        <w:rPr>
          <w:rFonts w:ascii="Arial" w:hAnsi="Arial" w:cs="Arial"/>
          <w:color w:val="000000" w:themeColor="text1"/>
          <w:sz w:val="22"/>
          <w:szCs w:val="22"/>
        </w:rPr>
        <w:t xml:space="preserve"> Quantification of LC3 II of the five independent experiments, normalized to mesenchymal control. *p&lt;0.05, two-tailed paired t-test. </w:t>
      </w:r>
      <w:r w:rsidRPr="00F329CF">
        <w:rPr>
          <w:rFonts w:ascii="Arial" w:hAnsi="Arial" w:cs="Arial"/>
          <w:b/>
          <w:bCs/>
          <w:sz w:val="22"/>
          <w:szCs w:val="22"/>
        </w:rPr>
        <w:t>D</w:t>
      </w:r>
      <w:r w:rsidR="001F63AC" w:rsidRPr="00F329CF">
        <w:rPr>
          <w:rFonts w:ascii="Arial" w:hAnsi="Arial" w:cs="Arial"/>
          <w:b/>
          <w:bCs/>
          <w:sz w:val="22"/>
          <w:szCs w:val="22"/>
        </w:rPr>
        <w:t>)</w:t>
      </w:r>
      <w:r w:rsidR="001F63AC" w:rsidRPr="00F329CF">
        <w:rPr>
          <w:rFonts w:ascii="Arial" w:hAnsi="Arial" w:cs="Arial"/>
          <w:sz w:val="22"/>
          <w:szCs w:val="22"/>
        </w:rPr>
        <w:t xml:space="preserve"> Representative images of LysoTracker® staining in the mesenchymal (8248) and epithelial (9591) PDAC cell line either treated with Chloroquine (20 µM, 24 hours) or LB100 (20 µM, 6 hours) are shown. Displayed </w:t>
      </w:r>
      <w:r w:rsidR="003D2C53" w:rsidRPr="00F329CF">
        <w:rPr>
          <w:rFonts w:ascii="Arial" w:hAnsi="Arial" w:cs="Arial"/>
          <w:sz w:val="22"/>
          <w:szCs w:val="22"/>
        </w:rPr>
        <w:t>are</w:t>
      </w:r>
      <w:r w:rsidR="001F63AC" w:rsidRPr="00F329CF">
        <w:rPr>
          <w:rFonts w:ascii="Arial" w:hAnsi="Arial" w:cs="Arial"/>
          <w:sz w:val="22"/>
          <w:szCs w:val="22"/>
        </w:rPr>
        <w:t xml:space="preserve"> the Nuclei </w:t>
      </w:r>
      <w:proofErr w:type="spellStart"/>
      <w:r w:rsidR="003D2C53" w:rsidRPr="00F329CF">
        <w:rPr>
          <w:rFonts w:ascii="Arial" w:hAnsi="Arial" w:cs="Arial"/>
          <w:sz w:val="22"/>
          <w:szCs w:val="22"/>
        </w:rPr>
        <w:t>s</w:t>
      </w:r>
      <w:r w:rsidR="001F63AC" w:rsidRPr="00F329CF">
        <w:rPr>
          <w:rFonts w:ascii="Arial" w:hAnsi="Arial" w:cs="Arial"/>
          <w:sz w:val="22"/>
          <w:szCs w:val="22"/>
        </w:rPr>
        <w:t>taining</w:t>
      </w:r>
      <w:r w:rsidR="003D2C53" w:rsidRPr="00F329CF">
        <w:rPr>
          <w:rFonts w:ascii="Arial" w:hAnsi="Arial" w:cs="Arial"/>
          <w:sz w:val="22"/>
          <w:szCs w:val="22"/>
        </w:rPr>
        <w:t>s</w:t>
      </w:r>
      <w:proofErr w:type="spellEnd"/>
      <w:r w:rsidR="001F63AC" w:rsidRPr="00F329CF">
        <w:rPr>
          <w:rFonts w:ascii="Arial" w:hAnsi="Arial" w:cs="Arial"/>
          <w:sz w:val="22"/>
          <w:szCs w:val="22"/>
        </w:rPr>
        <w:t xml:space="preserve"> via Hoechst 33342 (blue) and the Lysosomes (LysoTracker Deep Red® (L12492), green). Scalebar: 20 µm. </w:t>
      </w:r>
      <w:r w:rsidRPr="00F329CF">
        <w:rPr>
          <w:rFonts w:ascii="Arial" w:hAnsi="Arial" w:cs="Arial"/>
          <w:b/>
          <w:bCs/>
          <w:sz w:val="22"/>
          <w:szCs w:val="22"/>
        </w:rPr>
        <w:t>E</w:t>
      </w:r>
      <w:r w:rsidR="001F63AC" w:rsidRPr="00F329CF">
        <w:rPr>
          <w:rFonts w:ascii="Arial" w:hAnsi="Arial" w:cs="Arial"/>
          <w:b/>
          <w:bCs/>
          <w:sz w:val="22"/>
          <w:szCs w:val="22"/>
        </w:rPr>
        <w:t>)</w:t>
      </w:r>
      <w:r w:rsidR="001F63AC" w:rsidRPr="00F329CF">
        <w:rPr>
          <w:rFonts w:ascii="Arial" w:hAnsi="Arial" w:cs="Arial"/>
          <w:sz w:val="22"/>
          <w:szCs w:val="22"/>
        </w:rPr>
        <w:t xml:space="preserve"> Quantification of the mean fluorescence intensity per cell from three independent biological experiments from </w:t>
      </w:r>
      <w:r w:rsidR="001E7FDC" w:rsidRPr="00F329CF">
        <w:rPr>
          <w:rFonts w:ascii="Arial" w:hAnsi="Arial" w:cs="Arial"/>
          <w:sz w:val="22"/>
          <w:szCs w:val="22"/>
        </w:rPr>
        <w:t>d)</w:t>
      </w:r>
      <w:r w:rsidR="001F63AC" w:rsidRPr="00F329CF">
        <w:rPr>
          <w:rFonts w:ascii="Arial" w:hAnsi="Arial" w:cs="Arial"/>
          <w:sz w:val="22"/>
          <w:szCs w:val="22"/>
        </w:rPr>
        <w:t xml:space="preserve">. Each dot represents one quantified picture. (****p&lt;0.001, One-way ANOVA with Bonferroni correction). </w:t>
      </w:r>
      <w:r w:rsidR="00900062" w:rsidRPr="00F329CF">
        <w:rPr>
          <w:rFonts w:ascii="Arial" w:hAnsi="Arial" w:cs="Arial"/>
          <w:b/>
          <w:bCs/>
          <w:sz w:val="22"/>
          <w:szCs w:val="22"/>
        </w:rPr>
        <w:t>F</w:t>
      </w:r>
      <w:r w:rsidR="001F63AC" w:rsidRPr="00F329CF">
        <w:rPr>
          <w:rFonts w:ascii="Arial" w:hAnsi="Arial" w:cs="Arial"/>
          <w:b/>
          <w:bCs/>
          <w:sz w:val="22"/>
          <w:szCs w:val="22"/>
        </w:rPr>
        <w:t>)</w:t>
      </w:r>
      <w:r w:rsidR="001F63AC" w:rsidRPr="00F329CF">
        <w:rPr>
          <w:rFonts w:ascii="Arial" w:hAnsi="Arial" w:cs="Arial"/>
          <w:sz w:val="22"/>
          <w:szCs w:val="22"/>
        </w:rPr>
        <w:t xml:space="preserve"> Depicted are the representative images from the LysoTracker staining as in a human LB100-sensitive (red, MiaPaCa2) and resistant (blue, HUPT4) cell line. LB100 5 µM, 4 hours, Chloroquine 20 µM, 24 hours. </w:t>
      </w:r>
      <w:r w:rsidR="00900062" w:rsidRPr="00F329CF">
        <w:rPr>
          <w:rFonts w:ascii="Arial" w:hAnsi="Arial" w:cs="Arial"/>
          <w:b/>
          <w:bCs/>
          <w:sz w:val="22"/>
          <w:szCs w:val="22"/>
        </w:rPr>
        <w:t>G</w:t>
      </w:r>
      <w:r w:rsidR="001F63AC" w:rsidRPr="00F329CF">
        <w:rPr>
          <w:rFonts w:ascii="Arial" w:hAnsi="Arial" w:cs="Arial"/>
          <w:b/>
          <w:bCs/>
          <w:sz w:val="22"/>
          <w:szCs w:val="22"/>
        </w:rPr>
        <w:t>)</w:t>
      </w:r>
      <w:r w:rsidR="001F63AC" w:rsidRPr="00F329CF">
        <w:rPr>
          <w:rFonts w:ascii="Arial" w:hAnsi="Arial" w:cs="Arial"/>
          <w:sz w:val="22"/>
          <w:szCs w:val="22"/>
        </w:rPr>
        <w:t xml:space="preserve"> Quantification of e and from additional staining’s from the PDCL (PDC56 and PDC40, treatment as described in </w:t>
      </w:r>
      <w:r w:rsidR="001E7FDC" w:rsidRPr="00F329CF">
        <w:rPr>
          <w:rFonts w:ascii="Arial" w:hAnsi="Arial" w:cs="Arial"/>
          <w:sz w:val="22"/>
          <w:szCs w:val="22"/>
        </w:rPr>
        <w:t>f</w:t>
      </w:r>
      <w:r w:rsidR="001F63AC" w:rsidRPr="00F329CF">
        <w:rPr>
          <w:rFonts w:ascii="Arial" w:hAnsi="Arial" w:cs="Arial"/>
          <w:sz w:val="22"/>
          <w:szCs w:val="22"/>
        </w:rPr>
        <w:t>)) (one-way ANOVA, ***p&lt;0.001, **p&lt;0.01</w:t>
      </w:r>
      <w:r w:rsidR="00EC1D08" w:rsidRPr="00F329CF">
        <w:rPr>
          <w:rFonts w:ascii="Arial" w:hAnsi="Arial" w:cs="Arial"/>
          <w:sz w:val="22"/>
          <w:szCs w:val="22"/>
        </w:rPr>
        <w:t>, n = 2</w:t>
      </w:r>
      <w:r w:rsidR="001F63AC" w:rsidRPr="00F329CF">
        <w:rPr>
          <w:rFonts w:ascii="Arial" w:hAnsi="Arial" w:cs="Arial"/>
          <w:sz w:val="22"/>
          <w:szCs w:val="22"/>
        </w:rPr>
        <w:t xml:space="preserve">). </w:t>
      </w:r>
      <w:r w:rsidR="00900062" w:rsidRPr="00F329CF">
        <w:rPr>
          <w:rFonts w:ascii="Arial" w:hAnsi="Arial" w:cs="Arial"/>
          <w:b/>
          <w:bCs/>
          <w:sz w:val="22"/>
          <w:szCs w:val="22"/>
        </w:rPr>
        <w:t>H</w:t>
      </w:r>
      <w:r w:rsidR="001F63AC" w:rsidRPr="00F329CF">
        <w:rPr>
          <w:rFonts w:ascii="Arial" w:hAnsi="Arial" w:cs="Arial"/>
          <w:b/>
          <w:bCs/>
          <w:sz w:val="22"/>
          <w:szCs w:val="22"/>
        </w:rPr>
        <w:t xml:space="preserve">) </w:t>
      </w:r>
      <w:r w:rsidR="001F63AC" w:rsidRPr="00F329CF">
        <w:rPr>
          <w:rFonts w:ascii="Arial" w:hAnsi="Arial" w:cs="Arial"/>
          <w:i/>
          <w:iCs/>
          <w:sz w:val="22"/>
          <w:szCs w:val="22"/>
        </w:rPr>
        <w:t>Left:</w:t>
      </w:r>
      <w:r w:rsidR="001F63AC" w:rsidRPr="00F329CF">
        <w:rPr>
          <w:rFonts w:ascii="Arial" w:hAnsi="Arial" w:cs="Arial"/>
          <w:sz w:val="22"/>
          <w:szCs w:val="22"/>
        </w:rPr>
        <w:t xml:space="preserve"> Western Blot Analysis of p-ULK1 (S757), p-AMPK (T172) and pan AMPK after treatment with LB100 (20µM, 6 hours) or vehicle control</w:t>
      </w:r>
      <w:r w:rsidR="001E7FDC" w:rsidRPr="00F329CF">
        <w:rPr>
          <w:rFonts w:ascii="Arial" w:hAnsi="Arial" w:cs="Arial"/>
          <w:sz w:val="22"/>
          <w:szCs w:val="22"/>
        </w:rPr>
        <w:t>.</w:t>
      </w:r>
      <w:r w:rsidR="001F63AC" w:rsidRPr="00F329CF">
        <w:rPr>
          <w:rFonts w:ascii="Arial" w:hAnsi="Arial" w:cs="Arial"/>
          <w:sz w:val="22"/>
          <w:szCs w:val="22"/>
        </w:rPr>
        <w:t xml:space="preserve"> One representative blot out of minimum three independent experiments is shown. ß-actin: loading control. </w:t>
      </w:r>
      <w:r w:rsidR="001F63AC" w:rsidRPr="00F329CF">
        <w:rPr>
          <w:rFonts w:ascii="Arial" w:hAnsi="Arial" w:cs="Arial"/>
          <w:i/>
          <w:iCs/>
          <w:sz w:val="22"/>
          <w:szCs w:val="22"/>
        </w:rPr>
        <w:t>Right:</w:t>
      </w:r>
      <w:r w:rsidR="001F63AC" w:rsidRPr="00F329CF">
        <w:rPr>
          <w:rFonts w:ascii="Arial" w:hAnsi="Arial" w:cs="Arial"/>
          <w:sz w:val="22"/>
          <w:szCs w:val="22"/>
        </w:rPr>
        <w:t xml:space="preserve"> Quantification of the p-ULK1 signal of 5 independent experiments (Two-way ANOVA, * p&lt;0.05).</w:t>
      </w:r>
      <w:r w:rsidR="00952ECB" w:rsidRPr="00F329CF">
        <w:rPr>
          <w:rFonts w:ascii="Arial" w:hAnsi="Arial" w:cs="Arial"/>
          <w:sz w:val="22"/>
          <w:szCs w:val="22"/>
        </w:rPr>
        <w:t xml:space="preserve"> </w:t>
      </w:r>
    </w:p>
    <w:p w14:paraId="5FF6187E" w14:textId="77777777" w:rsidR="00574B5C" w:rsidRPr="00F329CF" w:rsidRDefault="00574B5C">
      <w:pPr>
        <w:rPr>
          <w:rFonts w:ascii="Arial" w:hAnsi="Arial" w:cs="Arial"/>
          <w:sz w:val="22"/>
          <w:szCs w:val="22"/>
        </w:rPr>
      </w:pPr>
      <w:r w:rsidRPr="00F329CF">
        <w:rPr>
          <w:rFonts w:ascii="Arial" w:hAnsi="Arial" w:cs="Arial"/>
          <w:sz w:val="22"/>
          <w:szCs w:val="22"/>
        </w:rPr>
        <w:br w:type="page"/>
      </w:r>
    </w:p>
    <w:p w14:paraId="6E10843F" w14:textId="77075E4B" w:rsidR="00900062" w:rsidRPr="00F329CF" w:rsidRDefault="00F329CF" w:rsidP="001F63AC">
      <w:pPr>
        <w:spacing w:line="480" w:lineRule="auto"/>
        <w:jc w:val="both"/>
        <w:rPr>
          <w:rFonts w:ascii="Arial" w:hAnsi="Arial" w:cs="Arial"/>
          <w:b/>
          <w:bCs/>
          <w:sz w:val="22"/>
          <w:szCs w:val="22"/>
          <w:lang w:eastAsia="de-DE"/>
        </w:rPr>
      </w:pPr>
      <w:r w:rsidRPr="00F329CF">
        <w:rPr>
          <w:rFonts w:ascii="Arial" w:hAnsi="Arial" w:cs="Arial"/>
          <w:b/>
          <w:bCs/>
          <w:noProof/>
          <w:sz w:val="22"/>
          <w:szCs w:val="22"/>
          <w:lang w:eastAsia="de-DE"/>
          <w14:ligatures w14:val="standardContextual"/>
        </w:rPr>
        <w:lastRenderedPageBreak/>
        <w:drawing>
          <wp:inline distT="0" distB="0" distL="0" distR="0" wp14:anchorId="70B95A74" wp14:editId="772A01A0">
            <wp:extent cx="5760720" cy="5247005"/>
            <wp:effectExtent l="0" t="0" r="5080" b="0"/>
            <wp:docPr id="32453958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539580" name="Grafik 32453958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5247005"/>
                    </a:xfrm>
                    <a:prstGeom prst="rect">
                      <a:avLst/>
                    </a:prstGeom>
                  </pic:spPr>
                </pic:pic>
              </a:graphicData>
            </a:graphic>
          </wp:inline>
        </w:drawing>
      </w:r>
    </w:p>
    <w:p w14:paraId="01EF392A" w14:textId="18A8E337" w:rsidR="001F63AC" w:rsidRPr="00F329CF" w:rsidRDefault="00E94DEC" w:rsidP="006279C2">
      <w:pPr>
        <w:spacing w:line="480" w:lineRule="auto"/>
        <w:jc w:val="both"/>
        <w:rPr>
          <w:rFonts w:ascii="Arial" w:hAnsi="Arial" w:cs="Arial"/>
          <w:b/>
          <w:bCs/>
          <w:sz w:val="22"/>
          <w:szCs w:val="22"/>
          <w:lang w:eastAsia="de-DE"/>
        </w:rPr>
      </w:pPr>
      <w:r w:rsidRPr="00F329CF">
        <w:rPr>
          <w:rFonts w:ascii="Arial" w:hAnsi="Arial" w:cs="Arial"/>
          <w:b/>
          <w:bCs/>
          <w:sz w:val="22"/>
          <w:szCs w:val="22"/>
        </w:rPr>
        <w:t>Fig</w:t>
      </w:r>
      <w:r w:rsidR="00F329CF" w:rsidRPr="00F329CF">
        <w:rPr>
          <w:rFonts w:ascii="Arial" w:hAnsi="Arial" w:cs="Arial"/>
          <w:b/>
          <w:bCs/>
          <w:sz w:val="22"/>
          <w:szCs w:val="22"/>
        </w:rPr>
        <w:t xml:space="preserve">ure </w:t>
      </w:r>
      <w:r w:rsidRPr="00F329CF">
        <w:rPr>
          <w:rFonts w:ascii="Arial" w:hAnsi="Arial" w:cs="Arial"/>
          <w:b/>
          <w:bCs/>
          <w:sz w:val="22"/>
          <w:szCs w:val="22"/>
        </w:rPr>
        <w:t>S</w:t>
      </w:r>
      <w:r w:rsidR="005966A6" w:rsidRPr="00F329CF">
        <w:rPr>
          <w:rFonts w:ascii="Arial" w:hAnsi="Arial" w:cs="Arial"/>
          <w:b/>
          <w:bCs/>
          <w:sz w:val="22"/>
          <w:szCs w:val="22"/>
        </w:rPr>
        <w:t>3</w:t>
      </w:r>
      <w:r w:rsidRPr="00F329CF">
        <w:rPr>
          <w:rFonts w:ascii="Arial" w:hAnsi="Arial" w:cs="Arial"/>
          <w:b/>
          <w:bCs/>
          <w:sz w:val="22"/>
          <w:szCs w:val="22"/>
        </w:rPr>
        <w:t xml:space="preserve"> </w:t>
      </w:r>
      <w:r w:rsidRPr="00F329CF">
        <w:rPr>
          <w:rFonts w:ascii="Arial" w:hAnsi="Arial" w:cs="Arial"/>
          <w:b/>
          <w:bCs/>
          <w:sz w:val="22"/>
          <w:szCs w:val="22"/>
          <w:lang w:eastAsia="de-DE"/>
        </w:rPr>
        <w:t>CRISPR-Cas drop-out screen</w:t>
      </w:r>
    </w:p>
    <w:p w14:paraId="69647F39" w14:textId="61E67E44" w:rsidR="00574B5C" w:rsidRPr="00F329CF" w:rsidRDefault="00A725C5" w:rsidP="00E94DEC">
      <w:pPr>
        <w:spacing w:line="480" w:lineRule="auto"/>
        <w:jc w:val="both"/>
        <w:rPr>
          <w:rFonts w:ascii="Arial" w:hAnsi="Arial" w:cs="Arial"/>
          <w:color w:val="000000" w:themeColor="text1"/>
          <w:sz w:val="22"/>
          <w:szCs w:val="22"/>
        </w:rPr>
      </w:pPr>
      <w:r w:rsidRPr="00F329CF">
        <w:rPr>
          <w:rFonts w:ascii="Arial" w:hAnsi="Arial" w:cs="Arial"/>
          <w:b/>
          <w:bCs/>
          <w:color w:val="000000" w:themeColor="text1"/>
          <w:sz w:val="22"/>
          <w:szCs w:val="22"/>
        </w:rPr>
        <w:t>A</w:t>
      </w:r>
      <w:r w:rsidR="00E94DEC" w:rsidRPr="00F329CF">
        <w:rPr>
          <w:rFonts w:ascii="Arial" w:hAnsi="Arial" w:cs="Arial"/>
          <w:b/>
          <w:bCs/>
          <w:color w:val="000000" w:themeColor="text1"/>
          <w:sz w:val="22"/>
          <w:szCs w:val="22"/>
        </w:rPr>
        <w:t xml:space="preserve">) </w:t>
      </w:r>
      <w:r w:rsidR="00E94DEC" w:rsidRPr="00F329CF">
        <w:rPr>
          <w:rFonts w:ascii="Arial" w:hAnsi="Arial" w:cs="Arial"/>
          <w:color w:val="000000" w:themeColor="text1"/>
          <w:sz w:val="22"/>
          <w:szCs w:val="22"/>
        </w:rPr>
        <w:t>and</w:t>
      </w:r>
      <w:r w:rsidR="00E94DEC" w:rsidRPr="00F329CF">
        <w:rPr>
          <w:rFonts w:ascii="Arial" w:hAnsi="Arial" w:cs="Arial"/>
          <w:b/>
          <w:bCs/>
          <w:color w:val="000000" w:themeColor="text1"/>
          <w:sz w:val="22"/>
          <w:szCs w:val="22"/>
        </w:rPr>
        <w:t xml:space="preserve"> </w:t>
      </w:r>
      <w:r w:rsidRPr="00F329CF">
        <w:rPr>
          <w:rFonts w:ascii="Arial" w:hAnsi="Arial" w:cs="Arial"/>
          <w:b/>
          <w:bCs/>
          <w:color w:val="000000" w:themeColor="text1"/>
          <w:sz w:val="22"/>
          <w:szCs w:val="22"/>
        </w:rPr>
        <w:t>B</w:t>
      </w:r>
      <w:r w:rsidR="00E94DEC" w:rsidRPr="00F329CF">
        <w:rPr>
          <w:rFonts w:ascii="Arial" w:hAnsi="Arial" w:cs="Arial"/>
          <w:b/>
          <w:bCs/>
          <w:color w:val="000000" w:themeColor="text1"/>
          <w:sz w:val="22"/>
          <w:szCs w:val="22"/>
        </w:rPr>
        <w:t xml:space="preserve">) </w:t>
      </w:r>
      <w:r w:rsidR="00E94DEC" w:rsidRPr="00F329CF">
        <w:rPr>
          <w:rFonts w:ascii="Arial" w:hAnsi="Arial" w:cs="Arial"/>
          <w:color w:val="000000" w:themeColor="text1"/>
          <w:sz w:val="22"/>
          <w:szCs w:val="22"/>
        </w:rPr>
        <w:t>Distribution of the</w:t>
      </w:r>
      <w:r w:rsidR="00E94DEC" w:rsidRPr="00F329CF">
        <w:rPr>
          <w:rFonts w:ascii="Arial" w:hAnsi="Arial" w:cs="Arial"/>
          <w:b/>
          <w:bCs/>
          <w:color w:val="000000" w:themeColor="text1"/>
          <w:sz w:val="22"/>
          <w:szCs w:val="22"/>
        </w:rPr>
        <w:t xml:space="preserve"> </w:t>
      </w:r>
      <w:r w:rsidR="00E94DEC" w:rsidRPr="00F329CF">
        <w:rPr>
          <w:rFonts w:ascii="Arial" w:hAnsi="Arial" w:cs="Arial"/>
          <w:color w:val="000000" w:themeColor="text1"/>
          <w:sz w:val="22"/>
          <w:szCs w:val="22"/>
        </w:rPr>
        <w:t>calculated delta beta scores of the drop-out screen in the murine PDAC cell line 9091 with a) LB100</w:t>
      </w:r>
      <w:r w:rsidR="003D2C53" w:rsidRPr="00F329CF">
        <w:rPr>
          <w:rFonts w:ascii="Arial" w:hAnsi="Arial" w:cs="Arial"/>
          <w:color w:val="000000" w:themeColor="text1"/>
          <w:sz w:val="22"/>
          <w:szCs w:val="22"/>
        </w:rPr>
        <w:t xml:space="preserve"> (10 µM)</w:t>
      </w:r>
      <w:r w:rsidR="00E94DEC" w:rsidRPr="00F329CF">
        <w:rPr>
          <w:rFonts w:ascii="Arial" w:hAnsi="Arial" w:cs="Arial"/>
          <w:color w:val="000000" w:themeColor="text1"/>
          <w:sz w:val="22"/>
          <w:szCs w:val="22"/>
        </w:rPr>
        <w:t xml:space="preserve"> and b) Phendione</w:t>
      </w:r>
      <w:r w:rsidR="003D2C53" w:rsidRPr="00F329CF">
        <w:rPr>
          <w:rFonts w:ascii="Arial" w:hAnsi="Arial" w:cs="Arial"/>
          <w:color w:val="000000" w:themeColor="text1"/>
          <w:sz w:val="22"/>
          <w:szCs w:val="22"/>
        </w:rPr>
        <w:t xml:space="preserve"> (100 nM)</w:t>
      </w:r>
      <w:r w:rsidR="00E94DEC" w:rsidRPr="00F329CF">
        <w:rPr>
          <w:rFonts w:ascii="Arial" w:hAnsi="Arial" w:cs="Arial"/>
          <w:color w:val="000000" w:themeColor="text1"/>
          <w:sz w:val="22"/>
          <w:szCs w:val="22"/>
        </w:rPr>
        <w:t xml:space="preserve">. Resistance: positive beta score, blue or synthetic lethal: negative beta score, red. </w:t>
      </w:r>
      <w:r w:rsidRPr="00F329CF">
        <w:rPr>
          <w:rFonts w:ascii="Arial" w:hAnsi="Arial" w:cs="Arial"/>
          <w:b/>
          <w:bCs/>
          <w:color w:val="000000" w:themeColor="text1"/>
          <w:sz w:val="22"/>
          <w:szCs w:val="22"/>
        </w:rPr>
        <w:t>C</w:t>
      </w:r>
      <w:r w:rsidR="00E94DEC" w:rsidRPr="00F329CF">
        <w:rPr>
          <w:rFonts w:ascii="Arial" w:hAnsi="Arial" w:cs="Arial"/>
          <w:b/>
          <w:bCs/>
          <w:color w:val="000000" w:themeColor="text1"/>
          <w:sz w:val="22"/>
          <w:szCs w:val="22"/>
        </w:rPr>
        <w:t xml:space="preserve">) </w:t>
      </w:r>
      <w:r w:rsidR="00E94DEC" w:rsidRPr="00F329CF">
        <w:rPr>
          <w:rFonts w:ascii="Arial" w:hAnsi="Arial" w:cs="Arial"/>
          <w:color w:val="000000" w:themeColor="text1"/>
          <w:sz w:val="22"/>
          <w:szCs w:val="22"/>
        </w:rPr>
        <w:t>and</w:t>
      </w:r>
      <w:r w:rsidR="00E94DEC" w:rsidRPr="00F329CF">
        <w:rPr>
          <w:rFonts w:ascii="Arial" w:hAnsi="Arial" w:cs="Arial"/>
          <w:b/>
          <w:bCs/>
          <w:color w:val="000000" w:themeColor="text1"/>
          <w:sz w:val="22"/>
          <w:szCs w:val="22"/>
        </w:rPr>
        <w:t xml:space="preserve"> </w:t>
      </w:r>
      <w:r w:rsidRPr="00F329CF">
        <w:rPr>
          <w:rFonts w:ascii="Arial" w:hAnsi="Arial" w:cs="Arial"/>
          <w:b/>
          <w:bCs/>
          <w:color w:val="000000" w:themeColor="text1"/>
          <w:sz w:val="22"/>
          <w:szCs w:val="22"/>
        </w:rPr>
        <w:t>D</w:t>
      </w:r>
      <w:r w:rsidR="00E94DEC" w:rsidRPr="00F329CF">
        <w:rPr>
          <w:rFonts w:ascii="Arial" w:hAnsi="Arial" w:cs="Arial"/>
          <w:b/>
          <w:bCs/>
          <w:color w:val="000000" w:themeColor="text1"/>
          <w:sz w:val="22"/>
          <w:szCs w:val="22"/>
        </w:rPr>
        <w:t xml:space="preserve">) </w:t>
      </w:r>
      <w:bookmarkStart w:id="8" w:name="OLE_LINK1"/>
      <w:r w:rsidR="00E94DEC" w:rsidRPr="00F329CF">
        <w:rPr>
          <w:rFonts w:ascii="Arial" w:hAnsi="Arial" w:cs="Arial"/>
          <w:color w:val="000000" w:themeColor="text1"/>
          <w:sz w:val="22"/>
          <w:szCs w:val="22"/>
        </w:rPr>
        <w:t>Delta beta scores of the screen were used as a rank for a pre-ranked GSEA using the GeneTRAIL3 web interface and the GO-BP signatures. c) LB100 screen, d) Phendione screen. Blue: resistance</w:t>
      </w:r>
      <w:bookmarkEnd w:id="8"/>
      <w:r w:rsidR="00E94DEC" w:rsidRPr="00F329CF">
        <w:rPr>
          <w:rFonts w:ascii="Arial" w:hAnsi="Arial" w:cs="Arial"/>
          <w:color w:val="000000" w:themeColor="text1"/>
          <w:sz w:val="22"/>
          <w:szCs w:val="22"/>
        </w:rPr>
        <w:t>, Red: synthetic lethality.</w:t>
      </w:r>
    </w:p>
    <w:p w14:paraId="3788C0EA" w14:textId="77777777" w:rsidR="00574B5C" w:rsidRPr="00F329CF" w:rsidRDefault="00574B5C">
      <w:pPr>
        <w:rPr>
          <w:rFonts w:ascii="Arial" w:hAnsi="Arial" w:cs="Arial"/>
          <w:color w:val="000000" w:themeColor="text1"/>
          <w:sz w:val="22"/>
          <w:szCs w:val="22"/>
        </w:rPr>
      </w:pPr>
      <w:r w:rsidRPr="00F329CF">
        <w:rPr>
          <w:rFonts w:ascii="Arial" w:hAnsi="Arial" w:cs="Arial"/>
          <w:color w:val="000000" w:themeColor="text1"/>
          <w:sz w:val="22"/>
          <w:szCs w:val="22"/>
        </w:rPr>
        <w:br w:type="page"/>
      </w:r>
    </w:p>
    <w:p w14:paraId="1334BE5C" w14:textId="6BB7DFCE" w:rsidR="00574B5C" w:rsidRPr="00F329CF" w:rsidRDefault="00F329CF" w:rsidP="005966A6">
      <w:pPr>
        <w:spacing w:line="480" w:lineRule="auto"/>
        <w:jc w:val="both"/>
        <w:rPr>
          <w:rFonts w:ascii="Arial" w:hAnsi="Arial" w:cs="Arial"/>
          <w:b/>
          <w:bCs/>
          <w:sz w:val="22"/>
          <w:szCs w:val="22"/>
        </w:rPr>
      </w:pPr>
      <w:r w:rsidRPr="00F329CF">
        <w:rPr>
          <w:rFonts w:ascii="Arial" w:hAnsi="Arial" w:cs="Arial"/>
          <w:b/>
          <w:bCs/>
          <w:noProof/>
          <w:sz w:val="22"/>
          <w:szCs w:val="22"/>
          <w14:ligatures w14:val="standardContextual"/>
        </w:rPr>
        <w:lastRenderedPageBreak/>
        <w:drawing>
          <wp:inline distT="0" distB="0" distL="0" distR="0" wp14:anchorId="0811CD70" wp14:editId="76CED0B7">
            <wp:extent cx="5760720" cy="6836410"/>
            <wp:effectExtent l="0" t="0" r="5080" b="0"/>
            <wp:docPr id="89139986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399862" name="Grafik 89139986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6836410"/>
                    </a:xfrm>
                    <a:prstGeom prst="rect">
                      <a:avLst/>
                    </a:prstGeom>
                  </pic:spPr>
                </pic:pic>
              </a:graphicData>
            </a:graphic>
          </wp:inline>
        </w:drawing>
      </w:r>
    </w:p>
    <w:p w14:paraId="6DE8518D" w14:textId="5745E580" w:rsidR="00952ECB" w:rsidRPr="00F329CF" w:rsidRDefault="00952ECB" w:rsidP="005966A6">
      <w:pPr>
        <w:spacing w:line="480" w:lineRule="auto"/>
        <w:jc w:val="both"/>
        <w:rPr>
          <w:rFonts w:ascii="Arial" w:hAnsi="Arial" w:cs="Arial"/>
          <w:b/>
          <w:bCs/>
          <w:sz w:val="22"/>
          <w:szCs w:val="22"/>
        </w:rPr>
      </w:pPr>
      <w:r w:rsidRPr="00F329CF">
        <w:rPr>
          <w:rFonts w:ascii="Arial" w:hAnsi="Arial" w:cs="Arial"/>
          <w:b/>
          <w:bCs/>
          <w:sz w:val="22"/>
          <w:szCs w:val="22"/>
        </w:rPr>
        <w:t>Fig</w:t>
      </w:r>
      <w:r w:rsidR="00F329CF" w:rsidRPr="00F329CF">
        <w:rPr>
          <w:rFonts w:ascii="Arial" w:hAnsi="Arial" w:cs="Arial"/>
          <w:b/>
          <w:bCs/>
          <w:sz w:val="22"/>
          <w:szCs w:val="22"/>
        </w:rPr>
        <w:t>ure</w:t>
      </w:r>
      <w:r w:rsidRPr="00F329CF">
        <w:rPr>
          <w:rFonts w:ascii="Arial" w:hAnsi="Arial" w:cs="Arial"/>
          <w:b/>
          <w:bCs/>
          <w:sz w:val="22"/>
          <w:szCs w:val="22"/>
        </w:rPr>
        <w:t xml:space="preserve"> S4 Knockdown of </w:t>
      </w:r>
      <w:r w:rsidRPr="00F329CF">
        <w:rPr>
          <w:rFonts w:ascii="Arial" w:hAnsi="Arial" w:cs="Arial"/>
          <w:b/>
          <w:bCs/>
          <w:i/>
          <w:iCs/>
          <w:sz w:val="22"/>
          <w:szCs w:val="22"/>
        </w:rPr>
        <w:t>PP</w:t>
      </w:r>
      <w:r w:rsidR="00AD55AF" w:rsidRPr="00F329CF">
        <w:rPr>
          <w:rFonts w:ascii="Arial" w:hAnsi="Arial" w:cs="Arial"/>
          <w:b/>
          <w:bCs/>
          <w:i/>
          <w:iCs/>
          <w:sz w:val="22"/>
          <w:szCs w:val="22"/>
        </w:rPr>
        <w:t>P2R1A</w:t>
      </w:r>
      <w:r w:rsidR="00AD55AF" w:rsidRPr="00F329CF">
        <w:rPr>
          <w:rFonts w:ascii="Arial" w:hAnsi="Arial" w:cs="Arial"/>
          <w:b/>
          <w:bCs/>
          <w:sz w:val="22"/>
          <w:szCs w:val="22"/>
        </w:rPr>
        <w:t xml:space="preserve"> in MiaPaCa2-CasRX cells</w:t>
      </w:r>
      <w:r w:rsidRPr="00F329CF">
        <w:rPr>
          <w:rFonts w:ascii="Arial" w:hAnsi="Arial" w:cs="Arial"/>
          <w:b/>
          <w:bCs/>
          <w:sz w:val="22"/>
          <w:szCs w:val="22"/>
        </w:rPr>
        <w:t xml:space="preserve"> </w:t>
      </w:r>
    </w:p>
    <w:p w14:paraId="2216D99A" w14:textId="167C8DCB" w:rsidR="00952ECB" w:rsidRPr="00F329CF" w:rsidRDefault="00AD55AF" w:rsidP="005966A6">
      <w:pPr>
        <w:spacing w:line="480" w:lineRule="auto"/>
        <w:jc w:val="both"/>
        <w:rPr>
          <w:rFonts w:ascii="Arial" w:hAnsi="Arial" w:cs="Arial"/>
          <w:sz w:val="22"/>
          <w:szCs w:val="22"/>
        </w:rPr>
      </w:pPr>
      <w:r w:rsidRPr="00F329CF">
        <w:rPr>
          <w:rFonts w:ascii="Arial" w:hAnsi="Arial" w:cs="Arial"/>
          <w:b/>
          <w:bCs/>
          <w:sz w:val="22"/>
          <w:szCs w:val="22"/>
        </w:rPr>
        <w:t>A)</w:t>
      </w:r>
      <w:r w:rsidRPr="00F329CF">
        <w:rPr>
          <w:rFonts w:ascii="Arial" w:hAnsi="Arial" w:cs="Arial"/>
          <w:sz w:val="22"/>
          <w:szCs w:val="22"/>
        </w:rPr>
        <w:t xml:space="preserve"> Western blot of PPP2R1A in parental MiaPaCa2, MiaPaCa2-CasRX, and MiaPaCa2-CasRX</w:t>
      </w:r>
      <w:r w:rsidR="006B0EA0" w:rsidRPr="00F329CF">
        <w:rPr>
          <w:rFonts w:ascii="Arial" w:hAnsi="Arial" w:cs="Arial"/>
          <w:sz w:val="22"/>
          <w:szCs w:val="22"/>
        </w:rPr>
        <w:t>-gRNA-PPP2R1A</w:t>
      </w:r>
      <w:r w:rsidRPr="00F329CF">
        <w:rPr>
          <w:rFonts w:ascii="Arial" w:hAnsi="Arial" w:cs="Arial"/>
          <w:sz w:val="22"/>
          <w:szCs w:val="22"/>
        </w:rPr>
        <w:t xml:space="preserve"> cells transduced with a gRNA targeting PPP2R1A. Vinculin: loading control. </w:t>
      </w:r>
      <w:r w:rsidRPr="00F329CF">
        <w:rPr>
          <w:rFonts w:ascii="Arial" w:hAnsi="Arial" w:cs="Arial"/>
          <w:b/>
          <w:bCs/>
          <w:sz w:val="22"/>
          <w:szCs w:val="22"/>
        </w:rPr>
        <w:t>B)</w:t>
      </w:r>
      <w:r w:rsidRPr="00F329CF">
        <w:rPr>
          <w:rFonts w:ascii="Arial" w:hAnsi="Arial" w:cs="Arial"/>
          <w:sz w:val="22"/>
          <w:szCs w:val="22"/>
        </w:rPr>
        <w:t xml:space="preserve"> Quantification of A). </w:t>
      </w:r>
      <w:r w:rsidR="00FD10D0">
        <w:rPr>
          <w:rFonts w:ascii="Arial" w:hAnsi="Arial" w:cs="Arial"/>
          <w:sz w:val="22"/>
          <w:szCs w:val="22"/>
        </w:rPr>
        <w:t>n</w:t>
      </w:r>
      <w:r w:rsidR="000648E5">
        <w:rPr>
          <w:rFonts w:ascii="Arial" w:hAnsi="Arial" w:cs="Arial"/>
          <w:sz w:val="22"/>
          <w:szCs w:val="22"/>
        </w:rPr>
        <w:t xml:space="preserve"> </w:t>
      </w:r>
      <w:r w:rsidR="00FD10D0">
        <w:rPr>
          <w:rFonts w:ascii="Arial" w:hAnsi="Arial" w:cs="Arial"/>
          <w:sz w:val="22"/>
          <w:szCs w:val="22"/>
        </w:rPr>
        <w:t>=</w:t>
      </w:r>
      <w:r w:rsidR="000648E5">
        <w:rPr>
          <w:rFonts w:ascii="Arial" w:hAnsi="Arial" w:cs="Arial"/>
          <w:sz w:val="22"/>
          <w:szCs w:val="22"/>
        </w:rPr>
        <w:t xml:space="preserve"> </w:t>
      </w:r>
      <w:r w:rsidR="00FD10D0">
        <w:rPr>
          <w:rFonts w:ascii="Arial" w:hAnsi="Arial" w:cs="Arial"/>
          <w:sz w:val="22"/>
          <w:szCs w:val="22"/>
        </w:rPr>
        <w:t xml:space="preserve">3, </w:t>
      </w:r>
      <w:r w:rsidR="00210B92" w:rsidRPr="00F329CF">
        <w:rPr>
          <w:rFonts w:ascii="Arial" w:hAnsi="Arial" w:cs="Arial"/>
          <w:sz w:val="22"/>
          <w:szCs w:val="22"/>
        </w:rPr>
        <w:t>**One-way ANOVA p value &lt; 0.01.</w:t>
      </w:r>
      <w:r w:rsidR="006B0EA0" w:rsidRPr="00F329CF">
        <w:rPr>
          <w:rFonts w:ascii="Arial" w:hAnsi="Arial" w:cs="Arial"/>
          <w:sz w:val="22"/>
          <w:szCs w:val="22"/>
        </w:rPr>
        <w:t xml:space="preserve"> </w:t>
      </w:r>
      <w:r w:rsidR="006B0EA0" w:rsidRPr="00F329CF">
        <w:rPr>
          <w:rFonts w:ascii="Arial" w:hAnsi="Arial" w:cs="Arial"/>
          <w:b/>
          <w:bCs/>
          <w:sz w:val="22"/>
          <w:szCs w:val="22"/>
        </w:rPr>
        <w:t>C)</w:t>
      </w:r>
      <w:r w:rsidR="006B0EA0" w:rsidRPr="00F329CF">
        <w:rPr>
          <w:rFonts w:ascii="Arial" w:hAnsi="Arial" w:cs="Arial"/>
          <w:sz w:val="22"/>
          <w:szCs w:val="22"/>
        </w:rPr>
        <w:t xml:space="preserve"> Relative growth of the cell lines described in A) was determined over the indicated time point</w:t>
      </w:r>
      <w:r w:rsidR="00A725C5" w:rsidRPr="00F329CF">
        <w:rPr>
          <w:rFonts w:ascii="Arial" w:hAnsi="Arial" w:cs="Arial"/>
          <w:sz w:val="22"/>
          <w:szCs w:val="22"/>
        </w:rPr>
        <w:t>s</w:t>
      </w:r>
      <w:r w:rsidR="006B0EA0" w:rsidRPr="00F329CF">
        <w:rPr>
          <w:rFonts w:ascii="Arial" w:hAnsi="Arial" w:cs="Arial"/>
          <w:sz w:val="22"/>
          <w:szCs w:val="22"/>
        </w:rPr>
        <w:t xml:space="preserve"> using cell titer glo assays. Left: 500 cells, Middle: 1,000 cells, Right: 2,000 cells were plated</w:t>
      </w:r>
      <w:r w:rsidR="00111C09">
        <w:rPr>
          <w:rFonts w:ascii="Arial" w:hAnsi="Arial" w:cs="Arial"/>
          <w:sz w:val="22"/>
          <w:szCs w:val="22"/>
        </w:rPr>
        <w:t xml:space="preserve"> in three </w:t>
      </w:r>
      <w:r w:rsidR="00111C09">
        <w:rPr>
          <w:rFonts w:ascii="Arial" w:hAnsi="Arial" w:cs="Arial"/>
          <w:sz w:val="22"/>
          <w:szCs w:val="22"/>
        </w:rPr>
        <w:lastRenderedPageBreak/>
        <w:t>independent experiments</w:t>
      </w:r>
      <w:r w:rsidR="006B0EA0" w:rsidRPr="00F329CF">
        <w:rPr>
          <w:rFonts w:ascii="Arial" w:hAnsi="Arial" w:cs="Arial"/>
          <w:sz w:val="22"/>
          <w:szCs w:val="22"/>
        </w:rPr>
        <w:t>.</w:t>
      </w:r>
      <w:r w:rsidR="00210B92" w:rsidRPr="00F329CF">
        <w:rPr>
          <w:rFonts w:ascii="Arial" w:hAnsi="Arial" w:cs="Arial"/>
          <w:sz w:val="22"/>
          <w:szCs w:val="22"/>
        </w:rPr>
        <w:t xml:space="preserve"> </w:t>
      </w:r>
      <w:r w:rsidR="00210B92" w:rsidRPr="00F329CF">
        <w:rPr>
          <w:rFonts w:ascii="Arial" w:hAnsi="Arial" w:cs="Arial"/>
          <w:b/>
          <w:bCs/>
          <w:sz w:val="22"/>
          <w:szCs w:val="22"/>
        </w:rPr>
        <w:t>D)</w:t>
      </w:r>
      <w:r w:rsidR="00210B92" w:rsidRPr="00F329CF">
        <w:rPr>
          <w:rFonts w:ascii="Arial" w:hAnsi="Arial" w:cs="Arial"/>
          <w:sz w:val="22"/>
          <w:szCs w:val="22"/>
        </w:rPr>
        <w:t xml:space="preserve"> </w:t>
      </w:r>
      <w:r w:rsidR="00210B92" w:rsidRPr="00F329CF">
        <w:rPr>
          <w:rFonts w:ascii="Arial" w:hAnsi="Arial" w:cs="Arial"/>
          <w:i/>
          <w:iCs/>
          <w:color w:val="000000" w:themeColor="text1"/>
          <w:sz w:val="22"/>
          <w:szCs w:val="22"/>
        </w:rPr>
        <w:t>PPP2R1A</w:t>
      </w:r>
      <w:r w:rsidR="00210B92" w:rsidRPr="00F329CF">
        <w:rPr>
          <w:rFonts w:ascii="Arial" w:hAnsi="Arial" w:cs="Arial"/>
          <w:color w:val="000000" w:themeColor="text1"/>
          <w:sz w:val="22"/>
          <w:szCs w:val="22"/>
        </w:rPr>
        <w:t xml:space="preserve"> gene effects of a </w:t>
      </w:r>
      <w:r w:rsidR="00210B92" w:rsidRPr="00F329CF">
        <w:rPr>
          <w:rFonts w:ascii="Arial" w:hAnsi="Arial" w:cs="Arial"/>
          <w:color w:val="000000" w:themeColor="text1"/>
          <w:sz w:val="22"/>
          <w:szCs w:val="22"/>
          <w:shd w:val="clear" w:color="auto" w:fill="FFFFFF"/>
        </w:rPr>
        <w:t xml:space="preserve">CRISPR-Cas9 </w:t>
      </w:r>
      <w:r w:rsidR="00210B92" w:rsidRPr="00F329CF">
        <w:rPr>
          <w:rFonts w:ascii="Arial" w:hAnsi="Arial" w:cs="Arial"/>
          <w:color w:val="000000" w:themeColor="text1"/>
          <w:sz w:val="22"/>
          <w:szCs w:val="22"/>
        </w:rPr>
        <w:t>drop-out score (Chronos) for n = 48</w:t>
      </w:r>
      <w:r w:rsidR="00210B92" w:rsidRPr="00F329CF">
        <w:rPr>
          <w:rFonts w:ascii="Arial" w:hAnsi="Arial" w:cs="Arial"/>
          <w:color w:val="C00000"/>
          <w:sz w:val="22"/>
          <w:szCs w:val="22"/>
        </w:rPr>
        <w:t xml:space="preserve"> </w:t>
      </w:r>
      <w:r w:rsidR="00210B92" w:rsidRPr="00F329CF">
        <w:rPr>
          <w:rFonts w:ascii="Arial" w:hAnsi="Arial" w:cs="Arial"/>
          <w:color w:val="000000" w:themeColor="text1"/>
          <w:sz w:val="22"/>
          <w:szCs w:val="22"/>
        </w:rPr>
        <w:t xml:space="preserve">PDAC cell lines were retrieved via the </w:t>
      </w:r>
      <w:proofErr w:type="spellStart"/>
      <w:r w:rsidR="00210B92" w:rsidRPr="00F329CF">
        <w:rPr>
          <w:rFonts w:ascii="Arial" w:hAnsi="Arial" w:cs="Arial"/>
          <w:color w:val="000000" w:themeColor="text1"/>
          <w:sz w:val="22"/>
          <w:szCs w:val="22"/>
        </w:rPr>
        <w:t>DepMap</w:t>
      </w:r>
      <w:proofErr w:type="spellEnd"/>
      <w:r w:rsidR="00210B92" w:rsidRPr="00F329CF">
        <w:rPr>
          <w:rFonts w:ascii="Arial" w:hAnsi="Arial" w:cs="Arial"/>
          <w:color w:val="000000" w:themeColor="text1"/>
          <w:sz w:val="22"/>
          <w:szCs w:val="22"/>
        </w:rPr>
        <w:t xml:space="preserve"> portal (</w:t>
      </w:r>
      <w:proofErr w:type="spellStart"/>
      <w:r w:rsidR="00210B92" w:rsidRPr="00F329CF">
        <w:rPr>
          <w:rFonts w:ascii="Arial" w:hAnsi="Arial" w:cs="Arial"/>
          <w:color w:val="000000" w:themeColor="text1"/>
          <w:sz w:val="22"/>
          <w:szCs w:val="22"/>
        </w:rPr>
        <w:t>DepMap</w:t>
      </w:r>
      <w:proofErr w:type="spellEnd"/>
      <w:r w:rsidR="00210B92" w:rsidRPr="00F329CF">
        <w:rPr>
          <w:rFonts w:ascii="Arial" w:hAnsi="Arial" w:cs="Arial"/>
          <w:color w:val="000000" w:themeColor="text1"/>
          <w:sz w:val="22"/>
          <w:szCs w:val="22"/>
        </w:rPr>
        <w:t xml:space="preserve"> Public 25Q3). </w:t>
      </w:r>
      <w:r w:rsidR="006B0EA0" w:rsidRPr="00F329CF">
        <w:rPr>
          <w:rFonts w:ascii="Arial" w:hAnsi="Arial" w:cs="Arial"/>
          <w:b/>
          <w:bCs/>
          <w:color w:val="000000" w:themeColor="text1"/>
          <w:sz w:val="22"/>
          <w:szCs w:val="22"/>
        </w:rPr>
        <w:t>E)</w:t>
      </w:r>
      <w:r w:rsidR="006B0EA0" w:rsidRPr="00F329CF">
        <w:rPr>
          <w:rFonts w:ascii="Arial" w:hAnsi="Arial" w:cs="Arial"/>
          <w:color w:val="000000" w:themeColor="text1"/>
          <w:sz w:val="22"/>
          <w:szCs w:val="22"/>
        </w:rPr>
        <w:t xml:space="preserve"> </w:t>
      </w:r>
      <w:r w:rsidR="006B0EA0" w:rsidRPr="00F329CF">
        <w:rPr>
          <w:rFonts w:ascii="Arial" w:hAnsi="Arial" w:cs="Arial"/>
          <w:i/>
          <w:iCs/>
          <w:sz w:val="22"/>
          <w:szCs w:val="22"/>
        </w:rPr>
        <w:t>PPP2R1A</w:t>
      </w:r>
      <w:r w:rsidR="006B0EA0" w:rsidRPr="00F329CF">
        <w:rPr>
          <w:rFonts w:ascii="Arial" w:hAnsi="Arial" w:cs="Arial"/>
          <w:color w:val="000000" w:themeColor="text1"/>
          <w:sz w:val="22"/>
          <w:szCs w:val="22"/>
        </w:rPr>
        <w:t xml:space="preserve"> mRNA expression log fold change of </w:t>
      </w:r>
      <w:r w:rsidR="006B0EA0" w:rsidRPr="00F329CF">
        <w:rPr>
          <w:rFonts w:ascii="Arial" w:hAnsi="Arial" w:cs="Arial"/>
          <w:sz w:val="22"/>
          <w:szCs w:val="22"/>
        </w:rPr>
        <w:t xml:space="preserve">MiaPaCa2-CasRX and MiaPaCa2-CasRX-gRNA-PPP2R1A </w:t>
      </w:r>
      <w:r w:rsidR="006B0EA0" w:rsidRPr="00F329CF">
        <w:rPr>
          <w:rFonts w:ascii="Arial" w:hAnsi="Arial" w:cs="Arial"/>
          <w:color w:val="000000" w:themeColor="text1"/>
          <w:sz w:val="22"/>
          <w:szCs w:val="22"/>
        </w:rPr>
        <w:t xml:space="preserve">was computed in three </w:t>
      </w:r>
      <w:r w:rsidR="00B3144C" w:rsidRPr="00F329CF">
        <w:rPr>
          <w:rFonts w:ascii="Arial" w:hAnsi="Arial" w:cs="Arial"/>
          <w:color w:val="000000" w:themeColor="text1"/>
          <w:sz w:val="22"/>
          <w:szCs w:val="22"/>
        </w:rPr>
        <w:t xml:space="preserve">independent </w:t>
      </w:r>
      <w:r w:rsidR="006B0EA0" w:rsidRPr="00F329CF">
        <w:rPr>
          <w:rFonts w:ascii="Arial" w:hAnsi="Arial" w:cs="Arial"/>
          <w:color w:val="000000" w:themeColor="text1"/>
          <w:sz w:val="22"/>
          <w:szCs w:val="22"/>
        </w:rPr>
        <w:t>replicates generated over th</w:t>
      </w:r>
      <w:r w:rsidR="00B3144C" w:rsidRPr="00F329CF">
        <w:rPr>
          <w:rFonts w:ascii="Arial" w:hAnsi="Arial" w:cs="Arial"/>
          <w:color w:val="000000" w:themeColor="text1"/>
          <w:sz w:val="22"/>
          <w:szCs w:val="22"/>
        </w:rPr>
        <w:t xml:space="preserve">ree weeks. For each </w:t>
      </w:r>
      <w:r w:rsidR="00597C96" w:rsidRPr="00F329CF">
        <w:rPr>
          <w:rFonts w:ascii="Arial" w:hAnsi="Arial" w:cs="Arial"/>
          <w:color w:val="000000" w:themeColor="text1"/>
          <w:sz w:val="22"/>
          <w:szCs w:val="22"/>
        </w:rPr>
        <w:t>sample</w:t>
      </w:r>
      <w:r w:rsidR="00B3144C" w:rsidRPr="00F329CF">
        <w:rPr>
          <w:rFonts w:ascii="Arial" w:hAnsi="Arial" w:cs="Arial"/>
          <w:color w:val="000000" w:themeColor="text1"/>
          <w:sz w:val="22"/>
          <w:szCs w:val="22"/>
        </w:rPr>
        <w:t xml:space="preserve"> the log fold change is calculated and depicted</w:t>
      </w:r>
      <w:r w:rsidR="006B0EA0" w:rsidRPr="00F329CF">
        <w:rPr>
          <w:rFonts w:ascii="Arial" w:hAnsi="Arial" w:cs="Arial"/>
          <w:color w:val="000000" w:themeColor="text1"/>
          <w:sz w:val="22"/>
          <w:szCs w:val="22"/>
        </w:rPr>
        <w:t xml:space="preserve">. </w:t>
      </w:r>
      <w:r w:rsidR="006B0EA0" w:rsidRPr="00F329CF">
        <w:rPr>
          <w:rFonts w:ascii="Arial" w:hAnsi="Arial" w:cs="Arial"/>
          <w:b/>
          <w:bCs/>
          <w:color w:val="000000" w:themeColor="text1"/>
          <w:sz w:val="22"/>
          <w:szCs w:val="22"/>
        </w:rPr>
        <w:t>F)</w:t>
      </w:r>
      <w:r w:rsidR="006B0EA0" w:rsidRPr="00F329CF">
        <w:rPr>
          <w:rFonts w:ascii="Arial" w:hAnsi="Arial" w:cs="Arial"/>
          <w:color w:val="000000" w:themeColor="text1"/>
          <w:sz w:val="22"/>
          <w:szCs w:val="22"/>
        </w:rPr>
        <w:t xml:space="preserve"> and </w:t>
      </w:r>
      <w:r w:rsidR="006B0EA0" w:rsidRPr="00F329CF">
        <w:rPr>
          <w:rFonts w:ascii="Arial" w:hAnsi="Arial" w:cs="Arial"/>
          <w:b/>
          <w:bCs/>
          <w:color w:val="000000" w:themeColor="text1"/>
          <w:sz w:val="22"/>
          <w:szCs w:val="22"/>
        </w:rPr>
        <w:t>G)</w:t>
      </w:r>
      <w:r w:rsidR="006B0EA0" w:rsidRPr="00F329CF">
        <w:rPr>
          <w:rFonts w:ascii="Arial" w:hAnsi="Arial" w:cs="Arial"/>
          <w:color w:val="000000" w:themeColor="text1"/>
          <w:sz w:val="22"/>
          <w:szCs w:val="22"/>
        </w:rPr>
        <w:t xml:space="preserve"> pathways connected to the LB100 Crispr</w:t>
      </w:r>
      <w:r w:rsidR="00B2355E" w:rsidRPr="00F329CF">
        <w:rPr>
          <w:rFonts w:ascii="Arial" w:hAnsi="Arial" w:cs="Arial"/>
          <w:color w:val="000000" w:themeColor="text1"/>
          <w:sz w:val="22"/>
          <w:szCs w:val="22"/>
        </w:rPr>
        <w:t xml:space="preserve"> drop-out screen</w:t>
      </w:r>
      <w:r w:rsidR="006B0EA0" w:rsidRPr="00F329CF">
        <w:rPr>
          <w:rFonts w:ascii="Arial" w:hAnsi="Arial" w:cs="Arial"/>
          <w:color w:val="000000" w:themeColor="text1"/>
          <w:sz w:val="22"/>
          <w:szCs w:val="22"/>
        </w:rPr>
        <w:t xml:space="preserve"> in MiaPaCa2 cells and genes deregulated </w:t>
      </w:r>
      <w:r w:rsidR="00B2355E" w:rsidRPr="00F329CF">
        <w:rPr>
          <w:rFonts w:ascii="Arial" w:hAnsi="Arial" w:cs="Arial"/>
          <w:color w:val="000000" w:themeColor="text1"/>
          <w:sz w:val="22"/>
          <w:szCs w:val="22"/>
        </w:rPr>
        <w:t>up</w:t>
      </w:r>
      <w:r w:rsidR="00222311" w:rsidRPr="00F329CF">
        <w:rPr>
          <w:rFonts w:ascii="Arial" w:hAnsi="Arial" w:cs="Arial"/>
          <w:color w:val="000000" w:themeColor="text1"/>
          <w:sz w:val="22"/>
          <w:szCs w:val="22"/>
        </w:rPr>
        <w:t xml:space="preserve">on </w:t>
      </w:r>
      <w:r w:rsidR="00222311" w:rsidRPr="00F329CF">
        <w:rPr>
          <w:rFonts w:ascii="Arial" w:hAnsi="Arial" w:cs="Arial"/>
          <w:i/>
          <w:iCs/>
          <w:sz w:val="22"/>
          <w:szCs w:val="22"/>
        </w:rPr>
        <w:t>PPP2R1A</w:t>
      </w:r>
      <w:r w:rsidR="00222311" w:rsidRPr="00F329CF">
        <w:rPr>
          <w:rFonts w:ascii="Arial" w:hAnsi="Arial" w:cs="Arial"/>
          <w:color w:val="000000" w:themeColor="text1"/>
          <w:sz w:val="22"/>
          <w:szCs w:val="22"/>
        </w:rPr>
        <w:t xml:space="preserve"> knockdown in </w:t>
      </w:r>
      <w:r w:rsidR="00222311" w:rsidRPr="00F329CF">
        <w:rPr>
          <w:rFonts w:ascii="Arial" w:hAnsi="Arial" w:cs="Arial"/>
          <w:sz w:val="22"/>
          <w:szCs w:val="22"/>
        </w:rPr>
        <w:t>MiaPaCa2-CasRX-gRNA-PPP2R1A cells. F) GO-BP-terms, G) HALLMARKS.</w:t>
      </w:r>
      <w:r w:rsidR="00222311" w:rsidRPr="00F329CF">
        <w:rPr>
          <w:rFonts w:ascii="Arial" w:hAnsi="Arial" w:cs="Arial"/>
          <w:color w:val="000000" w:themeColor="text1"/>
          <w:sz w:val="22"/>
          <w:szCs w:val="22"/>
        </w:rPr>
        <w:t xml:space="preserve"> </w:t>
      </w:r>
      <w:r w:rsidR="00222311" w:rsidRPr="00F329CF">
        <w:rPr>
          <w:rFonts w:ascii="Arial" w:hAnsi="Arial" w:cs="Arial"/>
          <w:b/>
          <w:bCs/>
          <w:color w:val="000000" w:themeColor="text1"/>
          <w:sz w:val="22"/>
          <w:szCs w:val="22"/>
        </w:rPr>
        <w:t>H)</w:t>
      </w:r>
      <w:r w:rsidR="00222311" w:rsidRPr="00F329CF">
        <w:rPr>
          <w:rFonts w:ascii="Arial" w:hAnsi="Arial" w:cs="Arial"/>
          <w:color w:val="000000" w:themeColor="text1"/>
          <w:sz w:val="22"/>
          <w:szCs w:val="22"/>
        </w:rPr>
        <w:t xml:space="preserve"> </w:t>
      </w:r>
      <w:r w:rsidR="00A725C5" w:rsidRPr="00F329CF">
        <w:rPr>
          <w:rFonts w:ascii="Arial" w:hAnsi="Arial" w:cs="Arial"/>
          <w:color w:val="000000" w:themeColor="text1"/>
          <w:sz w:val="22"/>
          <w:szCs w:val="22"/>
        </w:rPr>
        <w:t>Overlapping</w:t>
      </w:r>
      <w:r w:rsidR="00222311" w:rsidRPr="00F329CF">
        <w:rPr>
          <w:rFonts w:ascii="Arial" w:hAnsi="Arial" w:cs="Arial"/>
          <w:color w:val="000000" w:themeColor="text1"/>
          <w:sz w:val="22"/>
          <w:szCs w:val="22"/>
        </w:rPr>
        <w:t xml:space="preserve"> pathways regulated by LB100 treatment and </w:t>
      </w:r>
      <w:r w:rsidR="00222311" w:rsidRPr="00F329CF">
        <w:rPr>
          <w:rFonts w:ascii="Arial" w:hAnsi="Arial" w:cs="Arial"/>
          <w:sz w:val="22"/>
          <w:szCs w:val="22"/>
        </w:rPr>
        <w:t>PPP2R1A knock-down in MiaPaCa2 cells.</w:t>
      </w:r>
      <w:r w:rsidR="00210B92" w:rsidRPr="00F329CF">
        <w:rPr>
          <w:rFonts w:ascii="Arial" w:hAnsi="Arial" w:cs="Arial"/>
          <w:sz w:val="22"/>
          <w:szCs w:val="22"/>
        </w:rPr>
        <w:t xml:space="preserve"> </w:t>
      </w:r>
    </w:p>
    <w:p w14:paraId="6D630887" w14:textId="0B4B0C9F" w:rsidR="00222311" w:rsidRPr="00F329CF" w:rsidRDefault="00222311">
      <w:pPr>
        <w:rPr>
          <w:rFonts w:ascii="Arial" w:hAnsi="Arial" w:cs="Arial"/>
          <w:sz w:val="22"/>
          <w:szCs w:val="22"/>
        </w:rPr>
      </w:pPr>
      <w:r w:rsidRPr="00F329CF">
        <w:rPr>
          <w:rFonts w:ascii="Arial" w:hAnsi="Arial" w:cs="Arial"/>
          <w:sz w:val="22"/>
          <w:szCs w:val="22"/>
        </w:rPr>
        <w:br w:type="page"/>
      </w:r>
    </w:p>
    <w:p w14:paraId="547A56FA" w14:textId="35FA3FCF" w:rsidR="00952ECB" w:rsidRPr="00F329CF" w:rsidRDefault="00F329CF" w:rsidP="005966A6">
      <w:pPr>
        <w:spacing w:line="480" w:lineRule="auto"/>
        <w:jc w:val="both"/>
        <w:rPr>
          <w:rFonts w:ascii="Arial" w:hAnsi="Arial" w:cs="Arial"/>
          <w:b/>
          <w:bCs/>
          <w:sz w:val="22"/>
          <w:szCs w:val="22"/>
        </w:rPr>
      </w:pPr>
      <w:r w:rsidRPr="00F329CF">
        <w:rPr>
          <w:rFonts w:ascii="Arial" w:hAnsi="Arial" w:cs="Arial"/>
          <w:b/>
          <w:bCs/>
          <w:noProof/>
          <w:sz w:val="22"/>
          <w:szCs w:val="22"/>
          <w14:ligatures w14:val="standardContextual"/>
        </w:rPr>
        <w:lastRenderedPageBreak/>
        <w:drawing>
          <wp:inline distT="0" distB="0" distL="0" distR="0" wp14:anchorId="5C6EB30D" wp14:editId="3B2E35B2">
            <wp:extent cx="5760720" cy="4613275"/>
            <wp:effectExtent l="0" t="0" r="5080" b="0"/>
            <wp:docPr id="142830981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309812" name="Grafik 142830981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60720" cy="4613275"/>
                    </a:xfrm>
                    <a:prstGeom prst="rect">
                      <a:avLst/>
                    </a:prstGeom>
                  </pic:spPr>
                </pic:pic>
              </a:graphicData>
            </a:graphic>
          </wp:inline>
        </w:drawing>
      </w:r>
    </w:p>
    <w:p w14:paraId="0777F666" w14:textId="5E8C092E" w:rsidR="005966A6" w:rsidRPr="00F329CF" w:rsidRDefault="005966A6" w:rsidP="005966A6">
      <w:pPr>
        <w:spacing w:line="480" w:lineRule="auto"/>
        <w:jc w:val="both"/>
        <w:rPr>
          <w:rFonts w:ascii="Arial" w:hAnsi="Arial" w:cs="Arial"/>
          <w:b/>
          <w:bCs/>
          <w:sz w:val="22"/>
          <w:szCs w:val="22"/>
          <w:lang w:eastAsia="de-DE"/>
        </w:rPr>
      </w:pPr>
      <w:r w:rsidRPr="00F329CF">
        <w:rPr>
          <w:rFonts w:ascii="Arial" w:hAnsi="Arial" w:cs="Arial"/>
          <w:b/>
          <w:bCs/>
          <w:sz w:val="22"/>
          <w:szCs w:val="22"/>
        </w:rPr>
        <w:t>Fig</w:t>
      </w:r>
      <w:r w:rsidR="00F329CF" w:rsidRPr="00F329CF">
        <w:rPr>
          <w:rFonts w:ascii="Arial" w:hAnsi="Arial" w:cs="Arial"/>
          <w:b/>
          <w:bCs/>
          <w:sz w:val="22"/>
          <w:szCs w:val="22"/>
        </w:rPr>
        <w:t>ure</w:t>
      </w:r>
      <w:r w:rsidRPr="00F329CF">
        <w:rPr>
          <w:rFonts w:ascii="Arial" w:hAnsi="Arial" w:cs="Arial"/>
          <w:b/>
          <w:bCs/>
          <w:sz w:val="22"/>
          <w:szCs w:val="22"/>
        </w:rPr>
        <w:t xml:space="preserve"> S</w:t>
      </w:r>
      <w:r w:rsidR="00952ECB" w:rsidRPr="00F329CF">
        <w:rPr>
          <w:rFonts w:ascii="Arial" w:hAnsi="Arial" w:cs="Arial"/>
          <w:b/>
          <w:bCs/>
          <w:sz w:val="22"/>
          <w:szCs w:val="22"/>
        </w:rPr>
        <w:t>5</w:t>
      </w:r>
      <w:r w:rsidRPr="00F329CF">
        <w:rPr>
          <w:rFonts w:ascii="Arial" w:hAnsi="Arial" w:cs="Arial"/>
          <w:b/>
          <w:bCs/>
          <w:sz w:val="22"/>
          <w:szCs w:val="22"/>
        </w:rPr>
        <w:t xml:space="preserve"> </w:t>
      </w:r>
      <w:r w:rsidR="00414459" w:rsidRPr="00F329CF">
        <w:rPr>
          <w:rFonts w:ascii="Arial" w:hAnsi="Arial" w:cs="Arial"/>
          <w:b/>
          <w:bCs/>
          <w:sz w:val="22"/>
          <w:szCs w:val="22"/>
          <w:lang w:eastAsia="de-DE"/>
        </w:rPr>
        <w:t>PP2</w:t>
      </w:r>
      <w:r w:rsidR="00D133D5" w:rsidRPr="00F329CF">
        <w:rPr>
          <w:rFonts w:ascii="Arial" w:hAnsi="Arial" w:cs="Arial"/>
          <w:b/>
          <w:bCs/>
          <w:sz w:val="22"/>
          <w:szCs w:val="22"/>
          <w:lang w:eastAsia="de-DE"/>
        </w:rPr>
        <w:t>A</w:t>
      </w:r>
      <w:r w:rsidR="00414459" w:rsidRPr="00F329CF">
        <w:rPr>
          <w:rFonts w:ascii="Arial" w:hAnsi="Arial" w:cs="Arial"/>
          <w:b/>
          <w:bCs/>
          <w:sz w:val="22"/>
          <w:szCs w:val="22"/>
          <w:lang w:eastAsia="de-DE"/>
        </w:rPr>
        <w:t xml:space="preserve"> and the transcription cycle</w:t>
      </w:r>
    </w:p>
    <w:p w14:paraId="006E96A6" w14:textId="55FCFC4D" w:rsidR="00041EC3" w:rsidRPr="00F329CF" w:rsidRDefault="00952ECB" w:rsidP="00041EC3">
      <w:pPr>
        <w:spacing w:line="480" w:lineRule="auto"/>
        <w:jc w:val="both"/>
        <w:rPr>
          <w:rFonts w:ascii="Arial" w:hAnsi="Arial" w:cs="Arial"/>
          <w:sz w:val="22"/>
          <w:szCs w:val="22"/>
          <w:lang w:eastAsia="de-DE"/>
        </w:rPr>
      </w:pPr>
      <w:r w:rsidRPr="00F329CF">
        <w:rPr>
          <w:rFonts w:ascii="Arial" w:hAnsi="Arial" w:cs="Arial"/>
          <w:b/>
          <w:bCs/>
          <w:sz w:val="22"/>
          <w:szCs w:val="22"/>
        </w:rPr>
        <w:t>A</w:t>
      </w:r>
      <w:r w:rsidR="000A6AAB" w:rsidRPr="00F329CF">
        <w:rPr>
          <w:rFonts w:ascii="Arial" w:hAnsi="Arial" w:cs="Arial"/>
          <w:b/>
          <w:bCs/>
          <w:sz w:val="22"/>
          <w:szCs w:val="22"/>
        </w:rPr>
        <w:t>)</w:t>
      </w:r>
      <w:r w:rsidR="000A6AAB" w:rsidRPr="00F329CF">
        <w:rPr>
          <w:rFonts w:ascii="Arial" w:hAnsi="Arial" w:cs="Arial"/>
          <w:sz w:val="22"/>
          <w:szCs w:val="22"/>
        </w:rPr>
        <w:t xml:space="preserve"> </w:t>
      </w:r>
      <w:proofErr w:type="spellStart"/>
      <w:r w:rsidR="000A6AAB" w:rsidRPr="00F329CF">
        <w:rPr>
          <w:rFonts w:ascii="Arial" w:hAnsi="Arial" w:cs="Arial"/>
          <w:sz w:val="22"/>
          <w:szCs w:val="22"/>
        </w:rPr>
        <w:t>ssGSEA</w:t>
      </w:r>
      <w:proofErr w:type="spellEnd"/>
      <w:r w:rsidR="000A6AAB" w:rsidRPr="00F329CF">
        <w:rPr>
          <w:rFonts w:ascii="Arial" w:hAnsi="Arial" w:cs="Arial"/>
          <w:sz w:val="22"/>
          <w:szCs w:val="22"/>
        </w:rPr>
        <w:t xml:space="preserve"> scores of the CPTAC PDAC data were retrieved via the </w:t>
      </w:r>
      <w:proofErr w:type="spellStart"/>
      <w:r w:rsidR="000A6AAB" w:rsidRPr="00F329CF">
        <w:rPr>
          <w:rFonts w:ascii="Arial" w:hAnsi="Arial" w:cs="Arial"/>
          <w:i/>
          <w:iCs/>
          <w:sz w:val="22"/>
          <w:szCs w:val="22"/>
        </w:rPr>
        <w:t>ProTrackPath</w:t>
      </w:r>
      <w:proofErr w:type="spellEnd"/>
      <w:r w:rsidR="000A6AAB" w:rsidRPr="00F329CF">
        <w:rPr>
          <w:rFonts w:ascii="Arial" w:hAnsi="Arial" w:cs="Arial"/>
          <w:i/>
          <w:iCs/>
          <w:sz w:val="22"/>
          <w:szCs w:val="22"/>
        </w:rPr>
        <w:t>: Pan-cancer</w:t>
      </w:r>
      <w:r w:rsidR="000A6AAB" w:rsidRPr="00F329CF">
        <w:rPr>
          <w:rFonts w:ascii="Arial" w:hAnsi="Arial" w:cs="Arial"/>
          <w:sz w:val="22"/>
          <w:szCs w:val="22"/>
        </w:rPr>
        <w:t xml:space="preserve"> web portal (normalization option: tumor and normal separately) and filtered for PDAC samples using the </w:t>
      </w:r>
      <w:proofErr w:type="spellStart"/>
      <w:r w:rsidR="000A6AAB" w:rsidRPr="00F329CF">
        <w:rPr>
          <w:rFonts w:ascii="Arial" w:hAnsi="Arial" w:cs="Arial"/>
          <w:sz w:val="22"/>
          <w:szCs w:val="22"/>
        </w:rPr>
        <w:t>cBioPortal</w:t>
      </w:r>
      <w:proofErr w:type="spellEnd"/>
      <w:r w:rsidR="000A6AAB" w:rsidRPr="00F329CF">
        <w:rPr>
          <w:rFonts w:ascii="Arial" w:hAnsi="Arial" w:cs="Arial"/>
          <w:sz w:val="22"/>
          <w:szCs w:val="22"/>
        </w:rPr>
        <w:t xml:space="preserve"> CPTAC clinical dataset. Variance-scaled heatmap of the </w:t>
      </w:r>
      <w:proofErr w:type="spellStart"/>
      <w:r w:rsidR="000A6AAB" w:rsidRPr="00F329CF">
        <w:rPr>
          <w:rFonts w:ascii="Arial" w:hAnsi="Arial" w:cs="Arial"/>
          <w:sz w:val="22"/>
          <w:szCs w:val="22"/>
        </w:rPr>
        <w:t>ssGSEA</w:t>
      </w:r>
      <w:proofErr w:type="spellEnd"/>
      <w:r w:rsidR="000A6AAB" w:rsidRPr="00F329CF">
        <w:rPr>
          <w:rFonts w:ascii="Arial" w:hAnsi="Arial" w:cs="Arial"/>
          <w:sz w:val="22"/>
          <w:szCs w:val="22"/>
        </w:rPr>
        <w:t xml:space="preserve"> scores (clustering method = </w:t>
      </w:r>
      <w:proofErr w:type="spellStart"/>
      <w:proofErr w:type="gramStart"/>
      <w:r w:rsidR="000A6AAB" w:rsidRPr="00F329CF">
        <w:rPr>
          <w:rFonts w:ascii="Arial" w:hAnsi="Arial" w:cs="Arial"/>
          <w:sz w:val="22"/>
          <w:szCs w:val="22"/>
        </w:rPr>
        <w:t>ward.D</w:t>
      </w:r>
      <w:proofErr w:type="spellEnd"/>
      <w:proofErr w:type="gramEnd"/>
      <w:r w:rsidR="000A6AAB" w:rsidRPr="00F329CF">
        <w:rPr>
          <w:rFonts w:ascii="Arial" w:hAnsi="Arial" w:cs="Arial"/>
          <w:sz w:val="22"/>
          <w:szCs w:val="22"/>
        </w:rPr>
        <w:t xml:space="preserve">, clustering distance = </w:t>
      </w:r>
      <w:proofErr w:type="spellStart"/>
      <w:r w:rsidR="000A6AAB" w:rsidRPr="00F329CF">
        <w:rPr>
          <w:rFonts w:ascii="Arial" w:hAnsi="Arial" w:cs="Arial"/>
          <w:sz w:val="22"/>
          <w:szCs w:val="22"/>
        </w:rPr>
        <w:t>euclidean</w:t>
      </w:r>
      <w:proofErr w:type="spellEnd"/>
      <w:r w:rsidR="000A6AAB" w:rsidRPr="00F329CF">
        <w:rPr>
          <w:rFonts w:ascii="Arial" w:hAnsi="Arial" w:cs="Arial"/>
          <w:sz w:val="22"/>
          <w:szCs w:val="22"/>
        </w:rPr>
        <w:t xml:space="preserve">) for the indicated HALLMARK signatures are depicted. </w:t>
      </w:r>
      <w:r w:rsidRPr="00F329CF">
        <w:rPr>
          <w:rFonts w:ascii="Arial" w:hAnsi="Arial" w:cs="Arial"/>
          <w:b/>
          <w:bCs/>
          <w:sz w:val="22"/>
          <w:szCs w:val="22"/>
        </w:rPr>
        <w:t>B</w:t>
      </w:r>
      <w:r w:rsidR="000A6AAB" w:rsidRPr="00F329CF">
        <w:rPr>
          <w:rFonts w:ascii="Arial" w:hAnsi="Arial" w:cs="Arial"/>
          <w:b/>
          <w:bCs/>
          <w:sz w:val="22"/>
          <w:szCs w:val="22"/>
        </w:rPr>
        <w:t>)</w:t>
      </w:r>
      <w:r w:rsidR="000A6AAB" w:rsidRPr="00F329CF">
        <w:rPr>
          <w:rFonts w:ascii="Arial" w:hAnsi="Arial" w:cs="Arial"/>
          <w:sz w:val="22"/>
          <w:szCs w:val="22"/>
        </w:rPr>
        <w:t xml:space="preserve"> </w:t>
      </w:r>
      <w:r w:rsidR="000A6AAB" w:rsidRPr="00F329CF">
        <w:rPr>
          <w:rFonts w:ascii="Arial" w:hAnsi="Arial" w:cs="Arial"/>
          <w:sz w:val="22"/>
          <w:szCs w:val="22"/>
          <w:lang w:eastAsia="de-DE"/>
        </w:rPr>
        <w:t xml:space="preserve">Kaplan Meier survival curves from patients with high </w:t>
      </w:r>
      <w:proofErr w:type="spellStart"/>
      <w:r w:rsidR="000A6AAB" w:rsidRPr="00F329CF">
        <w:rPr>
          <w:rFonts w:ascii="Arial" w:hAnsi="Arial" w:cs="Arial"/>
          <w:sz w:val="22"/>
          <w:szCs w:val="22"/>
          <w:lang w:eastAsia="de-DE"/>
        </w:rPr>
        <w:t>ssGSEA</w:t>
      </w:r>
      <w:proofErr w:type="spellEnd"/>
      <w:r w:rsidR="000A6AAB" w:rsidRPr="00F329CF">
        <w:rPr>
          <w:rFonts w:ascii="Arial" w:hAnsi="Arial" w:cs="Arial"/>
          <w:sz w:val="22"/>
          <w:szCs w:val="22"/>
          <w:lang w:eastAsia="de-DE"/>
        </w:rPr>
        <w:t xml:space="preserve"> EMT</w:t>
      </w:r>
      <w:r w:rsidR="00677BD4" w:rsidRPr="00F329CF">
        <w:rPr>
          <w:rFonts w:ascii="Arial" w:hAnsi="Arial" w:cs="Arial"/>
          <w:sz w:val="22"/>
          <w:szCs w:val="22"/>
          <w:lang w:eastAsia="de-DE"/>
        </w:rPr>
        <w:t xml:space="preserve"> signature</w:t>
      </w:r>
      <w:r w:rsidR="000A6AAB" w:rsidRPr="00F329CF">
        <w:rPr>
          <w:rFonts w:ascii="Arial" w:hAnsi="Arial" w:cs="Arial"/>
          <w:sz w:val="22"/>
          <w:szCs w:val="22"/>
          <w:lang w:eastAsia="de-DE"/>
        </w:rPr>
        <w:t xml:space="preserve"> scores (&gt;75 percentile, red; events n = 23, censored n = 10) or low </w:t>
      </w:r>
      <w:proofErr w:type="spellStart"/>
      <w:r w:rsidR="000A6AAB" w:rsidRPr="00F329CF">
        <w:rPr>
          <w:rFonts w:ascii="Arial" w:hAnsi="Arial" w:cs="Arial"/>
          <w:sz w:val="22"/>
          <w:szCs w:val="22"/>
          <w:lang w:eastAsia="de-DE"/>
        </w:rPr>
        <w:t>ssGSEA</w:t>
      </w:r>
      <w:proofErr w:type="spellEnd"/>
      <w:r w:rsidR="000A6AAB" w:rsidRPr="00F329CF">
        <w:rPr>
          <w:rFonts w:ascii="Arial" w:hAnsi="Arial" w:cs="Arial"/>
          <w:sz w:val="22"/>
          <w:szCs w:val="22"/>
          <w:lang w:eastAsia="de-DE"/>
        </w:rPr>
        <w:t xml:space="preserve"> EMT scores (&lt;75 percentile, blue; events n = 53, censored = 48). The p-value of a log-rank test is indicated. </w:t>
      </w:r>
      <w:r w:rsidRPr="00F329CF">
        <w:rPr>
          <w:rFonts w:ascii="Arial" w:hAnsi="Arial" w:cs="Arial"/>
          <w:b/>
          <w:bCs/>
          <w:sz w:val="22"/>
          <w:szCs w:val="22"/>
          <w:lang w:eastAsia="de-DE"/>
        </w:rPr>
        <w:t>C</w:t>
      </w:r>
      <w:r w:rsidR="000A6AAB" w:rsidRPr="00F329CF">
        <w:rPr>
          <w:rFonts w:ascii="Arial" w:hAnsi="Arial" w:cs="Arial"/>
          <w:b/>
          <w:bCs/>
          <w:sz w:val="22"/>
          <w:szCs w:val="22"/>
          <w:lang w:eastAsia="de-DE"/>
        </w:rPr>
        <w:t>)</w:t>
      </w:r>
      <w:r w:rsidR="000A6AAB" w:rsidRPr="00F329CF">
        <w:rPr>
          <w:rFonts w:ascii="Arial" w:hAnsi="Arial" w:cs="Arial"/>
          <w:sz w:val="22"/>
          <w:szCs w:val="22"/>
          <w:lang w:eastAsia="de-DE"/>
        </w:rPr>
        <w:t xml:space="preserve"> Transcriptomes with high </w:t>
      </w:r>
      <w:proofErr w:type="spellStart"/>
      <w:r w:rsidR="000A6AAB" w:rsidRPr="00F329CF">
        <w:rPr>
          <w:rFonts w:ascii="Arial" w:hAnsi="Arial" w:cs="Arial"/>
          <w:sz w:val="22"/>
          <w:szCs w:val="22"/>
          <w:lang w:eastAsia="de-DE"/>
        </w:rPr>
        <w:t>ssGSEA</w:t>
      </w:r>
      <w:proofErr w:type="spellEnd"/>
      <w:r w:rsidR="000A6AAB" w:rsidRPr="00F329CF">
        <w:rPr>
          <w:rFonts w:ascii="Arial" w:hAnsi="Arial" w:cs="Arial"/>
          <w:sz w:val="22"/>
          <w:szCs w:val="22"/>
          <w:lang w:eastAsia="de-DE"/>
        </w:rPr>
        <w:t xml:space="preserve"> EMT</w:t>
      </w:r>
      <w:r w:rsidR="00677BD4" w:rsidRPr="00F329CF">
        <w:rPr>
          <w:rFonts w:ascii="Arial" w:hAnsi="Arial" w:cs="Arial"/>
          <w:sz w:val="22"/>
          <w:szCs w:val="22"/>
          <w:lang w:eastAsia="de-DE"/>
        </w:rPr>
        <w:t xml:space="preserve"> signature</w:t>
      </w:r>
      <w:r w:rsidR="000A6AAB" w:rsidRPr="00F329CF">
        <w:rPr>
          <w:rFonts w:ascii="Arial" w:hAnsi="Arial" w:cs="Arial"/>
          <w:sz w:val="22"/>
          <w:szCs w:val="22"/>
          <w:lang w:eastAsia="de-DE"/>
        </w:rPr>
        <w:t xml:space="preserve"> scores (&gt;75 percentile) or low </w:t>
      </w:r>
      <w:proofErr w:type="spellStart"/>
      <w:r w:rsidR="000A6AAB" w:rsidRPr="00F329CF">
        <w:rPr>
          <w:rFonts w:ascii="Arial" w:hAnsi="Arial" w:cs="Arial"/>
          <w:sz w:val="22"/>
          <w:szCs w:val="22"/>
          <w:lang w:eastAsia="de-DE"/>
        </w:rPr>
        <w:t>ssGSEA</w:t>
      </w:r>
      <w:proofErr w:type="spellEnd"/>
      <w:r w:rsidR="000A6AAB" w:rsidRPr="00F329CF">
        <w:rPr>
          <w:rFonts w:ascii="Arial" w:hAnsi="Arial" w:cs="Arial"/>
          <w:sz w:val="22"/>
          <w:szCs w:val="22"/>
          <w:lang w:eastAsia="de-DE"/>
        </w:rPr>
        <w:t xml:space="preserve"> EMT</w:t>
      </w:r>
      <w:r w:rsidR="00677BD4" w:rsidRPr="00F329CF">
        <w:rPr>
          <w:rFonts w:ascii="Arial" w:hAnsi="Arial" w:cs="Arial"/>
          <w:sz w:val="22"/>
          <w:szCs w:val="22"/>
          <w:lang w:eastAsia="de-DE"/>
        </w:rPr>
        <w:t xml:space="preserve"> signature</w:t>
      </w:r>
      <w:r w:rsidR="000A6AAB" w:rsidRPr="00F329CF">
        <w:rPr>
          <w:rFonts w:ascii="Arial" w:hAnsi="Arial" w:cs="Arial"/>
          <w:sz w:val="22"/>
          <w:szCs w:val="22"/>
          <w:lang w:eastAsia="de-DE"/>
        </w:rPr>
        <w:t xml:space="preserve"> scores (&lt;75 percentile) of the CPTAC PDAC RNAseq dataset were compared by a GSEA using </w:t>
      </w:r>
      <w:proofErr w:type="spellStart"/>
      <w:r w:rsidR="000A6AAB" w:rsidRPr="00F329CF">
        <w:rPr>
          <w:rFonts w:ascii="Arial" w:hAnsi="Arial" w:cs="Arial"/>
          <w:sz w:val="22"/>
          <w:szCs w:val="22"/>
          <w:lang w:eastAsia="de-DE"/>
        </w:rPr>
        <w:t>Reactome</w:t>
      </w:r>
      <w:proofErr w:type="spellEnd"/>
      <w:r w:rsidR="000A6AAB" w:rsidRPr="00F329CF">
        <w:rPr>
          <w:rFonts w:ascii="Arial" w:hAnsi="Arial" w:cs="Arial"/>
          <w:sz w:val="22"/>
          <w:szCs w:val="22"/>
          <w:lang w:eastAsia="de-DE"/>
        </w:rPr>
        <w:t xml:space="preserve"> signatures and the GeneTrail3.2 web portal. Significant (q&lt;0.05) signatures were filtered for the keywords “Polymerase II” and “transcription” and the results were illustrated. The enrichment score (ES) is color-coded.</w:t>
      </w:r>
      <w:r w:rsidR="000A6AAB" w:rsidRPr="00F329CF">
        <w:rPr>
          <w:rFonts w:ascii="Arial" w:hAnsi="Arial" w:cs="Arial"/>
          <w:b/>
          <w:bCs/>
          <w:sz w:val="22"/>
          <w:szCs w:val="22"/>
          <w:lang w:eastAsia="de-DE"/>
        </w:rPr>
        <w:t xml:space="preserve"> </w:t>
      </w:r>
      <w:r w:rsidRPr="00F329CF">
        <w:rPr>
          <w:rFonts w:ascii="Arial" w:hAnsi="Arial" w:cs="Arial"/>
          <w:b/>
          <w:bCs/>
          <w:sz w:val="22"/>
          <w:szCs w:val="22"/>
          <w:lang w:eastAsia="de-DE"/>
        </w:rPr>
        <w:t>D</w:t>
      </w:r>
      <w:r w:rsidR="005966A6" w:rsidRPr="00F329CF">
        <w:rPr>
          <w:rFonts w:ascii="Arial" w:hAnsi="Arial" w:cs="Arial"/>
          <w:b/>
          <w:bCs/>
          <w:sz w:val="22"/>
          <w:szCs w:val="22"/>
          <w:lang w:eastAsia="de-DE"/>
        </w:rPr>
        <w:t>)</w:t>
      </w:r>
      <w:r w:rsidR="005966A6" w:rsidRPr="00F329CF">
        <w:rPr>
          <w:rFonts w:ascii="Arial" w:hAnsi="Arial" w:cs="Arial"/>
          <w:sz w:val="22"/>
          <w:szCs w:val="22"/>
          <w:lang w:eastAsia="de-DE"/>
        </w:rPr>
        <w:t xml:space="preserve"> and </w:t>
      </w:r>
      <w:r w:rsidRPr="00F329CF">
        <w:rPr>
          <w:rFonts w:ascii="Arial" w:hAnsi="Arial" w:cs="Arial"/>
          <w:b/>
          <w:bCs/>
          <w:sz w:val="22"/>
          <w:szCs w:val="22"/>
          <w:lang w:eastAsia="de-DE"/>
        </w:rPr>
        <w:t>E</w:t>
      </w:r>
      <w:r w:rsidR="005966A6" w:rsidRPr="00F329CF">
        <w:rPr>
          <w:rFonts w:ascii="Arial" w:hAnsi="Arial" w:cs="Arial"/>
          <w:b/>
          <w:bCs/>
          <w:sz w:val="22"/>
          <w:szCs w:val="22"/>
          <w:lang w:eastAsia="de-DE"/>
        </w:rPr>
        <w:t>)</w:t>
      </w:r>
      <w:r w:rsidR="005966A6" w:rsidRPr="00F329CF">
        <w:rPr>
          <w:rFonts w:ascii="Arial" w:hAnsi="Arial" w:cs="Arial"/>
          <w:sz w:val="22"/>
          <w:szCs w:val="22"/>
          <w:lang w:eastAsia="de-DE"/>
        </w:rPr>
        <w:t xml:space="preserve"> the PPP2CA </w:t>
      </w:r>
      <w:r w:rsidR="005966A6" w:rsidRPr="00F329CF">
        <w:rPr>
          <w:rFonts w:ascii="Arial" w:hAnsi="Arial" w:cs="Arial"/>
          <w:sz w:val="22"/>
          <w:szCs w:val="22"/>
          <w:lang w:eastAsia="de-DE"/>
        </w:rPr>
        <w:lastRenderedPageBreak/>
        <w:t>protein expression of the CPTAC protein dataset (</w:t>
      </w:r>
      <w:proofErr w:type="spellStart"/>
      <w:r w:rsidR="005966A6" w:rsidRPr="00F329CF">
        <w:rPr>
          <w:rFonts w:ascii="Arial" w:hAnsi="Arial" w:cs="Arial"/>
          <w:sz w:val="22"/>
          <w:szCs w:val="22"/>
          <w:lang w:eastAsia="de-DE"/>
        </w:rPr>
        <w:t>Prospective_CPTAC_PDAC</w:t>
      </w:r>
      <w:proofErr w:type="spellEnd"/>
      <w:r w:rsidR="005966A6" w:rsidRPr="00F329CF">
        <w:rPr>
          <w:rFonts w:ascii="Arial" w:hAnsi="Arial" w:cs="Arial"/>
          <w:sz w:val="22"/>
          <w:szCs w:val="22"/>
          <w:lang w:eastAsia="de-DE"/>
        </w:rPr>
        <w:t xml:space="preserve">, TMT MD abundance tumor) was accessed via the </w:t>
      </w:r>
      <w:proofErr w:type="spellStart"/>
      <w:r w:rsidR="005966A6" w:rsidRPr="00F329CF">
        <w:rPr>
          <w:rFonts w:ascii="Arial" w:hAnsi="Arial" w:cs="Arial"/>
          <w:sz w:val="22"/>
          <w:szCs w:val="22"/>
          <w:lang w:eastAsia="de-DE"/>
        </w:rPr>
        <w:t>LinkedOmics</w:t>
      </w:r>
      <w:proofErr w:type="spellEnd"/>
      <w:r w:rsidR="005966A6" w:rsidRPr="00F329CF">
        <w:rPr>
          <w:rFonts w:ascii="Arial" w:hAnsi="Arial" w:cs="Arial"/>
          <w:sz w:val="22"/>
          <w:szCs w:val="22"/>
          <w:lang w:eastAsia="de-DE"/>
        </w:rPr>
        <w:t xml:space="preserve"> web portal and queried for the phospho-protein data (TMT MD abundance tumor); </w:t>
      </w:r>
      <w:r w:rsidRPr="00F329CF">
        <w:rPr>
          <w:rFonts w:ascii="Arial" w:hAnsi="Arial" w:cs="Arial"/>
          <w:sz w:val="22"/>
          <w:szCs w:val="22"/>
          <w:lang w:eastAsia="de-DE"/>
        </w:rPr>
        <w:t>D</w:t>
      </w:r>
      <w:r w:rsidR="005966A6" w:rsidRPr="00F329CF">
        <w:rPr>
          <w:rFonts w:ascii="Arial" w:hAnsi="Arial" w:cs="Arial"/>
          <w:sz w:val="22"/>
          <w:szCs w:val="22"/>
          <w:lang w:eastAsia="de-DE"/>
        </w:rPr>
        <w:t xml:space="preserve">) analysis level: gene, </w:t>
      </w:r>
      <w:r w:rsidRPr="00F329CF">
        <w:rPr>
          <w:rFonts w:ascii="Arial" w:hAnsi="Arial" w:cs="Arial"/>
          <w:sz w:val="22"/>
          <w:szCs w:val="22"/>
          <w:lang w:eastAsia="de-DE"/>
        </w:rPr>
        <w:t>E</w:t>
      </w:r>
      <w:r w:rsidR="005966A6" w:rsidRPr="00F329CF">
        <w:rPr>
          <w:rFonts w:ascii="Arial" w:hAnsi="Arial" w:cs="Arial"/>
          <w:sz w:val="22"/>
          <w:szCs w:val="22"/>
          <w:lang w:eastAsia="de-DE"/>
        </w:rPr>
        <w:t xml:space="preserve">) analysis level: site. </w:t>
      </w:r>
      <w:r w:rsidRPr="00F329CF">
        <w:rPr>
          <w:rFonts w:ascii="Arial" w:hAnsi="Arial" w:cs="Arial"/>
          <w:sz w:val="22"/>
          <w:szCs w:val="22"/>
          <w:lang w:eastAsia="de-DE"/>
        </w:rPr>
        <w:t>D</w:t>
      </w:r>
      <w:r w:rsidR="005966A6" w:rsidRPr="00F329CF">
        <w:rPr>
          <w:rFonts w:ascii="Arial" w:hAnsi="Arial" w:cs="Arial"/>
          <w:sz w:val="22"/>
          <w:szCs w:val="22"/>
          <w:lang w:eastAsia="de-DE"/>
        </w:rPr>
        <w:t xml:space="preserve">) Overrepresentation analysis with the Pearson correlation coefficient and the FDR a rank selector for negatively correlating phospho-proteins using GO BP analysis. </w:t>
      </w:r>
      <w:r w:rsidRPr="00F329CF">
        <w:rPr>
          <w:rFonts w:ascii="Arial" w:hAnsi="Arial" w:cs="Arial"/>
          <w:sz w:val="22"/>
          <w:szCs w:val="22"/>
          <w:lang w:eastAsia="de-DE"/>
        </w:rPr>
        <w:t>E</w:t>
      </w:r>
      <w:r w:rsidR="005966A6" w:rsidRPr="00F329CF">
        <w:rPr>
          <w:rFonts w:ascii="Arial" w:hAnsi="Arial" w:cs="Arial"/>
          <w:sz w:val="22"/>
          <w:szCs w:val="22"/>
          <w:lang w:eastAsia="de-DE"/>
        </w:rPr>
        <w:t>) Pearson correlation coefficient for PPP2CA protein expression and phospho-sites with a negative correlation coefficient (FDR&lt;0.05) linked to transcription and transcriptional elongation.</w:t>
      </w:r>
      <w:r w:rsidR="00D65D10" w:rsidRPr="00F329CF">
        <w:rPr>
          <w:rFonts w:ascii="Arial" w:hAnsi="Arial" w:cs="Arial"/>
          <w:sz w:val="22"/>
          <w:szCs w:val="22"/>
          <w:lang w:eastAsia="de-DE"/>
        </w:rPr>
        <w:t xml:space="preserve"> </w:t>
      </w:r>
      <w:r w:rsidRPr="00F329CF">
        <w:rPr>
          <w:rFonts w:ascii="Arial" w:hAnsi="Arial" w:cs="Arial"/>
          <w:b/>
          <w:bCs/>
          <w:sz w:val="22"/>
          <w:szCs w:val="22"/>
          <w:lang w:eastAsia="de-DE"/>
        </w:rPr>
        <w:t>F</w:t>
      </w:r>
      <w:r w:rsidR="00D65D10" w:rsidRPr="00F329CF">
        <w:rPr>
          <w:rFonts w:ascii="Arial" w:hAnsi="Arial" w:cs="Arial"/>
          <w:b/>
          <w:bCs/>
          <w:sz w:val="22"/>
          <w:szCs w:val="22"/>
          <w:lang w:eastAsia="de-DE"/>
        </w:rPr>
        <w:t>)</w:t>
      </w:r>
      <w:r w:rsidR="00D65D10" w:rsidRPr="00F329CF">
        <w:rPr>
          <w:rFonts w:ascii="Arial" w:hAnsi="Arial" w:cs="Arial"/>
          <w:sz w:val="22"/>
          <w:szCs w:val="22"/>
          <w:lang w:eastAsia="de-DE"/>
        </w:rPr>
        <w:t xml:space="preserve"> </w:t>
      </w:r>
      <w:r w:rsidR="000A6AAB" w:rsidRPr="00F329CF">
        <w:rPr>
          <w:rFonts w:ascii="Arial" w:hAnsi="Arial" w:cs="Arial"/>
          <w:color w:val="000000" w:themeColor="text1"/>
          <w:sz w:val="22"/>
          <w:szCs w:val="22"/>
        </w:rPr>
        <w:t xml:space="preserve">RNA sequencing data of LB100-treated MiaPaCa2 (6 hours, </w:t>
      </w:r>
      <w:r w:rsidR="000A6AAB" w:rsidRPr="00F329CF">
        <w:rPr>
          <w:rFonts w:ascii="Arial" w:hAnsi="Arial" w:cs="Arial"/>
          <w:sz w:val="22"/>
          <w:szCs w:val="22"/>
          <w:lang w:eastAsia="de-DE"/>
        </w:rPr>
        <w:t>10 µM LB100</w:t>
      </w:r>
      <w:r w:rsidR="000A6AAB" w:rsidRPr="00F329CF">
        <w:rPr>
          <w:rFonts w:ascii="Arial" w:hAnsi="Arial" w:cs="Arial"/>
          <w:color w:val="000000" w:themeColor="text1"/>
          <w:sz w:val="22"/>
          <w:szCs w:val="22"/>
        </w:rPr>
        <w:t>) were compared with sequencing data after INTS8 knock-out in HEK293 cells. Displayed are the significantly overlapping concordantly (blue) and discordantly (red) regulated genes.</w:t>
      </w:r>
      <w:r w:rsidR="000A6AAB" w:rsidRPr="00F329CF">
        <w:rPr>
          <w:rFonts w:ascii="Arial" w:hAnsi="Arial" w:cs="Arial"/>
          <w:sz w:val="22"/>
          <w:szCs w:val="22"/>
          <w:lang w:eastAsia="de-DE"/>
        </w:rPr>
        <w:t xml:space="preserve"> </w:t>
      </w:r>
      <w:r w:rsidR="00846CC0" w:rsidRPr="00F329CF">
        <w:rPr>
          <w:rFonts w:ascii="Arial" w:hAnsi="Arial" w:cs="Arial"/>
          <w:b/>
          <w:bCs/>
          <w:sz w:val="22"/>
          <w:szCs w:val="22"/>
          <w:lang w:eastAsia="de-DE"/>
        </w:rPr>
        <w:t>G</w:t>
      </w:r>
      <w:r w:rsidR="00D65D10" w:rsidRPr="00F329CF">
        <w:rPr>
          <w:rFonts w:ascii="Arial" w:hAnsi="Arial" w:cs="Arial"/>
          <w:b/>
          <w:bCs/>
          <w:sz w:val="22"/>
          <w:szCs w:val="22"/>
          <w:lang w:eastAsia="de-DE"/>
        </w:rPr>
        <w:t>)</w:t>
      </w:r>
      <w:r w:rsidR="00D65D10" w:rsidRPr="00F329CF">
        <w:rPr>
          <w:rFonts w:ascii="Arial" w:hAnsi="Arial" w:cs="Arial"/>
          <w:sz w:val="22"/>
          <w:szCs w:val="22"/>
          <w:lang w:eastAsia="de-DE"/>
        </w:rPr>
        <w:t xml:space="preserve"> RNA-seq data of MiaPaCa2 cells treated for 6 hours with 10 µM LB100 were analyzed by GSEA using the indicated signature and GeneTrail3.2. The enrichment blot is indicated and the q-value depicted.  </w:t>
      </w:r>
    </w:p>
    <w:p w14:paraId="35187344" w14:textId="77777777" w:rsidR="000A6AAB" w:rsidRPr="00F329CF" w:rsidRDefault="000A6AAB" w:rsidP="00041EC3">
      <w:pPr>
        <w:spacing w:line="480" w:lineRule="auto"/>
        <w:jc w:val="both"/>
        <w:rPr>
          <w:rFonts w:ascii="Arial" w:hAnsi="Arial" w:cs="Arial"/>
          <w:b/>
          <w:bCs/>
          <w:sz w:val="22"/>
          <w:szCs w:val="22"/>
        </w:rPr>
      </w:pPr>
    </w:p>
    <w:p w14:paraId="2DDCD0A8" w14:textId="1CCBB13B" w:rsidR="00222311" w:rsidRPr="00F329CF" w:rsidRDefault="00222311">
      <w:pPr>
        <w:rPr>
          <w:rFonts w:ascii="Arial" w:hAnsi="Arial" w:cs="Arial"/>
          <w:b/>
          <w:bCs/>
          <w:sz w:val="22"/>
          <w:szCs w:val="22"/>
        </w:rPr>
      </w:pPr>
      <w:r w:rsidRPr="00F329CF">
        <w:rPr>
          <w:rFonts w:ascii="Arial" w:hAnsi="Arial" w:cs="Arial"/>
          <w:b/>
          <w:bCs/>
          <w:sz w:val="22"/>
          <w:szCs w:val="22"/>
        </w:rPr>
        <w:br w:type="page"/>
      </w:r>
    </w:p>
    <w:p w14:paraId="523F784C" w14:textId="7CB2357E" w:rsidR="00631D07" w:rsidRPr="00F329CF" w:rsidRDefault="00F329CF" w:rsidP="00041EC3">
      <w:pPr>
        <w:spacing w:line="480" w:lineRule="auto"/>
        <w:jc w:val="both"/>
        <w:rPr>
          <w:rFonts w:ascii="Arial" w:hAnsi="Arial" w:cs="Arial"/>
          <w:b/>
          <w:bCs/>
          <w:sz w:val="22"/>
          <w:szCs w:val="22"/>
        </w:rPr>
      </w:pPr>
      <w:r w:rsidRPr="00F329CF">
        <w:rPr>
          <w:rFonts w:ascii="Arial" w:hAnsi="Arial" w:cs="Arial"/>
          <w:b/>
          <w:bCs/>
          <w:noProof/>
          <w:sz w:val="22"/>
          <w:szCs w:val="22"/>
          <w14:ligatures w14:val="standardContextual"/>
        </w:rPr>
        <w:lastRenderedPageBreak/>
        <w:drawing>
          <wp:inline distT="0" distB="0" distL="0" distR="0" wp14:anchorId="5BBB29B8" wp14:editId="26B6502A">
            <wp:extent cx="5760720" cy="1744980"/>
            <wp:effectExtent l="0" t="0" r="5080" b="0"/>
            <wp:docPr id="59582997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829972" name="Grafik 59582997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1744980"/>
                    </a:xfrm>
                    <a:prstGeom prst="rect">
                      <a:avLst/>
                    </a:prstGeom>
                  </pic:spPr>
                </pic:pic>
              </a:graphicData>
            </a:graphic>
          </wp:inline>
        </w:drawing>
      </w:r>
    </w:p>
    <w:p w14:paraId="0E1576AE" w14:textId="2E401BD9" w:rsidR="00343827" w:rsidRPr="00F329CF" w:rsidRDefault="00343827" w:rsidP="00041EC3">
      <w:pPr>
        <w:spacing w:line="480" w:lineRule="auto"/>
        <w:jc w:val="both"/>
        <w:rPr>
          <w:rFonts w:ascii="Arial" w:hAnsi="Arial" w:cs="Arial"/>
          <w:sz w:val="22"/>
          <w:szCs w:val="22"/>
          <w:lang w:eastAsia="de-DE"/>
        </w:rPr>
      </w:pPr>
      <w:r w:rsidRPr="00F329CF">
        <w:rPr>
          <w:rFonts w:ascii="Arial" w:hAnsi="Arial" w:cs="Arial"/>
          <w:b/>
          <w:bCs/>
          <w:sz w:val="22"/>
          <w:szCs w:val="22"/>
        </w:rPr>
        <w:t>Fig</w:t>
      </w:r>
      <w:r w:rsidR="00F329CF" w:rsidRPr="00F329CF">
        <w:rPr>
          <w:rFonts w:ascii="Arial" w:hAnsi="Arial" w:cs="Arial"/>
          <w:b/>
          <w:bCs/>
          <w:sz w:val="22"/>
          <w:szCs w:val="22"/>
        </w:rPr>
        <w:t>ure</w:t>
      </w:r>
      <w:r w:rsidRPr="00F329CF">
        <w:rPr>
          <w:rFonts w:ascii="Arial" w:hAnsi="Arial" w:cs="Arial"/>
          <w:b/>
          <w:bCs/>
          <w:sz w:val="22"/>
          <w:szCs w:val="22"/>
        </w:rPr>
        <w:t xml:space="preserve"> S</w:t>
      </w:r>
      <w:r w:rsidR="00631D07" w:rsidRPr="00F329CF">
        <w:rPr>
          <w:rFonts w:ascii="Arial" w:hAnsi="Arial" w:cs="Arial"/>
          <w:b/>
          <w:bCs/>
          <w:sz w:val="22"/>
          <w:szCs w:val="22"/>
        </w:rPr>
        <w:t>6</w:t>
      </w:r>
      <w:r w:rsidRPr="00F329CF">
        <w:rPr>
          <w:rFonts w:ascii="Arial" w:hAnsi="Arial" w:cs="Arial"/>
          <w:b/>
          <w:bCs/>
          <w:sz w:val="22"/>
          <w:szCs w:val="22"/>
        </w:rPr>
        <w:t xml:space="preserve">. </w:t>
      </w:r>
      <w:r w:rsidRPr="00F329CF">
        <w:rPr>
          <w:rFonts w:ascii="Arial" w:hAnsi="Arial" w:cs="Arial"/>
          <w:b/>
          <w:bCs/>
          <w:sz w:val="22"/>
          <w:szCs w:val="22"/>
          <w:lang w:eastAsia="de-DE"/>
        </w:rPr>
        <w:t>PP2a and regulation of small genes</w:t>
      </w:r>
    </w:p>
    <w:p w14:paraId="60231D1A" w14:textId="127E5FAD" w:rsidR="00574B5C" w:rsidRPr="00F329CF" w:rsidRDefault="00631D07" w:rsidP="00F16537">
      <w:pPr>
        <w:spacing w:line="480" w:lineRule="auto"/>
        <w:jc w:val="both"/>
        <w:rPr>
          <w:rFonts w:ascii="Arial" w:hAnsi="Arial" w:cs="Arial"/>
          <w:sz w:val="22"/>
          <w:szCs w:val="22"/>
        </w:rPr>
      </w:pPr>
      <w:r w:rsidRPr="00F329CF">
        <w:rPr>
          <w:rFonts w:ascii="Arial" w:hAnsi="Arial" w:cs="Arial"/>
          <w:b/>
          <w:bCs/>
          <w:sz w:val="22"/>
          <w:szCs w:val="22"/>
        </w:rPr>
        <w:t>A</w:t>
      </w:r>
      <w:r w:rsidR="00343827" w:rsidRPr="00F329CF">
        <w:rPr>
          <w:rFonts w:ascii="Arial" w:hAnsi="Arial" w:cs="Arial"/>
          <w:b/>
          <w:bCs/>
          <w:sz w:val="22"/>
          <w:szCs w:val="22"/>
        </w:rPr>
        <w:t>)</w:t>
      </w:r>
      <w:r w:rsidR="00343827" w:rsidRPr="00F329CF">
        <w:rPr>
          <w:rFonts w:ascii="Arial" w:hAnsi="Arial" w:cs="Arial"/>
          <w:sz w:val="22"/>
          <w:szCs w:val="22"/>
        </w:rPr>
        <w:t xml:space="preserve"> Length distribution of upregulated genes in murine PDAC cells (</w:t>
      </w:r>
      <w:r w:rsidR="00343827" w:rsidRPr="00F329CF">
        <w:rPr>
          <w:rFonts w:ascii="Arial" w:hAnsi="Arial" w:cs="Arial"/>
          <w:color w:val="000000" w:themeColor="text1"/>
          <w:sz w:val="22"/>
          <w:szCs w:val="22"/>
        </w:rPr>
        <w:t>8248)</w:t>
      </w:r>
      <w:r w:rsidR="00343827" w:rsidRPr="00F329CF">
        <w:rPr>
          <w:rFonts w:ascii="Arial" w:hAnsi="Arial" w:cs="Arial"/>
          <w:sz w:val="22"/>
          <w:szCs w:val="22"/>
        </w:rPr>
        <w:t xml:space="preserve"> with 2 hours of LB100 treatment. </w:t>
      </w:r>
      <w:r w:rsidRPr="00F329CF">
        <w:rPr>
          <w:rFonts w:ascii="Arial" w:hAnsi="Arial" w:cs="Arial"/>
          <w:b/>
          <w:bCs/>
          <w:sz w:val="22"/>
          <w:szCs w:val="22"/>
        </w:rPr>
        <w:t>B</w:t>
      </w:r>
      <w:r w:rsidR="00343827" w:rsidRPr="00F329CF">
        <w:rPr>
          <w:rFonts w:ascii="Arial" w:hAnsi="Arial" w:cs="Arial"/>
          <w:b/>
          <w:bCs/>
          <w:sz w:val="22"/>
          <w:szCs w:val="22"/>
        </w:rPr>
        <w:t>)</w:t>
      </w:r>
      <w:r w:rsidR="00343827" w:rsidRPr="00F329CF">
        <w:rPr>
          <w:rFonts w:ascii="Arial" w:hAnsi="Arial" w:cs="Arial"/>
          <w:sz w:val="22"/>
          <w:szCs w:val="22"/>
        </w:rPr>
        <w:t xml:space="preserve"> The correlation between gene length and the fold change in gene upregulation in murine PDAC cells (8248) after 2 hours of LB100 treatment. </w:t>
      </w:r>
      <w:r w:rsidRPr="00F329CF">
        <w:rPr>
          <w:rFonts w:ascii="Arial" w:hAnsi="Arial" w:cs="Arial"/>
          <w:b/>
          <w:bCs/>
          <w:sz w:val="22"/>
          <w:szCs w:val="22"/>
        </w:rPr>
        <w:t>C</w:t>
      </w:r>
      <w:r w:rsidR="00343827" w:rsidRPr="00F329CF">
        <w:rPr>
          <w:rFonts w:ascii="Arial" w:hAnsi="Arial" w:cs="Arial"/>
          <w:b/>
          <w:bCs/>
          <w:sz w:val="22"/>
          <w:szCs w:val="22"/>
        </w:rPr>
        <w:t>)</w:t>
      </w:r>
      <w:r w:rsidR="00343827" w:rsidRPr="00F329CF">
        <w:rPr>
          <w:rFonts w:ascii="Arial" w:hAnsi="Arial" w:cs="Arial"/>
          <w:sz w:val="22"/>
          <w:szCs w:val="22"/>
        </w:rPr>
        <w:t xml:space="preserve"> The enrichment of RNA polymerase II at different gene regions of 4 ER stress genes with varying lengths in murine PDAC cells (8248) with 2 hours of LB100 treatment.</w:t>
      </w:r>
    </w:p>
    <w:p w14:paraId="15293409" w14:textId="77777777" w:rsidR="00574B5C" w:rsidRPr="00F329CF" w:rsidRDefault="00574B5C">
      <w:pPr>
        <w:rPr>
          <w:rFonts w:ascii="Arial" w:hAnsi="Arial" w:cs="Arial"/>
          <w:sz w:val="22"/>
          <w:szCs w:val="22"/>
        </w:rPr>
      </w:pPr>
      <w:r w:rsidRPr="00F329CF">
        <w:rPr>
          <w:rFonts w:ascii="Arial" w:hAnsi="Arial" w:cs="Arial"/>
          <w:sz w:val="22"/>
          <w:szCs w:val="22"/>
        </w:rPr>
        <w:br w:type="page"/>
      </w:r>
    </w:p>
    <w:p w14:paraId="34A694B3" w14:textId="77777777" w:rsidR="00F4074C" w:rsidRPr="0047217C" w:rsidRDefault="00F4074C" w:rsidP="00F4074C">
      <w:pPr>
        <w:pStyle w:val="Paragraph"/>
        <w:spacing w:before="0" w:line="480" w:lineRule="auto"/>
        <w:ind w:firstLine="0"/>
        <w:jc w:val="both"/>
        <w:rPr>
          <w:rFonts w:ascii="Arial" w:hAnsi="Arial" w:cs="Arial"/>
          <w:b/>
          <w:color w:val="000000" w:themeColor="text1"/>
          <w:sz w:val="22"/>
          <w:szCs w:val="22"/>
        </w:rPr>
      </w:pPr>
      <w:r w:rsidRPr="0047217C">
        <w:rPr>
          <w:rFonts w:ascii="Arial" w:hAnsi="Arial" w:cs="Arial"/>
          <w:b/>
          <w:color w:val="000000" w:themeColor="text1"/>
          <w:sz w:val="22"/>
          <w:szCs w:val="22"/>
        </w:rPr>
        <w:lastRenderedPageBreak/>
        <w:t>Supplemental Material and Methods</w:t>
      </w:r>
    </w:p>
    <w:p w14:paraId="75A373DC"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Chemicals:</w:t>
      </w:r>
    </w:p>
    <w:p w14:paraId="1AA0C126" w14:textId="336F188A"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LB100 (#S7537), Oligomycin A (#S1478), FCCP (#S8276), Cycloheximide (#S7418), </w:t>
      </w:r>
      <w:proofErr w:type="spellStart"/>
      <w:r w:rsidRPr="0047217C">
        <w:rPr>
          <w:rFonts w:ascii="Arial" w:hAnsi="Arial" w:cs="Arial"/>
          <w:color w:val="000000" w:themeColor="text1"/>
          <w:sz w:val="22"/>
          <w:szCs w:val="22"/>
        </w:rPr>
        <w:t>Rotenon</w:t>
      </w:r>
      <w:proofErr w:type="spellEnd"/>
      <w:r w:rsidRPr="0047217C">
        <w:rPr>
          <w:rFonts w:ascii="Arial" w:hAnsi="Arial" w:cs="Arial"/>
          <w:color w:val="000000" w:themeColor="text1"/>
          <w:sz w:val="22"/>
          <w:szCs w:val="22"/>
        </w:rPr>
        <w:t xml:space="preserve"> (#2348) ,SB-1317 (#S7002), and P276-00 (#S8058) were obtained from Selleckchem (Houston, TX, USA), 2-Deoxyglucose from Carl Roth (#CN96.3, Karlsruhe, Germany), Antimycin A (#A8674), 1,10-Phenanthrolin-5,6-dion (Phendione, #496383) and Chloroquine (#C6628) from Sigma-Aldrich (Taufkirchen, Germany).</w:t>
      </w:r>
    </w:p>
    <w:p w14:paraId="241E9CCF"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 xml:space="preserve">Generation of PPP2RA1 knock-down MiaPaCa2 cells by </w:t>
      </w:r>
      <w:proofErr w:type="spellStart"/>
      <w:r w:rsidRPr="0047217C">
        <w:rPr>
          <w:rFonts w:ascii="Arial" w:hAnsi="Arial" w:cs="Arial"/>
          <w:i/>
          <w:iCs/>
          <w:color w:val="000000" w:themeColor="text1"/>
          <w:sz w:val="22"/>
          <w:szCs w:val="22"/>
        </w:rPr>
        <w:t>CasRX</w:t>
      </w:r>
      <w:proofErr w:type="spellEnd"/>
    </w:p>
    <w:p w14:paraId="4572680C" w14:textId="2FEDD69A"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A stable </w:t>
      </w:r>
      <w:r w:rsidRPr="0047217C">
        <w:rPr>
          <w:rFonts w:ascii="Arial" w:hAnsi="Arial" w:cs="Arial"/>
          <w:i/>
          <w:iCs/>
          <w:color w:val="000000" w:themeColor="text1"/>
          <w:sz w:val="22"/>
          <w:szCs w:val="22"/>
        </w:rPr>
        <w:t>PPP2R1A</w:t>
      </w:r>
      <w:r w:rsidRPr="0047217C">
        <w:rPr>
          <w:rFonts w:ascii="Arial" w:hAnsi="Arial" w:cs="Arial"/>
          <w:color w:val="000000" w:themeColor="text1"/>
          <w:sz w:val="22"/>
          <w:szCs w:val="22"/>
        </w:rPr>
        <w:t xml:space="preserve"> knockdown was generated using a previously described MiaPaCa2 cell line engineered with the Cas13d system, specifically the </w:t>
      </w:r>
      <w:proofErr w:type="spellStart"/>
      <w:r w:rsidRPr="0047217C">
        <w:rPr>
          <w:rFonts w:ascii="Arial" w:hAnsi="Arial" w:cs="Arial"/>
          <w:color w:val="000000" w:themeColor="text1"/>
          <w:sz w:val="22"/>
          <w:szCs w:val="22"/>
        </w:rPr>
        <w:t>CasRx</w:t>
      </w:r>
      <w:proofErr w:type="spellEnd"/>
      <w:r w:rsidRPr="0047217C">
        <w:rPr>
          <w:rFonts w:ascii="Arial" w:hAnsi="Arial" w:cs="Arial"/>
          <w:color w:val="000000" w:themeColor="text1"/>
          <w:sz w:val="22"/>
          <w:szCs w:val="22"/>
        </w:rPr>
        <w:t xml:space="preserve"> enzyme, delivered through a transposon-based system </w:t>
      </w:r>
      <w:sdt>
        <w:sdtPr>
          <w:rPr>
            <w:rFonts w:ascii="Arial" w:hAnsi="Arial" w:cs="Arial"/>
            <w:color w:val="000000" w:themeColor="text1"/>
            <w:sz w:val="22"/>
            <w:szCs w:val="22"/>
          </w:rPr>
          <w:alias w:val="SmartCite Citation"/>
          <w:tag w:val="fb8ada55-c96e-41dd-87ea-0b994a30978d:d6fae96d-1add-429c-81cf-78fcdae1a2d2+"/>
          <w:id w:val="-755588642"/>
          <w:placeholder>
            <w:docPart w:val="AB7FE1CBE7915F4EAAA6074315F7814A"/>
          </w:placeholder>
        </w:sdtPr>
        <w:sdtContent>
          <w:r w:rsidR="00F329CF" w:rsidRPr="0047217C">
            <w:rPr>
              <w:rFonts w:ascii="Arial" w:hAnsi="Arial" w:cs="Arial"/>
              <w:sz w:val="22"/>
              <w:szCs w:val="22"/>
            </w:rPr>
            <w:t>[1]</w:t>
          </w:r>
        </w:sdtContent>
      </w:sdt>
      <w:r w:rsidRPr="0047217C">
        <w:rPr>
          <w:rFonts w:ascii="Arial" w:hAnsi="Arial" w:cs="Arial"/>
          <w:color w:val="000000" w:themeColor="text1"/>
          <w:sz w:val="22"/>
          <w:szCs w:val="22"/>
        </w:rPr>
        <w:t xml:space="preserve">. Single guide RNAs (sgRNAs) targeting </w:t>
      </w:r>
      <w:r w:rsidRPr="0047217C">
        <w:rPr>
          <w:rFonts w:ascii="Arial" w:hAnsi="Arial" w:cs="Arial"/>
          <w:i/>
          <w:iCs/>
          <w:color w:val="000000" w:themeColor="text1"/>
          <w:sz w:val="22"/>
          <w:szCs w:val="22"/>
        </w:rPr>
        <w:t>PPP2R1A</w:t>
      </w:r>
      <w:r w:rsidRPr="0047217C">
        <w:rPr>
          <w:rFonts w:ascii="Arial" w:hAnsi="Arial" w:cs="Arial"/>
          <w:color w:val="000000" w:themeColor="text1"/>
          <w:sz w:val="22"/>
          <w:szCs w:val="22"/>
        </w:rPr>
        <w:t xml:space="preserve"> (Deposit 86760 in progress, ENST00000322088.6; crRNA2158: 2198–2220) were designed using Cas13designer </w:t>
      </w:r>
      <w:sdt>
        <w:sdtPr>
          <w:rPr>
            <w:rFonts w:ascii="Arial" w:hAnsi="Arial" w:cs="Arial"/>
            <w:color w:val="000000" w:themeColor="text1"/>
            <w:sz w:val="22"/>
            <w:szCs w:val="22"/>
          </w:rPr>
          <w:alias w:val="SmartCite Citation"/>
          <w:tag w:val="fb8ada55-c96e-41dd-87ea-0b994a30978d:14bd6005-d7cf-4d43-921c-6352186a091f,fb8ada55-c96e-41dd-87ea-0b994a30978d:674210b2-0f0d-424a-a2ac-20902faedcdb+"/>
          <w:id w:val="2092435070"/>
          <w:placeholder>
            <w:docPart w:val="AB7FE1CBE7915F4EAAA6074315F7814A"/>
          </w:placeholder>
        </w:sdtPr>
        <w:sdtContent>
          <w:r w:rsidR="00F329CF" w:rsidRPr="0047217C">
            <w:rPr>
              <w:rFonts w:ascii="Arial" w:hAnsi="Arial" w:cs="Arial"/>
              <w:sz w:val="22"/>
              <w:szCs w:val="22"/>
            </w:rPr>
            <w:t>[2,3]</w:t>
          </w:r>
        </w:sdtContent>
      </w:sdt>
      <w:r w:rsidRPr="0047217C">
        <w:rPr>
          <w:rFonts w:ascii="Arial" w:hAnsi="Arial" w:cs="Arial"/>
          <w:color w:val="000000" w:themeColor="text1"/>
          <w:sz w:val="22"/>
          <w:szCs w:val="22"/>
        </w:rPr>
        <w:t>  (</w:t>
      </w:r>
      <w:hyperlink r:id="rId15" w:history="1">
        <w:r w:rsidRPr="0047217C">
          <w:rPr>
            <w:rStyle w:val="Hyperlink"/>
            <w:rFonts w:ascii="Arial" w:hAnsi="Arial" w:cs="Arial"/>
            <w:color w:val="000000" w:themeColor="text1"/>
            <w:sz w:val="22"/>
            <w:szCs w:val="22"/>
          </w:rPr>
          <w:t>https://cas13design.nygenome.org</w:t>
        </w:r>
      </w:hyperlink>
      <w:r w:rsidRPr="0047217C">
        <w:rPr>
          <w:rFonts w:ascii="Arial" w:hAnsi="Arial" w:cs="Arial"/>
          <w:color w:val="000000" w:themeColor="text1"/>
          <w:sz w:val="22"/>
          <w:szCs w:val="22"/>
        </w:rPr>
        <w:t xml:space="preserve">). sgRNAs were cloned into the pLentiRNAGuide_001-hU6-RfxCas13d-DR1-BsmBI-EFS-Puro-WPRE vector containing a </w:t>
      </w:r>
      <w:proofErr w:type="spellStart"/>
      <w:r w:rsidRPr="0047217C">
        <w:rPr>
          <w:rFonts w:ascii="Arial" w:hAnsi="Arial" w:cs="Arial"/>
          <w:color w:val="000000" w:themeColor="text1"/>
          <w:sz w:val="22"/>
          <w:szCs w:val="22"/>
        </w:rPr>
        <w:t>DsRed</w:t>
      </w:r>
      <w:proofErr w:type="spellEnd"/>
      <w:r w:rsidRPr="0047217C">
        <w:rPr>
          <w:rFonts w:ascii="Arial" w:hAnsi="Arial" w:cs="Arial"/>
          <w:color w:val="000000" w:themeColor="text1"/>
          <w:sz w:val="22"/>
          <w:szCs w:val="22"/>
        </w:rPr>
        <w:t xml:space="preserve"> reporter (</w:t>
      </w:r>
      <w:proofErr w:type="gramStart"/>
      <w:r w:rsidRPr="0047217C">
        <w:rPr>
          <w:rFonts w:ascii="Arial" w:hAnsi="Arial" w:cs="Arial"/>
          <w:color w:val="000000" w:themeColor="text1"/>
          <w:sz w:val="22"/>
          <w:szCs w:val="22"/>
        </w:rPr>
        <w:t>RRID:Addgene</w:t>
      </w:r>
      <w:proofErr w:type="gramEnd"/>
      <w:r w:rsidRPr="0047217C">
        <w:rPr>
          <w:rFonts w:ascii="Arial" w:hAnsi="Arial" w:cs="Arial"/>
          <w:color w:val="000000" w:themeColor="text1"/>
          <w:sz w:val="22"/>
          <w:szCs w:val="22"/>
        </w:rPr>
        <w:t xml:space="preserve">_138150). The </w:t>
      </w:r>
      <w:proofErr w:type="spellStart"/>
      <w:r w:rsidRPr="0047217C">
        <w:rPr>
          <w:rFonts w:ascii="Arial" w:hAnsi="Arial" w:cs="Arial"/>
          <w:color w:val="000000" w:themeColor="text1"/>
          <w:sz w:val="22"/>
          <w:szCs w:val="22"/>
        </w:rPr>
        <w:t>folllowing</w:t>
      </w:r>
      <w:proofErr w:type="spellEnd"/>
      <w:r w:rsidRPr="0047217C">
        <w:rPr>
          <w:rFonts w:ascii="Arial" w:hAnsi="Arial" w:cs="Arial"/>
          <w:color w:val="000000" w:themeColor="text1"/>
          <w:sz w:val="22"/>
          <w:szCs w:val="22"/>
        </w:rPr>
        <w:t xml:space="preserve"> oligonucleotides (a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c G A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T A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T A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C G </w:t>
      </w:r>
      <w:proofErr w:type="spellStart"/>
      <w:r w:rsidRPr="0047217C">
        <w:rPr>
          <w:rFonts w:ascii="Arial" w:hAnsi="Arial" w:cs="Arial"/>
          <w:color w:val="000000" w:themeColor="text1"/>
          <w:sz w:val="22"/>
          <w:szCs w:val="22"/>
        </w:rPr>
        <w:t>G</w:t>
      </w:r>
      <w:proofErr w:type="spellEnd"/>
      <w:r w:rsidRPr="0047217C">
        <w:rPr>
          <w:rFonts w:ascii="Arial" w:hAnsi="Arial" w:cs="Arial"/>
          <w:color w:val="000000" w:themeColor="text1"/>
          <w:sz w:val="22"/>
          <w:szCs w:val="22"/>
        </w:rPr>
        <w:t xml:space="preserve"> C A C A G T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a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w:t>
      </w:r>
      <w:proofErr w:type="spellEnd"/>
      <w:r w:rsidRPr="0047217C">
        <w:rPr>
          <w:rFonts w:ascii="Arial" w:hAnsi="Arial" w:cs="Arial"/>
          <w:color w:val="000000" w:themeColor="text1"/>
          <w:sz w:val="22"/>
          <w:szCs w:val="22"/>
        </w:rPr>
        <w:t xml:space="preserve"> C T G T G C </w:t>
      </w:r>
      <w:proofErr w:type="spellStart"/>
      <w:r w:rsidRPr="0047217C">
        <w:rPr>
          <w:rFonts w:ascii="Arial" w:hAnsi="Arial" w:cs="Arial"/>
          <w:color w:val="000000" w:themeColor="text1"/>
          <w:sz w:val="22"/>
          <w:szCs w:val="22"/>
        </w:rPr>
        <w:t>C</w:t>
      </w:r>
      <w:proofErr w:type="spellEnd"/>
      <w:r w:rsidRPr="0047217C">
        <w:rPr>
          <w:rFonts w:ascii="Arial" w:hAnsi="Arial" w:cs="Arial"/>
          <w:color w:val="000000" w:themeColor="text1"/>
          <w:sz w:val="22"/>
          <w:szCs w:val="22"/>
        </w:rPr>
        <w:t xml:space="preserve"> G T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A T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A T </w:t>
      </w:r>
      <w:proofErr w:type="spellStart"/>
      <w:r w:rsidRPr="0047217C">
        <w:rPr>
          <w:rFonts w:ascii="Arial" w:hAnsi="Arial" w:cs="Arial"/>
          <w:color w:val="000000" w:themeColor="text1"/>
          <w:sz w:val="22"/>
          <w:szCs w:val="22"/>
        </w:rPr>
        <w:t>T</w:t>
      </w:r>
      <w:proofErr w:type="spellEnd"/>
      <w:r w:rsidRPr="0047217C">
        <w:rPr>
          <w:rFonts w:ascii="Arial" w:hAnsi="Arial" w:cs="Arial"/>
          <w:color w:val="000000" w:themeColor="text1"/>
          <w:sz w:val="22"/>
          <w:szCs w:val="22"/>
        </w:rPr>
        <w:t xml:space="preserve"> C) were annealed using T4 polynucleotide kinase and ligated into the </w:t>
      </w:r>
      <w:proofErr w:type="spellStart"/>
      <w:r w:rsidRPr="0047217C">
        <w:rPr>
          <w:rFonts w:ascii="Arial" w:hAnsi="Arial" w:cs="Arial"/>
          <w:color w:val="000000" w:themeColor="text1"/>
          <w:sz w:val="22"/>
          <w:szCs w:val="22"/>
        </w:rPr>
        <w:t>BsmBI</w:t>
      </w:r>
      <w:proofErr w:type="spellEnd"/>
      <w:r w:rsidRPr="0047217C">
        <w:rPr>
          <w:rFonts w:ascii="Arial" w:hAnsi="Arial" w:cs="Arial"/>
          <w:color w:val="000000" w:themeColor="text1"/>
          <w:sz w:val="22"/>
          <w:szCs w:val="22"/>
        </w:rPr>
        <w:t>-digested vector by Golden Gate cloning. Correct insertion was confirmed by agarose gel electrophoresis and Sanger sequencing. Lentiviral particles were produced in HEK293FT cells (</w:t>
      </w:r>
      <w:proofErr w:type="gramStart"/>
      <w:r w:rsidRPr="0047217C">
        <w:rPr>
          <w:rFonts w:ascii="Arial" w:hAnsi="Arial" w:cs="Arial"/>
          <w:color w:val="000000" w:themeColor="text1"/>
          <w:sz w:val="22"/>
          <w:szCs w:val="22"/>
        </w:rPr>
        <w:t>RRID:CVCL</w:t>
      </w:r>
      <w:proofErr w:type="gramEnd"/>
      <w:r w:rsidRPr="0047217C">
        <w:rPr>
          <w:rFonts w:ascii="Arial" w:hAnsi="Arial" w:cs="Arial"/>
          <w:color w:val="000000" w:themeColor="text1"/>
          <w:sz w:val="22"/>
          <w:szCs w:val="22"/>
        </w:rPr>
        <w:t>_6911) by co-transfection of the sgRNA plasmid with psPAX2 (</w:t>
      </w:r>
      <w:proofErr w:type="gramStart"/>
      <w:r w:rsidRPr="0047217C">
        <w:rPr>
          <w:rFonts w:ascii="Arial" w:hAnsi="Arial" w:cs="Arial"/>
          <w:color w:val="000000" w:themeColor="text1"/>
          <w:sz w:val="22"/>
          <w:szCs w:val="22"/>
        </w:rPr>
        <w:t>RRID:Addgene</w:t>
      </w:r>
      <w:proofErr w:type="gramEnd"/>
      <w:r w:rsidRPr="0047217C">
        <w:rPr>
          <w:rFonts w:ascii="Arial" w:hAnsi="Arial" w:cs="Arial"/>
          <w:color w:val="000000" w:themeColor="text1"/>
          <w:sz w:val="22"/>
          <w:szCs w:val="22"/>
        </w:rPr>
        <w:t>_12260) and pMD2.G (</w:t>
      </w:r>
      <w:proofErr w:type="gramStart"/>
      <w:r w:rsidRPr="0047217C">
        <w:rPr>
          <w:rFonts w:ascii="Arial" w:hAnsi="Arial" w:cs="Arial"/>
          <w:color w:val="000000" w:themeColor="text1"/>
          <w:sz w:val="22"/>
          <w:szCs w:val="22"/>
        </w:rPr>
        <w:t>RRID:Addgene</w:t>
      </w:r>
      <w:proofErr w:type="gramEnd"/>
      <w:r w:rsidRPr="0047217C">
        <w:rPr>
          <w:rFonts w:ascii="Arial" w:hAnsi="Arial" w:cs="Arial"/>
          <w:color w:val="000000" w:themeColor="text1"/>
          <w:sz w:val="22"/>
          <w:szCs w:val="22"/>
        </w:rPr>
        <w:t xml:space="preserve">_12259) using TransIT-Lentiviral reagent. Viral supernatants were collected after four days, filtered (0.45 µm), and used to transduce MiaPaCa2 Cas13 </w:t>
      </w:r>
      <w:sdt>
        <w:sdtPr>
          <w:rPr>
            <w:rFonts w:ascii="Arial" w:hAnsi="Arial" w:cs="Arial"/>
            <w:color w:val="000000" w:themeColor="text1"/>
            <w:sz w:val="22"/>
            <w:szCs w:val="22"/>
          </w:rPr>
          <w:alias w:val="SmartCite Citation"/>
          <w:tag w:val="fb8ada55-c96e-41dd-87ea-0b994a30978d:d6fae96d-1add-429c-81cf-78fcdae1a2d2+"/>
          <w:id w:val="2025045105"/>
          <w:placeholder>
            <w:docPart w:val="AB7FE1CBE7915F4EAAA6074315F7814A"/>
          </w:placeholder>
        </w:sdtPr>
        <w:sdtContent>
          <w:r w:rsidR="00F329CF" w:rsidRPr="0047217C">
            <w:rPr>
              <w:rFonts w:ascii="Arial" w:hAnsi="Arial" w:cs="Arial"/>
              <w:sz w:val="22"/>
              <w:szCs w:val="22"/>
            </w:rPr>
            <w:t>[1]</w:t>
          </w:r>
        </w:sdtContent>
      </w:sdt>
      <w:r w:rsidRPr="0047217C">
        <w:rPr>
          <w:rFonts w:ascii="Arial" w:hAnsi="Arial" w:cs="Arial"/>
          <w:color w:val="000000" w:themeColor="text1"/>
          <w:sz w:val="22"/>
          <w:szCs w:val="22"/>
        </w:rPr>
        <w:t>  cells by spin infection (1000 × g, 30 min, 33 °C) in the presence of polybrene (8 µg/ml). Puromycin selection (5 µg/ml) was initiated four days post-infection. Stable cell populations were identified by GFP/</w:t>
      </w:r>
      <w:proofErr w:type="spellStart"/>
      <w:r w:rsidRPr="0047217C">
        <w:rPr>
          <w:rFonts w:ascii="Arial" w:hAnsi="Arial" w:cs="Arial"/>
          <w:color w:val="000000" w:themeColor="text1"/>
          <w:sz w:val="22"/>
          <w:szCs w:val="22"/>
        </w:rPr>
        <w:t>dsRed</w:t>
      </w:r>
      <w:proofErr w:type="spellEnd"/>
      <w:r w:rsidRPr="0047217C">
        <w:rPr>
          <w:rFonts w:ascii="Arial" w:hAnsi="Arial" w:cs="Arial"/>
          <w:color w:val="000000" w:themeColor="text1"/>
          <w:sz w:val="22"/>
          <w:szCs w:val="22"/>
        </w:rPr>
        <w:t xml:space="preserve"> co-expression, and </w:t>
      </w:r>
      <w:r w:rsidRPr="0047217C">
        <w:rPr>
          <w:rFonts w:ascii="Arial" w:hAnsi="Arial" w:cs="Arial"/>
          <w:i/>
          <w:iCs/>
          <w:color w:val="000000" w:themeColor="text1"/>
          <w:sz w:val="22"/>
          <w:szCs w:val="22"/>
        </w:rPr>
        <w:t>PPP2R1A</w:t>
      </w:r>
      <w:r w:rsidRPr="0047217C">
        <w:rPr>
          <w:rFonts w:ascii="Arial" w:hAnsi="Arial" w:cs="Arial"/>
          <w:color w:val="000000" w:themeColor="text1"/>
          <w:sz w:val="22"/>
          <w:szCs w:val="22"/>
        </w:rPr>
        <w:t xml:space="preserve"> knockdown efficiency was validated by Western blot analysis.</w:t>
      </w:r>
    </w:p>
    <w:p w14:paraId="510E6CB3" w14:textId="77777777" w:rsidR="00F4074C" w:rsidRPr="0047217C" w:rsidRDefault="00F4074C" w:rsidP="00F4074C">
      <w:pPr>
        <w:spacing w:line="480" w:lineRule="auto"/>
        <w:jc w:val="both"/>
        <w:rPr>
          <w:rFonts w:ascii="Arial" w:hAnsi="Arial" w:cs="Arial"/>
          <w:i/>
          <w:iCs/>
          <w:color w:val="000000" w:themeColor="text1"/>
          <w:sz w:val="22"/>
          <w:szCs w:val="22"/>
          <w:shd w:val="clear" w:color="auto" w:fill="FFFFFF"/>
        </w:rPr>
      </w:pPr>
      <w:r w:rsidRPr="0047217C">
        <w:rPr>
          <w:rFonts w:ascii="Arial" w:hAnsi="Arial" w:cs="Arial"/>
          <w:i/>
          <w:iCs/>
          <w:color w:val="000000" w:themeColor="text1"/>
          <w:sz w:val="22"/>
          <w:szCs w:val="22"/>
          <w:shd w:val="clear" w:color="auto" w:fill="FFFFFF"/>
        </w:rPr>
        <w:t xml:space="preserve">Differential trypsinization </w:t>
      </w:r>
    </w:p>
    <w:p w14:paraId="316CEEC9" w14:textId="6DB61F38" w:rsidR="00F4074C" w:rsidRPr="0047217C" w:rsidRDefault="00F4074C" w:rsidP="00F4074C">
      <w:pPr>
        <w:spacing w:line="480" w:lineRule="auto"/>
        <w:jc w:val="both"/>
        <w:rPr>
          <w:rFonts w:ascii="Arial" w:hAnsi="Arial" w:cs="Arial"/>
          <w:color w:val="000000" w:themeColor="text1"/>
          <w:sz w:val="22"/>
          <w:szCs w:val="22"/>
          <w:shd w:val="clear" w:color="auto" w:fill="FFFFFF"/>
        </w:rPr>
      </w:pPr>
      <w:r w:rsidRPr="0047217C">
        <w:rPr>
          <w:rFonts w:ascii="Arial" w:hAnsi="Arial" w:cs="Arial"/>
          <w:color w:val="000000" w:themeColor="text1"/>
          <w:sz w:val="22"/>
          <w:szCs w:val="22"/>
          <w:shd w:val="clear" w:color="auto" w:fill="FFFFFF"/>
        </w:rPr>
        <w:lastRenderedPageBreak/>
        <w:t xml:space="preserve">Differential trypsinization of murine PDAC cell lines was done as described recently </w:t>
      </w:r>
      <w:sdt>
        <w:sdtPr>
          <w:rPr>
            <w:rFonts w:ascii="Arial" w:hAnsi="Arial" w:cs="Arial"/>
            <w:color w:val="000000" w:themeColor="text1"/>
            <w:sz w:val="22"/>
            <w:szCs w:val="22"/>
            <w:shd w:val="clear" w:color="auto" w:fill="FFFFFF"/>
          </w:rPr>
          <w:alias w:val="SmartCite Citation"/>
          <w:tag w:val="fb8ada55-c96e-41dd-87ea-0b994a30978d:9597e10e-1f24-4bad-b93c-e39274f8b1e2,fb8ada55-c96e-41dd-87ea-0b994a30978d:3171f91e-f93f-408c-ac93-0622f8725f67+"/>
          <w:id w:val="1933154611"/>
          <w:placeholder>
            <w:docPart w:val="90CA6DADBB3CB942B16D90E2960EAA6A"/>
          </w:placeholder>
        </w:sdtPr>
        <w:sdtContent>
          <w:r w:rsidR="00F329CF" w:rsidRPr="0047217C">
            <w:rPr>
              <w:rFonts w:ascii="Arial" w:hAnsi="Arial" w:cs="Arial"/>
              <w:sz w:val="22"/>
              <w:szCs w:val="22"/>
            </w:rPr>
            <w:t>[4,5]</w:t>
          </w:r>
        </w:sdtContent>
      </w:sdt>
      <w:r w:rsidRPr="0047217C">
        <w:rPr>
          <w:rFonts w:ascii="Arial" w:hAnsi="Arial" w:cs="Arial"/>
          <w:color w:val="000000" w:themeColor="text1"/>
          <w:sz w:val="22"/>
          <w:szCs w:val="22"/>
          <w:shd w:val="clear" w:color="auto" w:fill="FFFFFF"/>
        </w:rPr>
        <w:t xml:space="preserve">. In brief, cell lines were differential </w:t>
      </w:r>
      <w:proofErr w:type="spellStart"/>
      <w:r w:rsidRPr="0047217C">
        <w:rPr>
          <w:rFonts w:ascii="Arial" w:hAnsi="Arial" w:cs="Arial"/>
          <w:color w:val="000000" w:themeColor="text1"/>
          <w:sz w:val="22"/>
          <w:szCs w:val="22"/>
          <w:shd w:val="clear" w:color="auto" w:fill="FFFFFF"/>
        </w:rPr>
        <w:t>trypsinized</w:t>
      </w:r>
      <w:proofErr w:type="spellEnd"/>
      <w:r w:rsidRPr="0047217C">
        <w:rPr>
          <w:rFonts w:ascii="Arial" w:hAnsi="Arial" w:cs="Arial"/>
          <w:color w:val="000000" w:themeColor="text1"/>
          <w:sz w:val="22"/>
          <w:szCs w:val="22"/>
          <w:shd w:val="clear" w:color="auto" w:fill="FFFFFF"/>
        </w:rPr>
        <w:t xml:space="preserve"> into their mesenchymal and epithelial fractions by different incubation times with 1x Trypsin/EDTA solution (# 59418C, Sigma-Aldrich). Cell media was aspirated and the cells washed one time with 1x PBS. A short incubation time of 2-3 minutes at room temperature with Trypsin/EDTA solution detached the mesenchymal subpart, whereas the epithelial fraction stayed attached. Both subparts were afterwards cultured </w:t>
      </w:r>
      <w:proofErr w:type="gramStart"/>
      <w:r w:rsidRPr="0047217C">
        <w:rPr>
          <w:rFonts w:ascii="Arial" w:hAnsi="Arial" w:cs="Arial"/>
          <w:color w:val="000000" w:themeColor="text1"/>
          <w:sz w:val="22"/>
          <w:szCs w:val="22"/>
          <w:shd w:val="clear" w:color="auto" w:fill="FFFFFF"/>
        </w:rPr>
        <w:t>separately</w:t>
      </w:r>
      <w:proofErr w:type="gramEnd"/>
      <w:r w:rsidRPr="0047217C">
        <w:rPr>
          <w:rFonts w:ascii="Arial" w:hAnsi="Arial" w:cs="Arial"/>
          <w:color w:val="000000" w:themeColor="text1"/>
          <w:sz w:val="22"/>
          <w:szCs w:val="22"/>
          <w:shd w:val="clear" w:color="auto" w:fill="FFFFFF"/>
        </w:rPr>
        <w:t xml:space="preserve"> and the procedure was then repeated for 3-6 times until stable, homogenous fractions (mesenchymal, epithelial) were enriched.</w:t>
      </w:r>
    </w:p>
    <w:p w14:paraId="3EC1F7F4"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 xml:space="preserve">CellTiter-Glo Viability assay </w:t>
      </w:r>
    </w:p>
    <w:p w14:paraId="32523418" w14:textId="3527B4CD"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For determining the cellular viability after inhibitor treatment in 2D cell lines, CellTiter-Glow® Luminescent Cell Viability Assay (#G7572, Promega, Walldorf, Germany) measurements were accomplished. For cell lines, 1,000-2,000 cells were seeded in 96 white, clear bottom plates (#3610, Corning Life Sciences, New York, USA), treated the next day with a 6- to 9-point dilution of LB100 (from 0.05-50 µM LB100) and incubated for 72 hours at 37°C, before adding 25 µl CellTiter-Glo reagent (Promega, #G7572) as endpoint measurement. Plate readings were done with a FluoStar Optima Luminescent Reader (BMG Labtech GmbH, Ortenberg, Germany). All experiments were done in biological and technical triplicates. The PDOs were screened for LB100 sensitivity and cell viability using a 384-well format and a 9-point LB100 dilution (from 0 - 200 </w:t>
      </w:r>
      <w:proofErr w:type="spellStart"/>
      <w:r w:rsidRPr="0047217C">
        <w:rPr>
          <w:rFonts w:ascii="Arial" w:hAnsi="Arial" w:cs="Arial"/>
          <w:color w:val="000000" w:themeColor="text1"/>
          <w:sz w:val="22"/>
          <w:szCs w:val="22"/>
        </w:rPr>
        <w:t>uM</w:t>
      </w:r>
      <w:proofErr w:type="spellEnd"/>
      <w:r w:rsidRPr="0047217C">
        <w:rPr>
          <w:rFonts w:ascii="Arial" w:hAnsi="Arial" w:cs="Arial"/>
          <w:color w:val="000000" w:themeColor="text1"/>
          <w:sz w:val="22"/>
          <w:szCs w:val="22"/>
        </w:rPr>
        <w:t xml:space="preserve"> LB100). Drug treatment in PDOs was recently described </w:t>
      </w:r>
      <w:sdt>
        <w:sdtPr>
          <w:rPr>
            <w:rFonts w:ascii="Arial" w:hAnsi="Arial" w:cs="Arial"/>
            <w:color w:val="000000" w:themeColor="text1"/>
            <w:sz w:val="22"/>
            <w:szCs w:val="22"/>
          </w:rPr>
          <w:alias w:val="SmartCite Citation"/>
          <w:tag w:val="fb8ada55-c96e-41dd-87ea-0b994a30978d:72a5f2f3-e245-48c1-a10c-a642599c5621+"/>
          <w:id w:val="1332182302"/>
          <w:placeholder>
            <w:docPart w:val="90CA6DADBB3CB942B16D90E2960EAA6A"/>
          </w:placeholder>
        </w:sdtPr>
        <w:sdtContent>
          <w:r w:rsidR="00F329CF" w:rsidRPr="0047217C">
            <w:rPr>
              <w:rFonts w:ascii="Arial" w:hAnsi="Arial" w:cs="Arial"/>
              <w:sz w:val="22"/>
              <w:szCs w:val="22"/>
            </w:rPr>
            <w:t>[6]</w:t>
          </w:r>
        </w:sdtContent>
      </w:sdt>
      <w:r w:rsidRPr="0047217C">
        <w:rPr>
          <w:rFonts w:ascii="Arial" w:hAnsi="Arial" w:cs="Arial"/>
          <w:color w:val="000000" w:themeColor="text1"/>
          <w:sz w:val="22"/>
          <w:szCs w:val="22"/>
        </w:rPr>
        <w:t>. In brief, 500 cells were seeded in a 384-white well plate (#CLS3765, Corning Life Sciences) in drug screen media (Matrigel 1: 9 normal growth media + 10 µM Y-27632) and centrifuged (10 sec, 500rpm). Individual drugs were added in 4µl media/well the next day and after 72 hours, 5 µl CellTiter-Glo® Luminescent Cell Viability reagent (#G7572, Promega, Walldorf, Germany) was added to every single well. GI</w:t>
      </w:r>
      <w:r w:rsidRPr="0047217C">
        <w:rPr>
          <w:rFonts w:ascii="Arial" w:hAnsi="Arial" w:cs="Arial"/>
          <w:color w:val="000000" w:themeColor="text1"/>
          <w:sz w:val="22"/>
          <w:szCs w:val="22"/>
          <w:vertAlign w:val="subscript"/>
        </w:rPr>
        <w:t>50</w:t>
      </w:r>
      <w:r w:rsidRPr="0047217C">
        <w:rPr>
          <w:rFonts w:ascii="Arial" w:hAnsi="Arial" w:cs="Arial"/>
          <w:color w:val="000000" w:themeColor="text1"/>
          <w:sz w:val="22"/>
          <w:szCs w:val="22"/>
        </w:rPr>
        <w:t xml:space="preserve"> values were determined out of at least two independent biological replicates.</w:t>
      </w:r>
    </w:p>
    <w:p w14:paraId="16A53824"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i/>
          <w:iCs/>
          <w:color w:val="000000" w:themeColor="text1"/>
          <w:sz w:val="22"/>
          <w:szCs w:val="22"/>
        </w:rPr>
        <w:t>GI</w:t>
      </w:r>
      <w:r w:rsidRPr="0047217C">
        <w:rPr>
          <w:rFonts w:ascii="Arial" w:hAnsi="Arial" w:cs="Arial"/>
          <w:i/>
          <w:iCs/>
          <w:color w:val="000000" w:themeColor="text1"/>
          <w:sz w:val="22"/>
          <w:szCs w:val="22"/>
          <w:vertAlign w:val="subscript"/>
        </w:rPr>
        <w:t>50</w:t>
      </w:r>
      <w:r w:rsidRPr="0047217C">
        <w:rPr>
          <w:rFonts w:ascii="Arial" w:hAnsi="Arial" w:cs="Arial"/>
          <w:i/>
          <w:iCs/>
          <w:color w:val="000000" w:themeColor="text1"/>
          <w:sz w:val="22"/>
          <w:szCs w:val="22"/>
        </w:rPr>
        <w:t xml:space="preserve"> calculation</w:t>
      </w:r>
    </w:p>
    <w:p w14:paraId="5B677220"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lastRenderedPageBreak/>
        <w:t>The half-maximal growth inhibitory concentration (GI</w:t>
      </w:r>
      <w:r w:rsidRPr="0047217C">
        <w:rPr>
          <w:rFonts w:ascii="Arial" w:hAnsi="Arial" w:cs="Arial"/>
          <w:color w:val="000000" w:themeColor="text1"/>
          <w:sz w:val="22"/>
          <w:szCs w:val="22"/>
          <w:vertAlign w:val="subscript"/>
        </w:rPr>
        <w:t xml:space="preserve">50, </w:t>
      </w:r>
      <w:r w:rsidRPr="0047217C">
        <w:rPr>
          <w:rFonts w:ascii="Arial" w:hAnsi="Arial" w:cs="Arial"/>
          <w:color w:val="000000" w:themeColor="text1"/>
          <w:sz w:val="22"/>
          <w:szCs w:val="22"/>
        </w:rPr>
        <w:t>log(inhibitor) vs. normalized response) and the AUC were calculated with GraphPad Prism 9 (RRID: SCR_002798, GraphPad Software, California, V. 9.4.0), after normalizing to the control wells and log transformation.</w:t>
      </w:r>
    </w:p>
    <w:p w14:paraId="2A92268B"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In-situ resistance assay.</w:t>
      </w:r>
    </w:p>
    <w:p w14:paraId="43DD7212" w14:textId="68E5E5A4"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In-situ resistance assay was done as recently described </w:t>
      </w:r>
      <w:sdt>
        <w:sdtPr>
          <w:rPr>
            <w:rFonts w:ascii="Arial" w:hAnsi="Arial" w:cs="Arial"/>
            <w:color w:val="000000" w:themeColor="text1"/>
            <w:sz w:val="22"/>
            <w:szCs w:val="22"/>
          </w:rPr>
          <w:alias w:val="SmartCite Citation"/>
          <w:tag w:val="fb8ada55-c96e-41dd-87ea-0b994a30978d:7810194e-fa61-4ac1-be0f-27f296ce1727+"/>
          <w:id w:val="1088190927"/>
          <w:placeholder>
            <w:docPart w:val="90CA6DADBB3CB942B16D90E2960EAA6A"/>
          </w:placeholder>
        </w:sdtPr>
        <w:sdtContent>
          <w:r w:rsidR="00F329CF" w:rsidRPr="0047217C">
            <w:rPr>
              <w:rFonts w:ascii="Arial" w:hAnsi="Arial" w:cs="Arial"/>
              <w:sz w:val="22"/>
              <w:szCs w:val="22"/>
            </w:rPr>
            <w:t>[7]</w:t>
          </w:r>
        </w:sdtContent>
      </w:sdt>
      <w:r w:rsidRPr="0047217C">
        <w:rPr>
          <w:rFonts w:ascii="Arial" w:hAnsi="Arial" w:cs="Arial"/>
          <w:color w:val="000000" w:themeColor="text1"/>
          <w:sz w:val="22"/>
          <w:szCs w:val="22"/>
        </w:rPr>
        <w:t xml:space="preserve">. In brief, 200 cells per well were seeded in 100 µl media in triplicates for each concentration (0, 5, 10 and 20 µM) on three plates for technical replicates (n=9). The next day, the indicated concentration of the drug was added in 100 µl media to the cells and confluency was checked after 72h with an </w:t>
      </w:r>
      <w:proofErr w:type="spellStart"/>
      <w:r w:rsidRPr="0047217C">
        <w:rPr>
          <w:rFonts w:ascii="Arial" w:hAnsi="Arial" w:cs="Arial"/>
          <w:color w:val="000000" w:themeColor="text1"/>
          <w:sz w:val="22"/>
          <w:szCs w:val="22"/>
        </w:rPr>
        <w:t>Celigo</w:t>
      </w:r>
      <w:proofErr w:type="spellEnd"/>
      <w:r w:rsidRPr="0047217C">
        <w:rPr>
          <w:rFonts w:ascii="Arial" w:hAnsi="Arial" w:cs="Arial"/>
          <w:color w:val="000000" w:themeColor="text1"/>
          <w:sz w:val="22"/>
          <w:szCs w:val="22"/>
        </w:rPr>
        <w:t xml:space="preserve"> imaging cytometer (</w:t>
      </w:r>
      <w:proofErr w:type="spellStart"/>
      <w:r w:rsidRPr="0047217C">
        <w:rPr>
          <w:rFonts w:ascii="Arial" w:hAnsi="Arial" w:cs="Arial"/>
          <w:color w:val="000000" w:themeColor="text1"/>
          <w:sz w:val="22"/>
          <w:szCs w:val="22"/>
        </w:rPr>
        <w:t>Revvity</w:t>
      </w:r>
      <w:proofErr w:type="spellEnd"/>
      <w:r w:rsidRPr="0047217C">
        <w:rPr>
          <w:rFonts w:ascii="Arial" w:hAnsi="Arial" w:cs="Arial"/>
          <w:color w:val="000000" w:themeColor="text1"/>
          <w:sz w:val="22"/>
          <w:szCs w:val="22"/>
        </w:rPr>
        <w:t xml:space="preserve">, Hamburg, Germany). For the following 5 weeks, the media was changed to new drug containing media (200 µl) on the same day the week after as the initial treatment and always evaluated for confluency after 72h. Confluency at this time points </w:t>
      </w:r>
      <w:proofErr w:type="gramStart"/>
      <w:r w:rsidRPr="0047217C">
        <w:rPr>
          <w:rFonts w:ascii="Arial" w:hAnsi="Arial" w:cs="Arial"/>
          <w:color w:val="000000" w:themeColor="text1"/>
          <w:sz w:val="22"/>
          <w:szCs w:val="22"/>
        </w:rPr>
        <w:t>was</w:t>
      </w:r>
      <w:proofErr w:type="gramEnd"/>
      <w:r w:rsidRPr="0047217C">
        <w:rPr>
          <w:rFonts w:ascii="Arial" w:hAnsi="Arial" w:cs="Arial"/>
          <w:color w:val="000000" w:themeColor="text1"/>
          <w:sz w:val="22"/>
          <w:szCs w:val="22"/>
        </w:rPr>
        <w:t xml:space="preserve"> subjectively evaluated and a well was scored as resistant if the confluency was over 50%. After that, the probability of survival was determined for every </w:t>
      </w:r>
      <w:proofErr w:type="gramStart"/>
      <w:r w:rsidRPr="0047217C">
        <w:rPr>
          <w:rFonts w:ascii="Arial" w:hAnsi="Arial" w:cs="Arial"/>
          <w:color w:val="000000" w:themeColor="text1"/>
          <w:sz w:val="22"/>
          <w:szCs w:val="22"/>
        </w:rPr>
        <w:t>well</w:t>
      </w:r>
      <w:proofErr w:type="gramEnd"/>
      <w:r w:rsidRPr="0047217C">
        <w:rPr>
          <w:rFonts w:ascii="Arial" w:hAnsi="Arial" w:cs="Arial"/>
          <w:color w:val="000000" w:themeColor="text1"/>
          <w:sz w:val="22"/>
          <w:szCs w:val="22"/>
        </w:rPr>
        <w:t xml:space="preserve"> and a Kaplan-Meier survival curve was created. P values ware calculated using the log rank test. </w:t>
      </w:r>
    </w:p>
    <w:p w14:paraId="216DF2A2"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Clonogenic Assay</w:t>
      </w:r>
    </w:p>
    <w:p w14:paraId="1201FF61"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2,000 cells were seeded into 24-well plates for Clonogenic Colony Formation assay, before treating the next day with the indicated concentrations of drugs. After 14 days, the media was aspirated, and the cells were washed one time with PBS and fixed with 0.2% (w/v) Crystal violet (Sigma-Aldrich, Darmstadt, Germany) solution in 2% (v/v) EtOH for 15 minutes. After washing three times with PBS, the fixed cells were dried overnight and imaged with a flatbed scanner. For quantification purposes, 600 µl of 1% (w/v) SDS-solution (Serva Electrophoresis GmbH, Heidelberg, Germany) was added and incubated, until no further clumps were visible. Absorbance at 595 nm was measured with a CLARIOstar microplate reader (BMG Labtech GmbH, Ortenberg, Germany). Values of a minimum of n = 3 independent biological experiments were calculated and normalized to each control.</w:t>
      </w:r>
    </w:p>
    <w:p w14:paraId="71AEED80"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CRISPR resistance screen – human MiaPaCa2 cells</w:t>
      </w:r>
    </w:p>
    <w:p w14:paraId="5EDA295B" w14:textId="62E7F23D" w:rsidR="00F4074C" w:rsidRPr="0047217C" w:rsidRDefault="00F4074C" w:rsidP="00F4074C">
      <w:pPr>
        <w:spacing w:line="480" w:lineRule="auto"/>
        <w:jc w:val="both"/>
        <w:rPr>
          <w:rFonts w:ascii="Arial" w:hAnsi="Arial" w:cs="Arial"/>
          <w:iCs/>
          <w:color w:val="000000" w:themeColor="text1"/>
          <w:sz w:val="22"/>
          <w:szCs w:val="22"/>
        </w:rPr>
      </w:pPr>
      <w:r w:rsidRPr="0047217C">
        <w:rPr>
          <w:rFonts w:ascii="Arial" w:hAnsi="Arial" w:cs="Arial"/>
          <w:iCs/>
          <w:color w:val="000000" w:themeColor="text1"/>
          <w:sz w:val="22"/>
          <w:szCs w:val="22"/>
        </w:rPr>
        <w:t xml:space="preserve">Following the manufacturer’s protocol, 400ng of the library plasmid DNA </w:t>
      </w:r>
      <w:sdt>
        <w:sdtPr>
          <w:rPr>
            <w:rFonts w:ascii="Arial" w:hAnsi="Arial" w:cs="Arial"/>
            <w:iCs/>
            <w:color w:val="000000" w:themeColor="text1"/>
            <w:sz w:val="22"/>
            <w:szCs w:val="22"/>
          </w:rPr>
          <w:alias w:val="SmartCite Citation"/>
          <w:tag w:val="fb8ada55-c96e-41dd-87ea-0b994a30978d:fdb9024b-8e0c-4aa9-8086-379c02f2cb1d+"/>
          <w:id w:val="1237209348"/>
          <w:placeholder>
            <w:docPart w:val="90CA6DADBB3CB942B16D90E2960EAA6A"/>
          </w:placeholder>
        </w:sdtPr>
        <w:sdtContent>
          <w:r w:rsidR="00F329CF" w:rsidRPr="0047217C">
            <w:rPr>
              <w:rFonts w:ascii="Arial" w:hAnsi="Arial" w:cs="Arial"/>
              <w:sz w:val="22"/>
              <w:szCs w:val="22"/>
            </w:rPr>
            <w:t>[8]</w:t>
          </w:r>
        </w:sdtContent>
      </w:sdt>
      <w:r w:rsidRPr="0047217C">
        <w:rPr>
          <w:rFonts w:ascii="Arial" w:hAnsi="Arial" w:cs="Arial"/>
          <w:iCs/>
          <w:color w:val="000000" w:themeColor="text1"/>
          <w:sz w:val="22"/>
          <w:szCs w:val="22"/>
        </w:rPr>
        <w:t xml:space="preserve"> was amplified using </w:t>
      </w:r>
      <w:proofErr w:type="spellStart"/>
      <w:r w:rsidRPr="0047217C">
        <w:rPr>
          <w:rFonts w:ascii="Arial" w:hAnsi="Arial" w:cs="Arial"/>
          <w:iCs/>
          <w:color w:val="000000" w:themeColor="text1"/>
          <w:sz w:val="22"/>
          <w:szCs w:val="22"/>
        </w:rPr>
        <w:t>ElectroMAX</w:t>
      </w:r>
      <w:r w:rsidRPr="0047217C">
        <w:rPr>
          <w:rFonts w:ascii="Arial" w:hAnsi="Arial" w:cs="Arial"/>
          <w:iCs/>
          <w:color w:val="000000" w:themeColor="text1"/>
          <w:sz w:val="22"/>
          <w:szCs w:val="22"/>
          <w:vertAlign w:val="superscript"/>
        </w:rPr>
        <w:t>TM</w:t>
      </w:r>
      <w:proofErr w:type="spellEnd"/>
      <w:r w:rsidRPr="0047217C">
        <w:rPr>
          <w:rFonts w:ascii="Arial" w:hAnsi="Arial" w:cs="Arial"/>
          <w:iCs/>
          <w:color w:val="000000" w:themeColor="text1"/>
          <w:sz w:val="22"/>
          <w:szCs w:val="22"/>
        </w:rPr>
        <w:t xml:space="preserve"> D10HB cells (</w:t>
      </w:r>
      <w:proofErr w:type="spellStart"/>
      <w:r w:rsidRPr="0047217C">
        <w:rPr>
          <w:rFonts w:ascii="Arial" w:hAnsi="Arial" w:cs="Arial"/>
          <w:iCs/>
          <w:color w:val="000000" w:themeColor="text1"/>
          <w:sz w:val="22"/>
          <w:szCs w:val="22"/>
        </w:rPr>
        <w:t>ThermoFisher</w:t>
      </w:r>
      <w:proofErr w:type="spellEnd"/>
      <w:r w:rsidRPr="0047217C">
        <w:rPr>
          <w:rFonts w:ascii="Arial" w:hAnsi="Arial" w:cs="Arial"/>
          <w:iCs/>
          <w:color w:val="000000" w:themeColor="text1"/>
          <w:sz w:val="22"/>
          <w:szCs w:val="22"/>
        </w:rPr>
        <w:t xml:space="preserve">, #18290015). Human Brunello CRISPR </w:t>
      </w:r>
      <w:r w:rsidRPr="0047217C">
        <w:rPr>
          <w:rFonts w:ascii="Arial" w:hAnsi="Arial" w:cs="Arial"/>
          <w:iCs/>
          <w:color w:val="000000" w:themeColor="text1"/>
          <w:sz w:val="22"/>
          <w:szCs w:val="22"/>
        </w:rPr>
        <w:lastRenderedPageBreak/>
        <w:t>knockout pooled library was a gift from David Root and John Doench (Addgene #73178). The library was added and transferred into a chilled electroporation cuvette and pulsed (</w:t>
      </w:r>
      <w:proofErr w:type="spellStart"/>
      <w:r w:rsidRPr="0047217C">
        <w:rPr>
          <w:rFonts w:ascii="Arial" w:hAnsi="Arial" w:cs="Arial"/>
          <w:iCs/>
          <w:color w:val="000000" w:themeColor="text1"/>
          <w:sz w:val="22"/>
          <w:szCs w:val="22"/>
        </w:rPr>
        <w:t>BioRad</w:t>
      </w:r>
      <w:proofErr w:type="spellEnd"/>
      <w:r w:rsidRPr="0047217C">
        <w:rPr>
          <w:rFonts w:ascii="Arial" w:hAnsi="Arial" w:cs="Arial"/>
          <w:iCs/>
          <w:color w:val="000000" w:themeColor="text1"/>
          <w:sz w:val="22"/>
          <w:szCs w:val="22"/>
        </w:rPr>
        <w:t xml:space="preserve">, </w:t>
      </w:r>
      <w:proofErr w:type="spellStart"/>
      <w:r w:rsidRPr="0047217C">
        <w:rPr>
          <w:rFonts w:ascii="Arial" w:hAnsi="Arial" w:cs="Arial"/>
          <w:iCs/>
          <w:color w:val="000000" w:themeColor="text1"/>
          <w:sz w:val="22"/>
          <w:szCs w:val="22"/>
        </w:rPr>
        <w:t>Feldkirchen</w:t>
      </w:r>
      <w:proofErr w:type="spellEnd"/>
      <w:r w:rsidRPr="0047217C">
        <w:rPr>
          <w:rFonts w:ascii="Arial" w:hAnsi="Arial" w:cs="Arial"/>
          <w:iCs/>
          <w:color w:val="000000" w:themeColor="text1"/>
          <w:sz w:val="22"/>
          <w:szCs w:val="22"/>
        </w:rPr>
        <w:t xml:space="preserve">, Germany) at 1.8kV, (Ec1). SOC medium was directly added after the </w:t>
      </w:r>
      <w:proofErr w:type="gramStart"/>
      <w:r w:rsidRPr="0047217C">
        <w:rPr>
          <w:rFonts w:ascii="Arial" w:hAnsi="Arial" w:cs="Arial"/>
          <w:iCs/>
          <w:color w:val="000000" w:themeColor="text1"/>
          <w:sz w:val="22"/>
          <w:szCs w:val="22"/>
        </w:rPr>
        <w:t>pulse</w:t>
      </w:r>
      <w:proofErr w:type="gramEnd"/>
      <w:r w:rsidRPr="0047217C">
        <w:rPr>
          <w:rFonts w:ascii="Arial" w:hAnsi="Arial" w:cs="Arial"/>
          <w:iCs/>
          <w:color w:val="000000" w:themeColor="text1"/>
          <w:sz w:val="22"/>
          <w:szCs w:val="22"/>
        </w:rPr>
        <w:t xml:space="preserve"> and the cells were shaken in an incubator for 1h at 30°C. Cells were then spread on prewarmed LB-agar bioassay plates (</w:t>
      </w:r>
      <w:proofErr w:type="spellStart"/>
      <w:r w:rsidRPr="0047217C">
        <w:rPr>
          <w:rFonts w:ascii="Arial" w:hAnsi="Arial" w:cs="Arial"/>
          <w:iCs/>
          <w:color w:val="000000" w:themeColor="text1"/>
          <w:sz w:val="22"/>
          <w:szCs w:val="22"/>
        </w:rPr>
        <w:t>ThermoFisher</w:t>
      </w:r>
      <w:proofErr w:type="spellEnd"/>
      <w:r w:rsidRPr="0047217C">
        <w:rPr>
          <w:rFonts w:ascii="Arial" w:hAnsi="Arial" w:cs="Arial"/>
          <w:iCs/>
          <w:color w:val="000000" w:themeColor="text1"/>
          <w:sz w:val="22"/>
          <w:szCs w:val="22"/>
        </w:rPr>
        <w:t xml:space="preserve">, #10489282) supplemented with Ampicillin 100ug/mL at 30°C for 16-18 hours. Transformants were pooled and plasmid DNA was extracted with the </w:t>
      </w:r>
      <w:proofErr w:type="spellStart"/>
      <w:r w:rsidRPr="0047217C">
        <w:rPr>
          <w:rFonts w:ascii="Arial" w:hAnsi="Arial" w:cs="Arial"/>
          <w:iCs/>
          <w:color w:val="000000" w:themeColor="text1"/>
          <w:sz w:val="22"/>
          <w:szCs w:val="22"/>
        </w:rPr>
        <w:t>HiSpeed</w:t>
      </w:r>
      <w:proofErr w:type="spellEnd"/>
      <w:r w:rsidRPr="0047217C">
        <w:rPr>
          <w:rFonts w:ascii="Arial" w:hAnsi="Arial" w:cs="Arial"/>
          <w:iCs/>
          <w:color w:val="000000" w:themeColor="text1"/>
          <w:sz w:val="22"/>
          <w:szCs w:val="22"/>
        </w:rPr>
        <w:t xml:space="preserve"> Plasmid Maxi Kit from Qiagen.</w:t>
      </w:r>
    </w:p>
    <w:p w14:paraId="72716A70" w14:textId="4E0BAADC" w:rsidR="00F4074C" w:rsidRPr="0047217C" w:rsidRDefault="00F4074C" w:rsidP="00F4074C">
      <w:pPr>
        <w:spacing w:line="480" w:lineRule="auto"/>
        <w:jc w:val="both"/>
        <w:rPr>
          <w:rFonts w:ascii="Arial" w:hAnsi="Arial" w:cs="Arial"/>
          <w:iCs/>
          <w:color w:val="000000" w:themeColor="text1"/>
          <w:sz w:val="22"/>
          <w:szCs w:val="22"/>
        </w:rPr>
      </w:pPr>
      <w:r w:rsidRPr="0047217C">
        <w:rPr>
          <w:rFonts w:ascii="Arial" w:hAnsi="Arial" w:cs="Arial"/>
          <w:iCs/>
          <w:color w:val="000000" w:themeColor="text1"/>
          <w:sz w:val="22"/>
          <w:szCs w:val="22"/>
        </w:rPr>
        <w:t>Lentivirus production was conducted by seeding HEK293T cells (4-5 million cells in 10cm dishes) in DMEM (</w:t>
      </w:r>
      <w:proofErr w:type="spellStart"/>
      <w:r w:rsidRPr="0047217C">
        <w:rPr>
          <w:rFonts w:ascii="Arial" w:hAnsi="Arial" w:cs="Arial"/>
          <w:iCs/>
          <w:color w:val="000000" w:themeColor="text1"/>
          <w:sz w:val="22"/>
          <w:szCs w:val="22"/>
        </w:rPr>
        <w:t>ThermoFisher</w:t>
      </w:r>
      <w:proofErr w:type="spellEnd"/>
      <w:r w:rsidRPr="0047217C">
        <w:rPr>
          <w:rFonts w:ascii="Arial" w:hAnsi="Arial" w:cs="Arial"/>
          <w:iCs/>
          <w:color w:val="000000" w:themeColor="text1"/>
          <w:sz w:val="22"/>
          <w:szCs w:val="22"/>
        </w:rPr>
        <w:t xml:space="preserve"> Gibco, #41965062) supplemented with 10% Fetal Bovine Serum (</w:t>
      </w:r>
      <w:proofErr w:type="spellStart"/>
      <w:r w:rsidRPr="0047217C">
        <w:rPr>
          <w:rFonts w:ascii="Arial" w:hAnsi="Arial" w:cs="Arial"/>
          <w:iCs/>
          <w:color w:val="000000" w:themeColor="text1"/>
          <w:sz w:val="22"/>
          <w:szCs w:val="22"/>
        </w:rPr>
        <w:t>ThermoFisher</w:t>
      </w:r>
      <w:proofErr w:type="spellEnd"/>
      <w:r w:rsidRPr="0047217C">
        <w:rPr>
          <w:rFonts w:ascii="Arial" w:hAnsi="Arial" w:cs="Arial"/>
          <w:iCs/>
          <w:color w:val="000000" w:themeColor="text1"/>
          <w:sz w:val="22"/>
          <w:szCs w:val="22"/>
        </w:rPr>
        <w:t xml:space="preserve"> Gibco, #A5256701). 1ml of </w:t>
      </w:r>
      <w:proofErr w:type="spellStart"/>
      <w:r w:rsidRPr="0047217C">
        <w:rPr>
          <w:rFonts w:ascii="Arial" w:hAnsi="Arial" w:cs="Arial"/>
          <w:iCs/>
          <w:color w:val="000000" w:themeColor="text1"/>
          <w:sz w:val="22"/>
          <w:szCs w:val="22"/>
        </w:rPr>
        <w:t>OptiMEM</w:t>
      </w:r>
      <w:proofErr w:type="spellEnd"/>
      <w:r w:rsidRPr="0047217C">
        <w:rPr>
          <w:rFonts w:ascii="Arial" w:hAnsi="Arial" w:cs="Arial"/>
          <w:iCs/>
          <w:color w:val="000000" w:themeColor="text1"/>
          <w:sz w:val="22"/>
          <w:szCs w:val="22"/>
        </w:rPr>
        <w:t xml:space="preserve"> (</w:t>
      </w:r>
      <w:proofErr w:type="spellStart"/>
      <w:r w:rsidRPr="0047217C">
        <w:rPr>
          <w:rFonts w:ascii="Arial" w:hAnsi="Arial" w:cs="Arial"/>
          <w:iCs/>
          <w:color w:val="000000" w:themeColor="text1"/>
          <w:sz w:val="22"/>
          <w:szCs w:val="22"/>
        </w:rPr>
        <w:t>ThermoFisher</w:t>
      </w:r>
      <w:proofErr w:type="spellEnd"/>
      <w:r w:rsidRPr="0047217C">
        <w:rPr>
          <w:rFonts w:ascii="Arial" w:hAnsi="Arial" w:cs="Arial"/>
          <w:iCs/>
          <w:color w:val="000000" w:themeColor="text1"/>
          <w:sz w:val="22"/>
          <w:szCs w:val="22"/>
        </w:rPr>
        <w:t xml:space="preserve"> Gibco, #31985-062) + 20µL of Lipofectamine2000 transfection reagent (</w:t>
      </w:r>
      <w:proofErr w:type="spellStart"/>
      <w:r w:rsidRPr="0047217C">
        <w:rPr>
          <w:rFonts w:ascii="Arial" w:hAnsi="Arial" w:cs="Arial"/>
          <w:iCs/>
          <w:color w:val="000000" w:themeColor="text1"/>
          <w:sz w:val="22"/>
          <w:szCs w:val="22"/>
        </w:rPr>
        <w:t>ThermoFisher</w:t>
      </w:r>
      <w:proofErr w:type="spellEnd"/>
      <w:r w:rsidRPr="0047217C">
        <w:rPr>
          <w:rFonts w:ascii="Arial" w:hAnsi="Arial" w:cs="Arial"/>
          <w:iCs/>
          <w:color w:val="000000" w:themeColor="text1"/>
          <w:sz w:val="22"/>
          <w:szCs w:val="22"/>
        </w:rPr>
        <w:t xml:space="preserve">, #11668019) 10µg of each plasmid (pPAX2; pMD2G; lentiCas9-blast; sgRNA library). lentiCas9-Blast was a gift from Feng Zhang (Addgene plasmid # 52962) </w:t>
      </w:r>
      <w:sdt>
        <w:sdtPr>
          <w:rPr>
            <w:rFonts w:ascii="Arial" w:hAnsi="Arial" w:cs="Arial"/>
            <w:iCs/>
            <w:color w:val="000000" w:themeColor="text1"/>
            <w:sz w:val="22"/>
            <w:szCs w:val="22"/>
          </w:rPr>
          <w:alias w:val="SmartCite Citation"/>
          <w:tag w:val="fb8ada55-c96e-41dd-87ea-0b994a30978d:6e850252-ac07-4efc-b355-d8767e42b393+"/>
          <w:id w:val="1510414499"/>
          <w:placeholder>
            <w:docPart w:val="90CA6DADBB3CB942B16D90E2960EAA6A"/>
          </w:placeholder>
        </w:sdtPr>
        <w:sdtContent>
          <w:r w:rsidR="00F329CF" w:rsidRPr="0047217C">
            <w:rPr>
              <w:rFonts w:ascii="Arial" w:hAnsi="Arial" w:cs="Arial"/>
              <w:sz w:val="22"/>
              <w:szCs w:val="22"/>
            </w:rPr>
            <w:t>[9]</w:t>
          </w:r>
        </w:sdtContent>
      </w:sdt>
      <w:r w:rsidRPr="0047217C">
        <w:rPr>
          <w:rFonts w:ascii="Arial" w:hAnsi="Arial" w:cs="Arial"/>
          <w:iCs/>
          <w:color w:val="000000" w:themeColor="text1"/>
          <w:sz w:val="22"/>
          <w:szCs w:val="22"/>
        </w:rPr>
        <w:t>. The mixture was incubated 20 minutes at room temperature and then added to the HEK293T cells and mixed gently. The medium was changed 12hours post-transfection and viral supernatant was collected 36 hours after transfection and filtered using a 0.45um syringe filter. A total of 3 million MiaPaCa2 cells were seeded in 6-well plates, one day prior to transduction. 3mL of the spCas9 viral supernatant were added to the cells with polybrene 1µg/mL (Merck, #TR-1003-G) and cells were spin-transduced for 1h at 2000 rpm at 32°C. 24 hours later, cells were split and selected with 10µg/mL Blasticidin S HCl (</w:t>
      </w:r>
      <w:proofErr w:type="spellStart"/>
      <w:r w:rsidRPr="0047217C">
        <w:rPr>
          <w:rFonts w:ascii="Arial" w:hAnsi="Arial" w:cs="Arial"/>
          <w:iCs/>
          <w:color w:val="000000" w:themeColor="text1"/>
          <w:sz w:val="22"/>
          <w:szCs w:val="22"/>
        </w:rPr>
        <w:t>ThermoFisher</w:t>
      </w:r>
      <w:proofErr w:type="spellEnd"/>
      <w:r w:rsidRPr="0047217C">
        <w:rPr>
          <w:rFonts w:ascii="Arial" w:hAnsi="Arial" w:cs="Arial"/>
          <w:iCs/>
          <w:color w:val="000000" w:themeColor="text1"/>
          <w:sz w:val="22"/>
          <w:szCs w:val="22"/>
        </w:rPr>
        <w:t xml:space="preserve"> Gibco, #A1113903). Cas9 expression was confirmed by western </w:t>
      </w:r>
      <w:proofErr w:type="gramStart"/>
      <w:r w:rsidRPr="0047217C">
        <w:rPr>
          <w:rFonts w:ascii="Arial" w:hAnsi="Arial" w:cs="Arial"/>
          <w:iCs/>
          <w:color w:val="000000" w:themeColor="text1"/>
          <w:sz w:val="22"/>
          <w:szCs w:val="22"/>
        </w:rPr>
        <w:t>blot</w:t>
      </w:r>
      <w:proofErr w:type="gramEnd"/>
      <w:r w:rsidRPr="0047217C">
        <w:rPr>
          <w:rFonts w:ascii="Arial" w:hAnsi="Arial" w:cs="Arial"/>
          <w:iCs/>
          <w:color w:val="000000" w:themeColor="text1"/>
          <w:sz w:val="22"/>
          <w:szCs w:val="22"/>
        </w:rPr>
        <w:t xml:space="preserve"> and functionality was assessed by sgRNA transfection. MiaPaCa2-Cas9 cells were seeded in 3 mL in 6-well plate at a density of 1million cells / ml. To determine the multiplicity of infection (MOI) of the virus, various dilutions were conducted in each well: 1:15, 1:30, 1:60, 1:120 and 1:240. 1µg/mL of polybrene was added (Merck, #TR-1003-G) and cells were centrifuged at 2000 rpm at 32°C for 1hour. One day after the spin-transduction, the cells were split in 2 groups and one group was selected with puromycin 1µg/µL (</w:t>
      </w:r>
      <w:proofErr w:type="spellStart"/>
      <w:r w:rsidRPr="0047217C">
        <w:rPr>
          <w:rFonts w:ascii="Arial" w:hAnsi="Arial" w:cs="Arial"/>
          <w:iCs/>
          <w:color w:val="000000" w:themeColor="text1"/>
          <w:sz w:val="22"/>
          <w:szCs w:val="22"/>
        </w:rPr>
        <w:t>ThermiFisher</w:t>
      </w:r>
      <w:proofErr w:type="spellEnd"/>
      <w:r w:rsidRPr="0047217C">
        <w:rPr>
          <w:rFonts w:ascii="Arial" w:hAnsi="Arial" w:cs="Arial"/>
          <w:iCs/>
          <w:color w:val="000000" w:themeColor="text1"/>
          <w:sz w:val="22"/>
          <w:szCs w:val="22"/>
        </w:rPr>
        <w:t>, #A1113803). Calculation of the MOI: (Transfected cells treated with puromycin)</w:t>
      </w:r>
      <w:proofErr w:type="gramStart"/>
      <w:r w:rsidRPr="0047217C">
        <w:rPr>
          <w:rFonts w:ascii="Arial" w:hAnsi="Arial" w:cs="Arial"/>
          <w:iCs/>
          <w:color w:val="000000" w:themeColor="text1"/>
          <w:sz w:val="22"/>
          <w:szCs w:val="22"/>
        </w:rPr>
        <w:t>/(</w:t>
      </w:r>
      <w:proofErr w:type="gramEnd"/>
      <w:r w:rsidRPr="0047217C">
        <w:rPr>
          <w:rFonts w:ascii="Arial" w:hAnsi="Arial" w:cs="Arial"/>
          <w:iCs/>
          <w:color w:val="000000" w:themeColor="text1"/>
          <w:sz w:val="22"/>
          <w:szCs w:val="22"/>
        </w:rPr>
        <w:t>Transfected cells without puromycin) x</w:t>
      </w:r>
      <w:proofErr w:type="gramStart"/>
      <w:r w:rsidRPr="0047217C">
        <w:rPr>
          <w:rFonts w:ascii="Arial" w:hAnsi="Arial" w:cs="Arial"/>
          <w:iCs/>
          <w:color w:val="000000" w:themeColor="text1"/>
          <w:sz w:val="22"/>
          <w:szCs w:val="22"/>
        </w:rPr>
        <w:t>100)-(</w:t>
      </w:r>
      <w:proofErr w:type="gramEnd"/>
      <w:r w:rsidRPr="0047217C">
        <w:rPr>
          <w:rFonts w:ascii="Arial" w:hAnsi="Arial" w:cs="Arial"/>
          <w:iCs/>
          <w:color w:val="000000" w:themeColor="text1"/>
          <w:sz w:val="22"/>
          <w:szCs w:val="22"/>
        </w:rPr>
        <w:t>Untransfected cells treated with puromycin)</w:t>
      </w:r>
      <w:proofErr w:type="gramStart"/>
      <w:r w:rsidRPr="0047217C">
        <w:rPr>
          <w:rFonts w:ascii="Arial" w:hAnsi="Arial" w:cs="Arial"/>
          <w:iCs/>
          <w:color w:val="000000" w:themeColor="text1"/>
          <w:sz w:val="22"/>
          <w:szCs w:val="22"/>
        </w:rPr>
        <w:t>/(</w:t>
      </w:r>
      <w:proofErr w:type="gramEnd"/>
      <w:r w:rsidRPr="0047217C">
        <w:rPr>
          <w:rFonts w:ascii="Arial" w:hAnsi="Arial" w:cs="Arial"/>
          <w:iCs/>
          <w:color w:val="000000" w:themeColor="text1"/>
          <w:sz w:val="22"/>
          <w:szCs w:val="22"/>
        </w:rPr>
        <w:t xml:space="preserve">Untransfected </w:t>
      </w:r>
      <w:r w:rsidRPr="0047217C">
        <w:rPr>
          <w:rFonts w:ascii="Arial" w:hAnsi="Arial" w:cs="Arial"/>
          <w:iCs/>
          <w:color w:val="000000" w:themeColor="text1"/>
          <w:sz w:val="22"/>
          <w:szCs w:val="22"/>
        </w:rPr>
        <w:lastRenderedPageBreak/>
        <w:t>cells without puromycin) x100). Next, 3x10</w:t>
      </w:r>
      <w:r w:rsidRPr="0047217C">
        <w:rPr>
          <w:rFonts w:ascii="Arial" w:hAnsi="Arial" w:cs="Arial"/>
          <w:iCs/>
          <w:color w:val="000000" w:themeColor="text1"/>
          <w:sz w:val="22"/>
          <w:szCs w:val="22"/>
          <w:vertAlign w:val="superscript"/>
        </w:rPr>
        <w:t>8</w:t>
      </w:r>
      <w:r w:rsidRPr="0047217C">
        <w:rPr>
          <w:rFonts w:ascii="Arial" w:hAnsi="Arial" w:cs="Arial"/>
          <w:iCs/>
          <w:color w:val="000000" w:themeColor="text1"/>
          <w:sz w:val="22"/>
          <w:szCs w:val="22"/>
        </w:rPr>
        <w:t xml:space="preserve"> MiaPaCa2-Cas9 cells were seeded and transduced with the Brunello library which contains 19,112 targeted genes, 76,448 sgRNAs and 1000 controls aiming an MOI of 0.3. The transduction was conducted in the same conditions as the titer determination. The transduced cells were selected with 1µg/mL of puromycin for 7 days. Pellets were harvested and frozen for genomic DNA analysis on day 0. Cells were split into two groups, one treated with vehicle and the other with LB100 (5µM) for 14 days. At the end of the screen, cells were harvested for genomic DNA isolation (Macherey-Nagel, Tissue Kit, #740952.10). sgRNAs were amplified by PCR according to the manufacturer’s protocol, PCR products were purified using </w:t>
      </w:r>
      <w:proofErr w:type="spellStart"/>
      <w:r w:rsidRPr="0047217C">
        <w:rPr>
          <w:rFonts w:ascii="Arial" w:hAnsi="Arial" w:cs="Arial"/>
          <w:iCs/>
          <w:color w:val="000000" w:themeColor="text1"/>
          <w:sz w:val="22"/>
          <w:szCs w:val="22"/>
        </w:rPr>
        <w:t>AMPpure</w:t>
      </w:r>
      <w:proofErr w:type="spellEnd"/>
      <w:r w:rsidRPr="0047217C">
        <w:rPr>
          <w:rFonts w:ascii="Arial" w:hAnsi="Arial" w:cs="Arial"/>
          <w:iCs/>
          <w:color w:val="000000" w:themeColor="text1"/>
          <w:sz w:val="22"/>
          <w:szCs w:val="22"/>
        </w:rPr>
        <w:t xml:space="preserve"> beads and samples were sent to Novogene for next-generation sequencing (NGS). </w:t>
      </w:r>
    </w:p>
    <w:p w14:paraId="040D377D"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CRISPR resistance screen - murine 9091 cells</w:t>
      </w:r>
    </w:p>
    <w:p w14:paraId="0A166000" w14:textId="26187C1B"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For the library amplification, 100 ng of the murine BRIE CRISPR knockout pooled library </w:t>
      </w:r>
      <w:sdt>
        <w:sdtPr>
          <w:rPr>
            <w:rFonts w:ascii="Arial" w:hAnsi="Arial" w:cs="Arial"/>
            <w:color w:val="000000" w:themeColor="text1"/>
            <w:sz w:val="22"/>
            <w:szCs w:val="22"/>
          </w:rPr>
          <w:alias w:val="SmartCite Citation"/>
          <w:tag w:val="fb8ada55-c96e-41dd-87ea-0b994a30978d:fdb9024b-8e0c-4aa9-8086-379c02f2cb1d+"/>
          <w:id w:val="1996524132"/>
          <w:placeholder>
            <w:docPart w:val="90CA6DADBB3CB942B16D90E2960EAA6A"/>
          </w:placeholder>
        </w:sdtPr>
        <w:sdtContent>
          <w:r w:rsidR="00F329CF" w:rsidRPr="0047217C">
            <w:rPr>
              <w:rFonts w:ascii="Arial" w:hAnsi="Arial" w:cs="Arial"/>
              <w:sz w:val="22"/>
              <w:szCs w:val="22"/>
            </w:rPr>
            <w:t>[8]</w:t>
          </w:r>
        </w:sdtContent>
      </w:sdt>
      <w:r w:rsidRPr="0047217C">
        <w:rPr>
          <w:rFonts w:ascii="Arial" w:hAnsi="Arial" w:cs="Arial"/>
          <w:color w:val="000000" w:themeColor="text1"/>
          <w:sz w:val="22"/>
          <w:szCs w:val="22"/>
        </w:rPr>
        <w:t xml:space="preserve"> (a gift from David Root and John Doench (Addgene #73633, RRID: Addgene_73633) was added to a pre-chilled electroporation cuvette with 25 µl Endura </w:t>
      </w:r>
      <w:proofErr w:type="spellStart"/>
      <w:r w:rsidRPr="0047217C">
        <w:rPr>
          <w:rFonts w:ascii="Arial" w:hAnsi="Arial" w:cs="Arial"/>
          <w:color w:val="000000" w:themeColor="text1"/>
          <w:sz w:val="22"/>
          <w:szCs w:val="22"/>
        </w:rPr>
        <w:t>ElectroCompetent</w:t>
      </w:r>
      <w:proofErr w:type="spellEnd"/>
      <w:r w:rsidRPr="0047217C">
        <w:rPr>
          <w:rFonts w:ascii="Arial" w:hAnsi="Arial" w:cs="Arial"/>
          <w:color w:val="000000" w:themeColor="text1"/>
          <w:sz w:val="22"/>
          <w:szCs w:val="22"/>
        </w:rPr>
        <w:t xml:space="preserve"> cells (#71003-032, VWR International) and pulsed at 1.8 kV (EC1). Endura Rescue Media and additional SOC media was added to resuspending the cells and recovering at 250 rpm for 1h at 37°C, respectively. Bacteria were plated afterwards on LB-Amp Agar plates (100 µg/ml) overnight. To harvest the bacteria the next day, 10 ml of LB media were added on the </w:t>
      </w:r>
      <w:proofErr w:type="gramStart"/>
      <w:r w:rsidRPr="0047217C">
        <w:rPr>
          <w:rFonts w:ascii="Arial" w:hAnsi="Arial" w:cs="Arial"/>
          <w:color w:val="000000" w:themeColor="text1"/>
          <w:sz w:val="22"/>
          <w:szCs w:val="22"/>
        </w:rPr>
        <w:t>plate</w:t>
      </w:r>
      <w:proofErr w:type="gramEnd"/>
      <w:r w:rsidRPr="0047217C">
        <w:rPr>
          <w:rFonts w:ascii="Arial" w:hAnsi="Arial" w:cs="Arial"/>
          <w:color w:val="000000" w:themeColor="text1"/>
          <w:sz w:val="22"/>
          <w:szCs w:val="22"/>
        </w:rPr>
        <w:t xml:space="preserve"> and colonies were scrapped off with a cell spreader. To extract the plasmid DNA, bacteria were spinned down at 600 x g for 3 min and further processed with the </w:t>
      </w:r>
      <w:proofErr w:type="spellStart"/>
      <w:r w:rsidRPr="0047217C">
        <w:rPr>
          <w:rFonts w:ascii="Arial" w:hAnsi="Arial" w:cs="Arial"/>
          <w:color w:val="000000" w:themeColor="text1"/>
          <w:sz w:val="22"/>
          <w:szCs w:val="22"/>
        </w:rPr>
        <w:t>NucleoBond</w:t>
      </w:r>
      <w:proofErr w:type="spellEnd"/>
      <w:r w:rsidRPr="0047217C">
        <w:rPr>
          <w:rFonts w:ascii="Arial" w:hAnsi="Arial" w:cs="Arial"/>
          <w:color w:val="000000" w:themeColor="text1"/>
          <w:sz w:val="22"/>
          <w:szCs w:val="22"/>
        </w:rPr>
        <w:t xml:space="preserve"> Xtra Maxi Plus Plasmid Kit from Macherey Nagel (#740416.50, Macherey-Nagel). To produce the Lentivirus, 9.5 million HEK293FT (RRID: CVCL_6911) cells were plated in 15 cm plates in 20 ml DMEM media (10% FCS, 1% P/S). The next day, the transfection mix containing 1,900 µl Opti-MEM media (#31985062, Thermo Fisher Scientific), 15.6 µg psPAX2 plasmid (a gift from Didier Trono (Addgene plasmid # 12260 ; http://n2t.net/addgene:12260 ; RRID:Addgene_12260), 10.2 µg pMD2.G plasmid (a gift from Didier Trono (Addgene plasmid # 12259; http://n2t.net/addgene:12259 ; RRID:Addgene_12259) and 170 µl TransIT-LT1 transfection reagent (#MIR 2300, Mirus Bio LLC) were incubated for 30 min at room temperature before </w:t>
      </w:r>
      <w:r w:rsidRPr="0047217C">
        <w:rPr>
          <w:rFonts w:ascii="Arial" w:hAnsi="Arial" w:cs="Arial"/>
          <w:color w:val="000000" w:themeColor="text1"/>
          <w:sz w:val="22"/>
          <w:szCs w:val="22"/>
        </w:rPr>
        <w:lastRenderedPageBreak/>
        <w:t>added dropwise to the cells. On day 3, the media was exchanged with 11 ml fresh media before collecting the viral supernatant on day 4. The viral supernatant was filtered with an 0.45 µM filter, aliquoted and further stored at -80°C. For the CRISPR resistance screen, a Cas9-expressing</w:t>
      </w:r>
      <w:r w:rsidR="003D2C53" w:rsidRPr="0047217C">
        <w:rPr>
          <w:rFonts w:ascii="Arial" w:hAnsi="Arial" w:cs="Arial"/>
          <w:color w:val="000000" w:themeColor="text1"/>
          <w:sz w:val="22"/>
          <w:szCs w:val="22"/>
        </w:rPr>
        <w:t xml:space="preserve"> murine</w:t>
      </w:r>
      <w:r w:rsidRPr="0047217C">
        <w:rPr>
          <w:rFonts w:ascii="Arial" w:hAnsi="Arial" w:cs="Arial"/>
          <w:color w:val="000000" w:themeColor="text1"/>
          <w:sz w:val="22"/>
          <w:szCs w:val="22"/>
        </w:rPr>
        <w:t xml:space="preserve"> PDAC cell line (9091) (lentiCas9-Blast was a gift from Feng Zhang, Addgene plasmid # 52962; http://n2t.net/addgene:52962; RRID: Addgene_52962) was used. Cas9 expression and functionality was tested by western blot and sgRNA transfection before. 160 million cells per replicate and treatment condition were seeded in 6-well plates containing 3 million cells/well and spin-infected at 1000 x g for 2h at 33°C with a virus MOI of 0.3 and 500 x coverage of the 80.000 sgRNAs. 24h after the spin-infection, selection with 5 µg/ml Puromycin was started by splitting two wells in a 15 ml plate containing 20 ml media. After all cells died in the control (no virus added), the cells were recovered in normal growth media for additional 3 days. For the drug selection purpose, the respective GI</w:t>
      </w:r>
      <w:r w:rsidRPr="0047217C">
        <w:rPr>
          <w:rFonts w:ascii="Arial" w:hAnsi="Arial" w:cs="Arial"/>
          <w:color w:val="000000" w:themeColor="text1"/>
          <w:sz w:val="22"/>
          <w:szCs w:val="22"/>
          <w:vertAlign w:val="subscript"/>
        </w:rPr>
        <w:t xml:space="preserve">30 </w:t>
      </w:r>
      <w:r w:rsidRPr="0047217C">
        <w:rPr>
          <w:rFonts w:ascii="Arial" w:hAnsi="Arial" w:cs="Arial"/>
          <w:color w:val="000000" w:themeColor="text1"/>
          <w:sz w:val="22"/>
          <w:szCs w:val="22"/>
        </w:rPr>
        <w:t xml:space="preserve">concentrations were used (LB-100: 10 µM, Phendione: 100 nM). Drugs were replenished every 3-4 days for 14 days in total. After 14 days, the gDNA was extracted using the Blood &amp; Cell culture DNA Maxi Kit (# 13362, </w:t>
      </w:r>
      <w:proofErr w:type="spellStart"/>
      <w:r w:rsidRPr="0047217C">
        <w:rPr>
          <w:rFonts w:ascii="Arial" w:hAnsi="Arial" w:cs="Arial"/>
          <w:color w:val="000000" w:themeColor="text1"/>
          <w:sz w:val="22"/>
          <w:szCs w:val="22"/>
        </w:rPr>
        <w:t>Quiagen</w:t>
      </w:r>
      <w:proofErr w:type="spellEnd"/>
      <w:r w:rsidRPr="0047217C">
        <w:rPr>
          <w:rFonts w:ascii="Arial" w:hAnsi="Arial" w:cs="Arial"/>
          <w:color w:val="000000" w:themeColor="text1"/>
          <w:sz w:val="22"/>
          <w:szCs w:val="22"/>
        </w:rPr>
        <w:t>). To prep the library of the gDNA extraction with a 500x coverage, 228 µg gDNA per replicate was mixed with 76 µl forward primer (10 µM, P5), 76 µl reverse primer (10 µM, P7), 950 µl 2 x Kapa HIFI Short Master Mix (#08202923001, Roche) and water to 1.9 ml reaction volume. The volume was distributed to 38 reactions and amplified by PCR (95°C 3 min, (98°C 20 sec, 62°C 30 sec, 72°C 45 sec) x28, 72°C 5 min, 4°C). A 281 bp PCR product was visualized after agarose gel electrophoresis. 200 µl of the pooled product were cleaned with the Gel and PCR clean-up kit (#740609, Macherey-Nagel) with 5x more binding buffer and eluted in 25 µl H</w:t>
      </w:r>
      <w:r w:rsidRPr="0047217C">
        <w:rPr>
          <w:rFonts w:ascii="Arial" w:hAnsi="Arial" w:cs="Arial"/>
          <w:color w:val="000000" w:themeColor="text1"/>
          <w:sz w:val="22"/>
          <w:szCs w:val="22"/>
          <w:vertAlign w:val="subscript"/>
        </w:rPr>
        <w:t>2</w:t>
      </w:r>
      <w:r w:rsidRPr="0047217C">
        <w:rPr>
          <w:rFonts w:ascii="Arial" w:hAnsi="Arial" w:cs="Arial"/>
          <w:color w:val="000000" w:themeColor="text1"/>
          <w:sz w:val="22"/>
          <w:szCs w:val="22"/>
        </w:rPr>
        <w:t xml:space="preserve">O. Sequencing was performed exactly as described </w:t>
      </w:r>
      <w:sdt>
        <w:sdtPr>
          <w:rPr>
            <w:rFonts w:ascii="Arial" w:hAnsi="Arial" w:cs="Arial"/>
            <w:color w:val="000000" w:themeColor="text1"/>
            <w:sz w:val="22"/>
            <w:szCs w:val="22"/>
          </w:rPr>
          <w:alias w:val="SmartCite Citation"/>
          <w:tag w:val="fb8ada55-c96e-41dd-87ea-0b994a30978d:57db0137-339d-473c-b259-81417ae07a61+"/>
          <w:id w:val="-2100327880"/>
          <w:placeholder>
            <w:docPart w:val="90CA6DADBB3CB942B16D90E2960EAA6A"/>
          </w:placeholder>
        </w:sdtPr>
        <w:sdtContent>
          <w:r w:rsidR="00F329CF" w:rsidRPr="0047217C">
            <w:rPr>
              <w:rFonts w:ascii="Arial" w:hAnsi="Arial" w:cs="Arial"/>
              <w:sz w:val="22"/>
              <w:szCs w:val="22"/>
            </w:rPr>
            <w:t>[10]</w:t>
          </w:r>
        </w:sdtContent>
      </w:sdt>
      <w:r w:rsidRPr="0047217C">
        <w:rPr>
          <w:rFonts w:ascii="Arial" w:hAnsi="Arial" w:cs="Arial"/>
          <w:color w:val="000000" w:themeColor="text1"/>
          <w:sz w:val="22"/>
          <w:szCs w:val="22"/>
        </w:rPr>
        <w:t>.</w:t>
      </w:r>
    </w:p>
    <w:p w14:paraId="176D8C36"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Analysis of the Drop-out Screens</w:t>
      </w:r>
    </w:p>
    <w:p w14:paraId="60A8AD89" w14:textId="6EDCB742"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Sequencing data were trimmed using the </w:t>
      </w:r>
      <w:proofErr w:type="spellStart"/>
      <w:r w:rsidRPr="0047217C">
        <w:rPr>
          <w:rFonts w:ascii="Arial" w:hAnsi="Arial" w:cs="Arial"/>
          <w:color w:val="000000" w:themeColor="text1"/>
          <w:sz w:val="22"/>
          <w:szCs w:val="22"/>
        </w:rPr>
        <w:t>Trimmomatic</w:t>
      </w:r>
      <w:proofErr w:type="spellEnd"/>
      <w:r w:rsidRPr="0047217C">
        <w:rPr>
          <w:rFonts w:ascii="Arial" w:hAnsi="Arial" w:cs="Arial"/>
          <w:color w:val="000000" w:themeColor="text1"/>
          <w:sz w:val="22"/>
          <w:szCs w:val="22"/>
        </w:rPr>
        <w:t xml:space="preserve"> tool </w:t>
      </w:r>
      <w:sdt>
        <w:sdtPr>
          <w:rPr>
            <w:rFonts w:ascii="Arial" w:hAnsi="Arial" w:cs="Arial"/>
            <w:color w:val="000000" w:themeColor="text1"/>
            <w:sz w:val="22"/>
            <w:szCs w:val="22"/>
          </w:rPr>
          <w:alias w:val="SmartCite Citation"/>
          <w:tag w:val="fb8ada55-c96e-41dd-87ea-0b994a30978d:6dd7b241-10c3-488d-aa7a-72f9caf0c075+"/>
          <w:id w:val="-301847976"/>
          <w:placeholder>
            <w:docPart w:val="90CA6DADBB3CB942B16D90E2960EAA6A"/>
          </w:placeholder>
        </w:sdtPr>
        <w:sdtContent>
          <w:r w:rsidR="00F329CF" w:rsidRPr="0047217C">
            <w:rPr>
              <w:rFonts w:ascii="Arial" w:hAnsi="Arial" w:cs="Arial"/>
              <w:sz w:val="22"/>
              <w:szCs w:val="22"/>
            </w:rPr>
            <w:t>[11]</w:t>
          </w:r>
        </w:sdtContent>
      </w:sdt>
      <w:r w:rsidRPr="0047217C">
        <w:rPr>
          <w:rFonts w:ascii="Arial" w:hAnsi="Arial" w:cs="Arial"/>
          <w:color w:val="000000" w:themeColor="text1"/>
          <w:sz w:val="22"/>
          <w:szCs w:val="22"/>
        </w:rPr>
        <w:t xml:space="preserve"> to maintain the base pairs containing the guide RNAs. The detection of enriched and depleted guides was performed using the </w:t>
      </w:r>
      <w:proofErr w:type="spellStart"/>
      <w:r w:rsidRPr="0047217C">
        <w:rPr>
          <w:rFonts w:ascii="Arial" w:hAnsi="Arial" w:cs="Arial"/>
          <w:color w:val="000000" w:themeColor="text1"/>
          <w:sz w:val="22"/>
          <w:szCs w:val="22"/>
        </w:rPr>
        <w:t>MAGeCK</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mle</w:t>
      </w:r>
      <w:proofErr w:type="spellEnd"/>
      <w:r w:rsidRPr="0047217C">
        <w:rPr>
          <w:rFonts w:ascii="Arial" w:hAnsi="Arial" w:cs="Arial"/>
          <w:color w:val="000000" w:themeColor="text1"/>
          <w:sz w:val="22"/>
          <w:szCs w:val="22"/>
        </w:rPr>
        <w:t xml:space="preserve"> algorithm 11 </w:t>
      </w:r>
      <w:sdt>
        <w:sdtPr>
          <w:rPr>
            <w:rFonts w:ascii="Arial" w:hAnsi="Arial" w:cs="Arial"/>
            <w:color w:val="000000" w:themeColor="text1"/>
            <w:sz w:val="22"/>
            <w:szCs w:val="22"/>
          </w:rPr>
          <w:alias w:val="SmartCite Citation"/>
          <w:tag w:val="fb8ada55-c96e-41dd-87ea-0b994a30978d:24b80183-f844-428d-8317-977d6ac4a2e1+"/>
          <w:id w:val="-947927438"/>
          <w:placeholder>
            <w:docPart w:val="90CA6DADBB3CB942B16D90E2960EAA6A"/>
          </w:placeholder>
        </w:sdtPr>
        <w:sdtContent>
          <w:r w:rsidR="00F329CF" w:rsidRPr="0047217C">
            <w:rPr>
              <w:rFonts w:ascii="Arial" w:hAnsi="Arial" w:cs="Arial"/>
              <w:sz w:val="22"/>
              <w:szCs w:val="22"/>
            </w:rPr>
            <w:t>[12]</w:t>
          </w:r>
        </w:sdtContent>
      </w:sdt>
      <w:r w:rsidRPr="0047217C">
        <w:rPr>
          <w:rFonts w:ascii="Arial" w:hAnsi="Arial" w:cs="Arial"/>
          <w:color w:val="000000" w:themeColor="text1"/>
          <w:sz w:val="22"/>
          <w:szCs w:val="22"/>
        </w:rPr>
        <w:t>. The sequenced library was used as a reference for the CRISPR screens in the murine 9091 line.</w:t>
      </w:r>
    </w:p>
    <w:p w14:paraId="42164A45" w14:textId="23E66A6B" w:rsidR="00F4074C" w:rsidRPr="0047217C" w:rsidRDefault="00F4074C" w:rsidP="00F4074C">
      <w:pPr>
        <w:spacing w:line="480" w:lineRule="auto"/>
        <w:jc w:val="both"/>
        <w:rPr>
          <w:rFonts w:ascii="Arial" w:hAnsi="Arial" w:cs="Arial"/>
          <w:iCs/>
          <w:color w:val="000000" w:themeColor="text1"/>
          <w:sz w:val="22"/>
          <w:szCs w:val="22"/>
        </w:rPr>
      </w:pPr>
      <w:r w:rsidRPr="0047217C">
        <w:rPr>
          <w:rFonts w:ascii="Arial" w:hAnsi="Arial" w:cs="Arial"/>
          <w:iCs/>
          <w:color w:val="000000" w:themeColor="text1"/>
          <w:sz w:val="22"/>
          <w:szCs w:val="22"/>
        </w:rPr>
        <w:lastRenderedPageBreak/>
        <w:t>Subsequently, resulting delta beta scores were used as a rank to perform a pre-ranked GSEA analysis. A positive delta beta score reflected a positive selection of the gene under drug treatment, whereas a negative delta beta score means a gene is negatively selected, indicating synthetic lethality in combination with the drug. Here, Hallmark and Gene Ontology (Biological Process) pathways of the molecular signature database (</w:t>
      </w:r>
      <w:proofErr w:type="spellStart"/>
      <w:r w:rsidRPr="0047217C">
        <w:rPr>
          <w:rFonts w:ascii="Arial" w:hAnsi="Arial" w:cs="Arial"/>
          <w:iCs/>
          <w:color w:val="000000" w:themeColor="text1"/>
          <w:sz w:val="22"/>
          <w:szCs w:val="22"/>
        </w:rPr>
        <w:t>MSigDb</w:t>
      </w:r>
      <w:proofErr w:type="spellEnd"/>
      <w:r w:rsidRPr="0047217C">
        <w:rPr>
          <w:rFonts w:ascii="Arial" w:hAnsi="Arial" w:cs="Arial"/>
          <w:iCs/>
          <w:color w:val="000000" w:themeColor="text1"/>
          <w:sz w:val="22"/>
          <w:szCs w:val="22"/>
        </w:rPr>
        <w:t xml:space="preserve">) were investigated using gene set enrichment analysis of </w:t>
      </w:r>
      <w:proofErr w:type="spellStart"/>
      <w:r w:rsidRPr="0047217C">
        <w:rPr>
          <w:rFonts w:ascii="Arial" w:hAnsi="Arial" w:cs="Arial"/>
          <w:iCs/>
          <w:color w:val="000000" w:themeColor="text1"/>
          <w:sz w:val="22"/>
          <w:szCs w:val="22"/>
        </w:rPr>
        <w:t>GeneTrail</w:t>
      </w:r>
      <w:proofErr w:type="spellEnd"/>
      <w:r w:rsidRPr="0047217C">
        <w:rPr>
          <w:rFonts w:ascii="Arial" w:hAnsi="Arial" w:cs="Arial"/>
          <w:iCs/>
          <w:color w:val="000000" w:themeColor="text1"/>
          <w:sz w:val="22"/>
          <w:szCs w:val="22"/>
        </w:rPr>
        <w:t xml:space="preserve"> </w:t>
      </w:r>
      <w:sdt>
        <w:sdtPr>
          <w:rPr>
            <w:rFonts w:ascii="Arial" w:hAnsi="Arial" w:cs="Arial"/>
            <w:iCs/>
            <w:color w:val="000000" w:themeColor="text1"/>
            <w:sz w:val="22"/>
            <w:szCs w:val="22"/>
          </w:rPr>
          <w:alias w:val="SmartCite Citation"/>
          <w:tag w:val="fb8ada55-c96e-41dd-87ea-0b994a30978d:970e9fc3-bf7f-4726-91a4-3ea2bb3608f6+"/>
          <w:id w:val="1827017133"/>
          <w:placeholder>
            <w:docPart w:val="90CA6DADBB3CB942B16D90E2960EAA6A"/>
          </w:placeholder>
        </w:sdtPr>
        <w:sdtContent>
          <w:r w:rsidR="00F329CF" w:rsidRPr="0047217C">
            <w:rPr>
              <w:rFonts w:ascii="Arial" w:hAnsi="Arial" w:cs="Arial"/>
              <w:sz w:val="22"/>
              <w:szCs w:val="22"/>
            </w:rPr>
            <w:t>[13]</w:t>
          </w:r>
        </w:sdtContent>
      </w:sdt>
      <w:r w:rsidRPr="0047217C">
        <w:rPr>
          <w:rFonts w:ascii="Arial" w:hAnsi="Arial" w:cs="Arial"/>
          <w:iCs/>
          <w:color w:val="000000" w:themeColor="text1"/>
          <w:sz w:val="22"/>
          <w:szCs w:val="22"/>
        </w:rPr>
        <w:t xml:space="preserve">.  </w:t>
      </w:r>
    </w:p>
    <w:p w14:paraId="6C2C0950"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Deep Sequencing RNA-Seq analysis</w:t>
      </w:r>
    </w:p>
    <w:p w14:paraId="706E3081"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For the deep sequencing RNA-Sequencing, 300,000 cells were seeded in a 6-well format and treated the next day with the indicated concentrations of the inhibitors. After the incubation time (2 and 6 hours), the cells were washed one time with ice-cold PBS and homogenized in 1-Thioglycerol Homogenization solution from the Maxwell® RSC simplyRNA Tissue Kit (#AS1280, Promega, Walldorf, Germany). Library preparation and sequencing was performed by NGS (Novogene</w:t>
      </w:r>
      <w:r w:rsidRPr="0047217C">
        <w:rPr>
          <w:rFonts w:ascii="Arial" w:hAnsi="Arial" w:cs="Arial"/>
          <w:color w:val="000000" w:themeColor="text1"/>
          <w:sz w:val="22"/>
          <w:szCs w:val="22"/>
          <w:shd w:val="clear" w:color="auto" w:fill="FFFFFF"/>
        </w:rPr>
        <w:t>, United Kingdom).</w:t>
      </w:r>
      <w:r w:rsidRPr="0047217C">
        <w:rPr>
          <w:rFonts w:ascii="Arial" w:hAnsi="Arial" w:cs="Arial"/>
          <w:color w:val="000000" w:themeColor="text1"/>
          <w:sz w:val="22"/>
          <w:szCs w:val="22"/>
        </w:rPr>
        <w:t xml:space="preserve"> </w:t>
      </w:r>
      <w:r w:rsidRPr="0047217C">
        <w:rPr>
          <w:rFonts w:ascii="Arial" w:hAnsi="Arial" w:cs="Arial"/>
          <w:color w:val="000000" w:themeColor="text1"/>
          <w:sz w:val="22"/>
          <w:szCs w:val="22"/>
          <w:shd w:val="clear" w:color="auto" w:fill="FFFFFF"/>
        </w:rPr>
        <w:t xml:space="preserve">Briefly, mRNA was purified from total RNA using poly-T oligo-attached magnetic beads. After fragmentation, the first strand cDNA was synthesized using random hexamer primers followed by the second strand cDNA synthesis. The library was ready after end repair, A-tailing, adapter ligation, and size selection. After amplification and purification, insert size of the library was validated on an Agilent 2100 and quantified using quantitative PCR (Q-PCR). Libraries were then sequenced to a depth of 15 </w:t>
      </w:r>
      <w:proofErr w:type="spellStart"/>
      <w:r w:rsidRPr="0047217C">
        <w:rPr>
          <w:rFonts w:ascii="Arial" w:hAnsi="Arial" w:cs="Arial"/>
          <w:color w:val="000000" w:themeColor="text1"/>
          <w:sz w:val="22"/>
          <w:szCs w:val="22"/>
          <w:shd w:val="clear" w:color="auto" w:fill="FFFFFF"/>
        </w:rPr>
        <w:t>Gbp</w:t>
      </w:r>
      <w:proofErr w:type="spellEnd"/>
      <w:r w:rsidRPr="0047217C">
        <w:rPr>
          <w:rFonts w:ascii="Arial" w:hAnsi="Arial" w:cs="Arial"/>
          <w:color w:val="000000" w:themeColor="text1"/>
          <w:sz w:val="22"/>
          <w:szCs w:val="22"/>
          <w:shd w:val="clear" w:color="auto" w:fill="FFFFFF"/>
        </w:rPr>
        <w:t xml:space="preserve"> on Illumina </w:t>
      </w:r>
      <w:proofErr w:type="spellStart"/>
      <w:r w:rsidRPr="0047217C">
        <w:rPr>
          <w:rFonts w:ascii="Arial" w:hAnsi="Arial" w:cs="Arial"/>
          <w:color w:val="000000" w:themeColor="text1"/>
          <w:sz w:val="22"/>
          <w:szCs w:val="22"/>
          <w:shd w:val="clear" w:color="auto" w:fill="FFFFFF"/>
        </w:rPr>
        <w:t>NovaSeq</w:t>
      </w:r>
      <w:proofErr w:type="spellEnd"/>
      <w:r w:rsidRPr="0047217C">
        <w:rPr>
          <w:rFonts w:ascii="Arial" w:hAnsi="Arial" w:cs="Arial"/>
          <w:color w:val="000000" w:themeColor="text1"/>
          <w:sz w:val="22"/>
          <w:szCs w:val="22"/>
          <w:shd w:val="clear" w:color="auto" w:fill="FFFFFF"/>
        </w:rPr>
        <w:t xml:space="preserve"> 6000 S4 </w:t>
      </w:r>
      <w:proofErr w:type="spellStart"/>
      <w:r w:rsidRPr="0047217C">
        <w:rPr>
          <w:rFonts w:ascii="Arial" w:hAnsi="Arial" w:cs="Arial"/>
          <w:color w:val="000000" w:themeColor="text1"/>
          <w:sz w:val="22"/>
          <w:szCs w:val="22"/>
          <w:shd w:val="clear" w:color="auto" w:fill="FFFFFF"/>
        </w:rPr>
        <w:t>flowcell</w:t>
      </w:r>
      <w:proofErr w:type="spellEnd"/>
      <w:r w:rsidRPr="0047217C">
        <w:rPr>
          <w:rFonts w:ascii="Arial" w:hAnsi="Arial" w:cs="Arial"/>
          <w:color w:val="000000" w:themeColor="text1"/>
          <w:sz w:val="22"/>
          <w:szCs w:val="22"/>
          <w:shd w:val="clear" w:color="auto" w:fill="FFFFFF"/>
        </w:rPr>
        <w:t> with PE150.</w:t>
      </w:r>
    </w:p>
    <w:p w14:paraId="4E47BB06" w14:textId="063029AD"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Raw RNA-seq reads were then mapped to the mouse mm10 genome build using STAR aligner version 2.5.3a (RRID:SCR_004463) </w:t>
      </w:r>
      <w:sdt>
        <w:sdtPr>
          <w:rPr>
            <w:rFonts w:ascii="Arial" w:hAnsi="Arial" w:cs="Arial"/>
            <w:color w:val="000000" w:themeColor="text1"/>
            <w:sz w:val="22"/>
            <w:szCs w:val="22"/>
          </w:rPr>
          <w:alias w:val="SmartCite Citation"/>
          <w:tag w:val="fb8ada55-c96e-41dd-87ea-0b994a30978d:1a7cbb36-0a49-4652-ac9c-86a6703b28c0+"/>
          <w:id w:val="1780756329"/>
          <w:placeholder>
            <w:docPart w:val="90CA6DADBB3CB942B16D90E2960EAA6A"/>
          </w:placeholder>
        </w:sdtPr>
        <w:sdtContent>
          <w:r w:rsidR="00F329CF" w:rsidRPr="0047217C">
            <w:rPr>
              <w:rFonts w:ascii="Arial" w:hAnsi="Arial" w:cs="Arial"/>
              <w:sz w:val="22"/>
              <w:szCs w:val="22"/>
            </w:rPr>
            <w:t>[14]</w:t>
          </w:r>
        </w:sdtContent>
      </w:sdt>
      <w:r w:rsidRPr="0047217C">
        <w:rPr>
          <w:rFonts w:ascii="Arial" w:hAnsi="Arial" w:cs="Arial"/>
          <w:color w:val="000000" w:themeColor="text1"/>
          <w:sz w:val="22"/>
          <w:szCs w:val="22"/>
        </w:rPr>
        <w:t xml:space="preserve"> with the parameters: STAR --</w:t>
      </w:r>
      <w:proofErr w:type="spellStart"/>
      <w:r w:rsidRPr="0047217C">
        <w:rPr>
          <w:rFonts w:ascii="Arial" w:hAnsi="Arial" w:cs="Arial"/>
          <w:color w:val="000000" w:themeColor="text1"/>
          <w:sz w:val="22"/>
          <w:szCs w:val="22"/>
        </w:rPr>
        <w:t>runMode</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alignReads</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runThreadN</w:t>
      </w:r>
      <w:proofErr w:type="spellEnd"/>
      <w:r w:rsidRPr="0047217C">
        <w:rPr>
          <w:rFonts w:ascii="Arial" w:hAnsi="Arial" w:cs="Arial"/>
          <w:color w:val="000000" w:themeColor="text1"/>
          <w:sz w:val="22"/>
          <w:szCs w:val="22"/>
        </w:rPr>
        <w:t xml:space="preserve"> 4 --</w:t>
      </w:r>
      <w:proofErr w:type="spellStart"/>
      <w:r w:rsidRPr="0047217C">
        <w:rPr>
          <w:rFonts w:ascii="Arial" w:hAnsi="Arial" w:cs="Arial"/>
          <w:color w:val="000000" w:themeColor="text1"/>
          <w:sz w:val="22"/>
          <w:szCs w:val="22"/>
        </w:rPr>
        <w:t>genomeDir</w:t>
      </w:r>
      <w:proofErr w:type="spellEnd"/>
      <w:r w:rsidRPr="0047217C">
        <w:rPr>
          <w:rFonts w:ascii="Arial" w:hAnsi="Arial" w:cs="Arial"/>
          <w:color w:val="000000" w:themeColor="text1"/>
          <w:sz w:val="22"/>
          <w:szCs w:val="22"/>
        </w:rPr>
        <w:t xml:space="preserve"> mm10 --</w:t>
      </w:r>
      <w:proofErr w:type="spellStart"/>
      <w:r w:rsidRPr="0047217C">
        <w:rPr>
          <w:rFonts w:ascii="Arial" w:hAnsi="Arial" w:cs="Arial"/>
          <w:color w:val="000000" w:themeColor="text1"/>
          <w:sz w:val="22"/>
          <w:szCs w:val="22"/>
        </w:rPr>
        <w:t>twopassMode</w:t>
      </w:r>
      <w:proofErr w:type="spellEnd"/>
      <w:r w:rsidRPr="0047217C">
        <w:rPr>
          <w:rFonts w:ascii="Arial" w:hAnsi="Arial" w:cs="Arial"/>
          <w:color w:val="000000" w:themeColor="text1"/>
          <w:sz w:val="22"/>
          <w:szCs w:val="22"/>
        </w:rPr>
        <w:t xml:space="preserve"> Basic --</w:t>
      </w:r>
      <w:proofErr w:type="spellStart"/>
      <w:r w:rsidRPr="0047217C">
        <w:rPr>
          <w:rFonts w:ascii="Arial" w:hAnsi="Arial" w:cs="Arial"/>
          <w:color w:val="000000" w:themeColor="text1"/>
          <w:sz w:val="22"/>
          <w:szCs w:val="22"/>
        </w:rPr>
        <w:t>outSAMtype</w:t>
      </w:r>
      <w:proofErr w:type="spellEnd"/>
      <w:r w:rsidRPr="0047217C">
        <w:rPr>
          <w:rFonts w:ascii="Arial" w:hAnsi="Arial" w:cs="Arial"/>
          <w:color w:val="000000" w:themeColor="text1"/>
          <w:sz w:val="22"/>
          <w:szCs w:val="22"/>
        </w:rPr>
        <w:t xml:space="preserve"> BAM </w:t>
      </w:r>
      <w:proofErr w:type="spellStart"/>
      <w:r w:rsidRPr="0047217C">
        <w:rPr>
          <w:rFonts w:ascii="Arial" w:hAnsi="Arial" w:cs="Arial"/>
          <w:color w:val="000000" w:themeColor="text1"/>
          <w:sz w:val="22"/>
          <w:szCs w:val="22"/>
        </w:rPr>
        <w:t>SortedByCoordinate</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outFilterMultimapNmax</w:t>
      </w:r>
      <w:proofErr w:type="spellEnd"/>
      <w:r w:rsidRPr="0047217C">
        <w:rPr>
          <w:rFonts w:ascii="Arial" w:hAnsi="Arial" w:cs="Arial"/>
          <w:color w:val="000000" w:themeColor="text1"/>
          <w:sz w:val="22"/>
          <w:szCs w:val="22"/>
        </w:rPr>
        <w:t xml:space="preserve"> 20 --</w:t>
      </w:r>
      <w:proofErr w:type="spellStart"/>
      <w:r w:rsidRPr="0047217C">
        <w:rPr>
          <w:rFonts w:ascii="Arial" w:hAnsi="Arial" w:cs="Arial"/>
          <w:color w:val="000000" w:themeColor="text1"/>
          <w:sz w:val="22"/>
          <w:szCs w:val="22"/>
        </w:rPr>
        <w:t>outFilterMismatchNmax</w:t>
      </w:r>
      <w:proofErr w:type="spellEnd"/>
      <w:r w:rsidRPr="0047217C">
        <w:rPr>
          <w:rFonts w:ascii="Arial" w:hAnsi="Arial" w:cs="Arial"/>
          <w:color w:val="000000" w:themeColor="text1"/>
          <w:sz w:val="22"/>
          <w:szCs w:val="22"/>
        </w:rPr>
        <w:t xml:space="preserve"> 999 --</w:t>
      </w:r>
      <w:proofErr w:type="spellStart"/>
      <w:r w:rsidRPr="0047217C">
        <w:rPr>
          <w:rFonts w:ascii="Arial" w:hAnsi="Arial" w:cs="Arial"/>
          <w:color w:val="000000" w:themeColor="text1"/>
          <w:sz w:val="22"/>
          <w:szCs w:val="22"/>
        </w:rPr>
        <w:t>outFilterMismatchNoverLmax</w:t>
      </w:r>
      <w:proofErr w:type="spellEnd"/>
      <w:r w:rsidRPr="0047217C">
        <w:rPr>
          <w:rFonts w:ascii="Arial" w:hAnsi="Arial" w:cs="Arial"/>
          <w:color w:val="000000" w:themeColor="text1"/>
          <w:sz w:val="22"/>
          <w:szCs w:val="22"/>
        </w:rPr>
        <w:t xml:space="preserve"> 0.033 --</w:t>
      </w:r>
      <w:proofErr w:type="spellStart"/>
      <w:r w:rsidRPr="0047217C">
        <w:rPr>
          <w:rFonts w:ascii="Arial" w:hAnsi="Arial" w:cs="Arial"/>
          <w:color w:val="000000" w:themeColor="text1"/>
          <w:sz w:val="22"/>
          <w:szCs w:val="22"/>
        </w:rPr>
        <w:t>alignIntronMin</w:t>
      </w:r>
      <w:proofErr w:type="spellEnd"/>
      <w:r w:rsidRPr="0047217C">
        <w:rPr>
          <w:rFonts w:ascii="Arial" w:hAnsi="Arial" w:cs="Arial"/>
          <w:color w:val="000000" w:themeColor="text1"/>
          <w:sz w:val="22"/>
          <w:szCs w:val="22"/>
        </w:rPr>
        <w:t xml:space="preserve"> 70 --</w:t>
      </w:r>
      <w:proofErr w:type="spellStart"/>
      <w:r w:rsidRPr="0047217C">
        <w:rPr>
          <w:rFonts w:ascii="Arial" w:hAnsi="Arial" w:cs="Arial"/>
          <w:color w:val="000000" w:themeColor="text1"/>
          <w:sz w:val="22"/>
          <w:szCs w:val="22"/>
        </w:rPr>
        <w:t>alignIntronMax</w:t>
      </w:r>
      <w:proofErr w:type="spellEnd"/>
      <w:r w:rsidRPr="0047217C">
        <w:rPr>
          <w:rFonts w:ascii="Arial" w:hAnsi="Arial" w:cs="Arial"/>
          <w:color w:val="000000" w:themeColor="text1"/>
          <w:sz w:val="22"/>
          <w:szCs w:val="22"/>
        </w:rPr>
        <w:t xml:space="preserve"> 500000 --</w:t>
      </w:r>
      <w:proofErr w:type="spellStart"/>
      <w:r w:rsidRPr="0047217C">
        <w:rPr>
          <w:rFonts w:ascii="Arial" w:hAnsi="Arial" w:cs="Arial"/>
          <w:color w:val="000000" w:themeColor="text1"/>
          <w:sz w:val="22"/>
          <w:szCs w:val="22"/>
        </w:rPr>
        <w:t>alignMatesGapMax</w:t>
      </w:r>
      <w:proofErr w:type="spellEnd"/>
      <w:r w:rsidRPr="0047217C">
        <w:rPr>
          <w:rFonts w:ascii="Arial" w:hAnsi="Arial" w:cs="Arial"/>
          <w:color w:val="000000" w:themeColor="text1"/>
          <w:sz w:val="22"/>
          <w:szCs w:val="22"/>
        </w:rPr>
        <w:t xml:space="preserve"> 500000 --</w:t>
      </w:r>
      <w:proofErr w:type="spellStart"/>
      <w:r w:rsidRPr="0047217C">
        <w:rPr>
          <w:rFonts w:ascii="Arial" w:hAnsi="Arial" w:cs="Arial"/>
          <w:color w:val="000000" w:themeColor="text1"/>
          <w:sz w:val="22"/>
          <w:szCs w:val="22"/>
        </w:rPr>
        <w:t>alignSJoverhangMin</w:t>
      </w:r>
      <w:proofErr w:type="spellEnd"/>
      <w:r w:rsidRPr="0047217C">
        <w:rPr>
          <w:rFonts w:ascii="Arial" w:hAnsi="Arial" w:cs="Arial"/>
          <w:color w:val="000000" w:themeColor="text1"/>
          <w:sz w:val="22"/>
          <w:szCs w:val="22"/>
        </w:rPr>
        <w:t xml:space="preserve"> 8 --</w:t>
      </w:r>
      <w:proofErr w:type="spellStart"/>
      <w:r w:rsidRPr="0047217C">
        <w:rPr>
          <w:rFonts w:ascii="Arial" w:hAnsi="Arial" w:cs="Arial"/>
          <w:color w:val="000000" w:themeColor="text1"/>
          <w:sz w:val="22"/>
          <w:szCs w:val="22"/>
        </w:rPr>
        <w:t>alignSJDBoverhangMin</w:t>
      </w:r>
      <w:proofErr w:type="spellEnd"/>
      <w:r w:rsidRPr="0047217C">
        <w:rPr>
          <w:rFonts w:ascii="Arial" w:hAnsi="Arial" w:cs="Arial"/>
          <w:color w:val="000000" w:themeColor="text1"/>
          <w:sz w:val="22"/>
          <w:szCs w:val="22"/>
        </w:rPr>
        <w:t xml:space="preserve"> 1 --</w:t>
      </w:r>
      <w:proofErr w:type="spellStart"/>
      <w:r w:rsidRPr="0047217C">
        <w:rPr>
          <w:rFonts w:ascii="Arial" w:hAnsi="Arial" w:cs="Arial"/>
          <w:color w:val="000000" w:themeColor="text1"/>
          <w:sz w:val="22"/>
          <w:szCs w:val="22"/>
        </w:rPr>
        <w:t>outSAMstrandField</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intronMotif</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outFilterType</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BySJout</w:t>
      </w:r>
      <w:proofErr w:type="spellEnd"/>
      <w:r w:rsidRPr="0047217C">
        <w:rPr>
          <w:rFonts w:ascii="Arial" w:hAnsi="Arial" w:cs="Arial"/>
          <w:color w:val="000000" w:themeColor="text1"/>
          <w:sz w:val="22"/>
          <w:szCs w:val="22"/>
        </w:rPr>
        <w:t xml:space="preserve">. For additional details, see </w:t>
      </w:r>
      <w:sdt>
        <w:sdtPr>
          <w:rPr>
            <w:rFonts w:ascii="Arial" w:hAnsi="Arial" w:cs="Arial"/>
            <w:color w:val="000000" w:themeColor="text1"/>
            <w:sz w:val="22"/>
            <w:szCs w:val="22"/>
          </w:rPr>
          <w:alias w:val="SmartCite Citation"/>
          <w:tag w:val="fb8ada55-c96e-41dd-87ea-0b994a30978d:b9f784eb-8668-446b-b01d-5836c425ca1e+"/>
          <w:id w:val="800350955"/>
          <w:placeholder>
            <w:docPart w:val="90CA6DADBB3CB942B16D90E2960EAA6A"/>
          </w:placeholder>
        </w:sdtPr>
        <w:sdtContent>
          <w:r w:rsidR="00F329CF" w:rsidRPr="0047217C">
            <w:rPr>
              <w:rFonts w:ascii="Arial" w:hAnsi="Arial" w:cs="Arial"/>
              <w:sz w:val="22"/>
              <w:szCs w:val="22"/>
            </w:rPr>
            <w:t>[15]</w:t>
          </w:r>
        </w:sdtContent>
      </w:sdt>
      <w:r w:rsidRPr="0047217C">
        <w:rPr>
          <w:rFonts w:ascii="Arial" w:hAnsi="Arial" w:cs="Arial"/>
          <w:color w:val="000000" w:themeColor="text1"/>
          <w:sz w:val="22"/>
          <w:szCs w:val="22"/>
        </w:rPr>
        <w:t xml:space="preserve">. To identify detained introns, reads mapped with STAR aligner as described above were filtered for contiguous genome alignment. Mapped reads were then filtered using </w:t>
      </w:r>
      <w:proofErr w:type="spellStart"/>
      <w:r w:rsidRPr="0047217C">
        <w:rPr>
          <w:rFonts w:ascii="Arial" w:hAnsi="Arial" w:cs="Arial"/>
          <w:color w:val="000000" w:themeColor="text1"/>
          <w:sz w:val="22"/>
          <w:szCs w:val="22"/>
        </w:rPr>
        <w:t>BedTools</w:t>
      </w:r>
      <w:proofErr w:type="spellEnd"/>
      <w:r w:rsidRPr="0047217C">
        <w:rPr>
          <w:rFonts w:ascii="Arial" w:hAnsi="Arial" w:cs="Arial"/>
          <w:color w:val="000000" w:themeColor="text1"/>
          <w:sz w:val="22"/>
          <w:szCs w:val="22"/>
        </w:rPr>
        <w:t xml:space="preserve"> 2.25.0 </w:t>
      </w:r>
      <w:r w:rsidRPr="0047217C">
        <w:rPr>
          <w:rFonts w:ascii="Arial" w:hAnsi="Arial" w:cs="Arial"/>
          <w:color w:val="000000" w:themeColor="text1"/>
          <w:sz w:val="22"/>
          <w:szCs w:val="22"/>
        </w:rPr>
        <w:lastRenderedPageBreak/>
        <w:t xml:space="preserve">(RRID:SCR_006646) </w:t>
      </w:r>
      <w:sdt>
        <w:sdtPr>
          <w:rPr>
            <w:rFonts w:ascii="Arial" w:hAnsi="Arial" w:cs="Arial"/>
            <w:color w:val="000000" w:themeColor="text1"/>
            <w:sz w:val="22"/>
            <w:szCs w:val="22"/>
          </w:rPr>
          <w:alias w:val="SmartCite Citation"/>
          <w:tag w:val="fb8ada55-c96e-41dd-87ea-0b994a30978d:66ca5787-6e28-4551-a0a6-f32a97970994+"/>
          <w:id w:val="719866755"/>
          <w:placeholder>
            <w:docPart w:val="90CA6DADBB3CB942B16D90E2960EAA6A"/>
          </w:placeholder>
        </w:sdtPr>
        <w:sdtContent>
          <w:r w:rsidR="00F329CF" w:rsidRPr="0047217C">
            <w:rPr>
              <w:rFonts w:ascii="Arial" w:hAnsi="Arial" w:cs="Arial"/>
              <w:sz w:val="22"/>
              <w:szCs w:val="22"/>
            </w:rPr>
            <w:t>[16]</w:t>
          </w:r>
        </w:sdtContent>
      </w:sdt>
      <w:r w:rsidRPr="0047217C">
        <w:rPr>
          <w:rFonts w:ascii="Arial" w:hAnsi="Arial" w:cs="Arial"/>
          <w:color w:val="000000" w:themeColor="text1"/>
          <w:sz w:val="22"/>
          <w:szCs w:val="22"/>
        </w:rPr>
        <w:t xml:space="preserve"> remove reads overlapping expressed repeats from the UCSC genome browser (RRID:SCR_005780)[29] RNA repeats and </w:t>
      </w:r>
      <w:proofErr w:type="spellStart"/>
      <w:r w:rsidRPr="0047217C">
        <w:rPr>
          <w:rFonts w:ascii="Arial" w:hAnsi="Arial" w:cs="Arial"/>
          <w:color w:val="000000" w:themeColor="text1"/>
          <w:sz w:val="22"/>
          <w:szCs w:val="22"/>
        </w:rPr>
        <w:t>Ensembl</w:t>
      </w:r>
      <w:proofErr w:type="spellEnd"/>
      <w:r w:rsidRPr="0047217C">
        <w:rPr>
          <w:rFonts w:ascii="Arial" w:hAnsi="Arial" w:cs="Arial"/>
          <w:color w:val="000000" w:themeColor="text1"/>
          <w:sz w:val="22"/>
          <w:szCs w:val="22"/>
        </w:rPr>
        <w:t xml:space="preserve"> mm10 annotations (RRID:SCR_002344) </w:t>
      </w:r>
      <w:sdt>
        <w:sdtPr>
          <w:rPr>
            <w:rFonts w:ascii="Arial" w:hAnsi="Arial" w:cs="Arial"/>
            <w:color w:val="000000" w:themeColor="text1"/>
            <w:sz w:val="22"/>
            <w:szCs w:val="22"/>
          </w:rPr>
          <w:alias w:val="SmartCite Citation"/>
          <w:tag w:val="fb8ada55-c96e-41dd-87ea-0b994a30978d:ed1d9f79-7d56-433d-bf3c-81697be6e3d5,fb8ada55-c96e-41dd-87ea-0b994a30978d:e360ea0e-09c0-4ad7-8bd3-26d489923721+"/>
          <w:id w:val="729265242"/>
          <w:placeholder>
            <w:docPart w:val="90CA6DADBB3CB942B16D90E2960EAA6A"/>
          </w:placeholder>
        </w:sdtPr>
        <w:sdtContent>
          <w:r w:rsidR="00F329CF" w:rsidRPr="0047217C">
            <w:rPr>
              <w:rFonts w:ascii="Arial" w:hAnsi="Arial" w:cs="Arial"/>
              <w:sz w:val="22"/>
              <w:szCs w:val="22"/>
            </w:rPr>
            <w:t>[17,18]</w:t>
          </w:r>
        </w:sdtContent>
      </w:sdt>
      <w:r w:rsidRPr="0047217C">
        <w:rPr>
          <w:rFonts w:ascii="Arial" w:hAnsi="Arial" w:cs="Arial"/>
          <w:color w:val="000000" w:themeColor="text1"/>
          <w:sz w:val="22"/>
          <w:szCs w:val="22"/>
        </w:rPr>
        <w:t xml:space="preserve"> and coding exons annotated in the </w:t>
      </w:r>
      <w:proofErr w:type="spellStart"/>
      <w:r w:rsidRPr="0047217C">
        <w:rPr>
          <w:rFonts w:ascii="Arial" w:hAnsi="Arial" w:cs="Arial"/>
          <w:color w:val="000000" w:themeColor="text1"/>
          <w:sz w:val="22"/>
          <w:szCs w:val="22"/>
        </w:rPr>
        <w:t>Gencode</w:t>
      </w:r>
      <w:proofErr w:type="spellEnd"/>
      <w:r w:rsidRPr="0047217C">
        <w:rPr>
          <w:rFonts w:ascii="Arial" w:hAnsi="Arial" w:cs="Arial"/>
          <w:color w:val="000000" w:themeColor="text1"/>
          <w:sz w:val="22"/>
          <w:szCs w:val="22"/>
        </w:rPr>
        <w:t xml:space="preserve"> mm10 (RRID:SCR_014966) annotations. Reads attributable to alternative polyadenylation sites were removed based on known </w:t>
      </w:r>
      <w:proofErr w:type="spellStart"/>
      <w:r w:rsidRPr="0047217C">
        <w:rPr>
          <w:rFonts w:ascii="Arial" w:hAnsi="Arial" w:cs="Arial"/>
          <w:color w:val="000000" w:themeColor="text1"/>
          <w:sz w:val="22"/>
          <w:szCs w:val="22"/>
        </w:rPr>
        <w:t>Gencode</w:t>
      </w:r>
      <w:proofErr w:type="spellEnd"/>
      <w:r w:rsidRPr="0047217C">
        <w:rPr>
          <w:rFonts w:ascii="Arial" w:hAnsi="Arial" w:cs="Arial"/>
          <w:color w:val="000000" w:themeColor="text1"/>
          <w:sz w:val="22"/>
          <w:szCs w:val="22"/>
        </w:rPr>
        <w:t xml:space="preserve"> polyadenylation sites. </w:t>
      </w:r>
      <w:proofErr w:type="spellStart"/>
      <w:r w:rsidRPr="0047217C">
        <w:rPr>
          <w:rFonts w:ascii="Arial" w:hAnsi="Arial" w:cs="Arial"/>
          <w:color w:val="000000" w:themeColor="text1"/>
          <w:sz w:val="22"/>
          <w:szCs w:val="22"/>
        </w:rPr>
        <w:t>DESeq</w:t>
      </w:r>
      <w:proofErr w:type="spellEnd"/>
      <w:r w:rsidRPr="0047217C">
        <w:rPr>
          <w:rFonts w:ascii="Arial" w:hAnsi="Arial" w:cs="Arial"/>
          <w:color w:val="000000" w:themeColor="text1"/>
          <w:sz w:val="22"/>
          <w:szCs w:val="22"/>
        </w:rPr>
        <w:t xml:space="preserve"> (RRID:SCR_000154) </w:t>
      </w:r>
      <w:sdt>
        <w:sdtPr>
          <w:rPr>
            <w:rFonts w:ascii="Arial" w:hAnsi="Arial" w:cs="Arial"/>
            <w:color w:val="000000" w:themeColor="text1"/>
            <w:sz w:val="22"/>
            <w:szCs w:val="22"/>
          </w:rPr>
          <w:alias w:val="SmartCite Citation"/>
          <w:tag w:val="fb8ada55-c96e-41dd-87ea-0b994a30978d:db5b118d-f7bf-4478-9978-cfbcf0800fa5+"/>
          <w:id w:val="982126768"/>
          <w:placeholder>
            <w:docPart w:val="90CA6DADBB3CB942B16D90E2960EAA6A"/>
          </w:placeholder>
        </w:sdtPr>
        <w:sdtContent>
          <w:r w:rsidR="00F329CF" w:rsidRPr="0047217C">
            <w:rPr>
              <w:rFonts w:ascii="Arial" w:hAnsi="Arial" w:cs="Arial"/>
              <w:sz w:val="22"/>
              <w:szCs w:val="22"/>
            </w:rPr>
            <w:t>[19]</w:t>
          </w:r>
        </w:sdtContent>
      </w:sdt>
      <w:r w:rsidRPr="0047217C">
        <w:rPr>
          <w:rFonts w:ascii="Arial" w:hAnsi="Arial" w:cs="Arial"/>
          <w:color w:val="000000" w:themeColor="text1"/>
          <w:sz w:val="22"/>
          <w:szCs w:val="22"/>
        </w:rPr>
        <w:t xml:space="preserve">, was used to normalize intronic read counts and to account for coverage depth and dispersion across replicates. Intronic reads were partitioned and allocated to each intron proportional to its weight assuming all introns of a gene are present in equal abundance. Differential analysis using </w:t>
      </w:r>
      <w:proofErr w:type="spellStart"/>
      <w:r w:rsidRPr="0047217C">
        <w:rPr>
          <w:rFonts w:ascii="Arial" w:hAnsi="Arial" w:cs="Arial"/>
          <w:color w:val="000000" w:themeColor="text1"/>
          <w:sz w:val="22"/>
          <w:szCs w:val="22"/>
        </w:rPr>
        <w:t>DESeq</w:t>
      </w:r>
      <w:proofErr w:type="spellEnd"/>
      <w:r w:rsidRPr="0047217C">
        <w:rPr>
          <w:rFonts w:ascii="Arial" w:hAnsi="Arial" w:cs="Arial"/>
          <w:color w:val="000000" w:themeColor="text1"/>
          <w:sz w:val="22"/>
          <w:szCs w:val="22"/>
        </w:rPr>
        <w:t xml:space="preserve"> was then used to determine introns enriched in read coverage (observed read counts) compared to the expected counts using an FDR adjusted p-value threshold of 0.01 and fold change threshold of 2. We used custom Python (RRID:SCR_008394) scripts to derive a transcriptome annotation based on mm10 gene start and end boundaries, the genomic locations of detained introns as determined above, and the genomic locations of all splice junctions.</w:t>
      </w:r>
    </w:p>
    <w:p w14:paraId="30DEC041" w14:textId="3D547472"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Detained introns: To quantify detained intron splicing differences between the conditions, 3 biological replicates were used for each treatment at each time point. The custom annotation described above was used as input to generate an ‘exon part’ gtf that is compatible with DEXSeq (RRID:SCR_012823) </w:t>
      </w:r>
      <w:sdt>
        <w:sdtPr>
          <w:rPr>
            <w:rFonts w:ascii="Arial" w:hAnsi="Arial" w:cs="Arial"/>
            <w:color w:val="000000" w:themeColor="text1"/>
            <w:sz w:val="22"/>
            <w:szCs w:val="22"/>
          </w:rPr>
          <w:alias w:val="SmartCite Citation"/>
          <w:tag w:val="fb8ada55-c96e-41dd-87ea-0b994a30978d:9acf1b47-45ae-4036-9a51-70e62e5dd721+"/>
          <w:id w:val="-2146489882"/>
          <w:placeholder>
            <w:docPart w:val="90CA6DADBB3CB942B16D90E2960EAA6A"/>
          </w:placeholder>
        </w:sdtPr>
        <w:sdtContent>
          <w:r w:rsidR="00F329CF" w:rsidRPr="0047217C">
            <w:rPr>
              <w:rFonts w:ascii="Arial" w:hAnsi="Arial" w:cs="Arial"/>
              <w:sz w:val="22"/>
              <w:szCs w:val="22"/>
            </w:rPr>
            <w:t>[20]</w:t>
          </w:r>
        </w:sdtContent>
      </w:sdt>
      <w:r w:rsidRPr="0047217C">
        <w:rPr>
          <w:rFonts w:ascii="Arial" w:hAnsi="Arial" w:cs="Arial"/>
          <w:color w:val="000000" w:themeColor="text1"/>
          <w:sz w:val="22"/>
          <w:szCs w:val="22"/>
        </w:rPr>
        <w:t>. Differential expression of the alternative splicing events and detained introns was then determined using standard DEXSeq analysis, with a padj &lt;0.05 as the cutoff for significant changes.</w:t>
      </w:r>
    </w:p>
    <w:p w14:paraId="6C8246BE" w14:textId="17F92956"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Alternative splicing: the published algorithm rMATs (RRID:SCR_001583) </w:t>
      </w:r>
      <w:sdt>
        <w:sdtPr>
          <w:rPr>
            <w:rFonts w:ascii="Arial" w:hAnsi="Arial" w:cs="Arial"/>
            <w:color w:val="000000" w:themeColor="text1"/>
            <w:sz w:val="22"/>
            <w:szCs w:val="22"/>
          </w:rPr>
          <w:alias w:val="SmartCite Citation"/>
          <w:tag w:val="fb8ada55-c96e-41dd-87ea-0b994a30978d:8e541481-3e61-4fbc-8d25-a0cc73a91097+"/>
          <w:id w:val="-1180880435"/>
          <w:placeholder>
            <w:docPart w:val="90CA6DADBB3CB942B16D90E2960EAA6A"/>
          </w:placeholder>
        </w:sdtPr>
        <w:sdtContent>
          <w:r w:rsidR="00F329CF" w:rsidRPr="0047217C">
            <w:rPr>
              <w:rFonts w:ascii="Arial" w:hAnsi="Arial" w:cs="Arial"/>
              <w:sz w:val="22"/>
              <w:szCs w:val="22"/>
            </w:rPr>
            <w:t>[21]</w:t>
          </w:r>
        </w:sdtContent>
      </w:sdt>
      <w:r w:rsidRPr="0047217C">
        <w:rPr>
          <w:rFonts w:ascii="Arial" w:hAnsi="Arial" w:cs="Arial"/>
          <w:color w:val="000000" w:themeColor="text1"/>
          <w:sz w:val="22"/>
          <w:szCs w:val="22"/>
        </w:rPr>
        <w:t xml:space="preserve"> was used to quantify skipped/cassette exons, alternative 3’ and 5’ splice sites, and </w:t>
      </w:r>
      <w:proofErr w:type="gramStart"/>
      <w:r w:rsidRPr="0047217C">
        <w:rPr>
          <w:rFonts w:ascii="Arial" w:hAnsi="Arial" w:cs="Arial"/>
          <w:color w:val="000000" w:themeColor="text1"/>
          <w:sz w:val="22"/>
          <w:szCs w:val="22"/>
        </w:rPr>
        <w:t>mutually-exclusive</w:t>
      </w:r>
      <w:proofErr w:type="gramEnd"/>
      <w:r w:rsidRPr="0047217C">
        <w:rPr>
          <w:rFonts w:ascii="Arial" w:hAnsi="Arial" w:cs="Arial"/>
          <w:color w:val="000000" w:themeColor="text1"/>
          <w:sz w:val="22"/>
          <w:szCs w:val="22"/>
        </w:rPr>
        <w:t xml:space="preserve"> exons.  A significance padj of &lt; 0.05 was used to determine significant splicing events.</w:t>
      </w:r>
    </w:p>
    <w:p w14:paraId="5CE0CBA7" w14:textId="096D9A5C"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Gene expression: The feature counts command from the subread software (RRID:SCR_009803) tool was used to produce the gene count matrix with the original bam files and input junction consensus gtf </w:t>
      </w:r>
      <w:sdt>
        <w:sdtPr>
          <w:rPr>
            <w:rFonts w:ascii="Arial" w:hAnsi="Arial" w:cs="Arial"/>
            <w:color w:val="000000" w:themeColor="text1"/>
            <w:sz w:val="22"/>
            <w:szCs w:val="22"/>
          </w:rPr>
          <w:alias w:val="SmartCite Citation"/>
          <w:tag w:val="fb8ada55-c96e-41dd-87ea-0b994a30978d:63571b22-654b-48f7-84c9-5ae6b95ed191+"/>
          <w:id w:val="-819663418"/>
          <w:placeholder>
            <w:docPart w:val="90CA6DADBB3CB942B16D90E2960EAA6A"/>
          </w:placeholder>
        </w:sdtPr>
        <w:sdtContent>
          <w:r w:rsidR="00F329CF" w:rsidRPr="0047217C">
            <w:rPr>
              <w:rFonts w:ascii="Arial" w:hAnsi="Arial" w:cs="Arial"/>
              <w:sz w:val="22"/>
              <w:szCs w:val="22"/>
            </w:rPr>
            <w:t>[22]</w:t>
          </w:r>
        </w:sdtContent>
      </w:sdt>
      <w:r w:rsidRPr="0047217C">
        <w:rPr>
          <w:rFonts w:ascii="Arial" w:hAnsi="Arial" w:cs="Arial"/>
          <w:color w:val="000000" w:themeColor="text1"/>
          <w:sz w:val="22"/>
          <w:szCs w:val="22"/>
        </w:rPr>
        <w:t xml:space="preserve">. Differential gene expression was analyzed using DESeq2 (RRID:SCR_009803) between each treatment time and control samples. This derives </w:t>
      </w:r>
      <w:r w:rsidRPr="0047217C">
        <w:rPr>
          <w:rFonts w:ascii="Arial" w:hAnsi="Arial" w:cs="Arial"/>
          <w:color w:val="000000" w:themeColor="text1"/>
          <w:sz w:val="22"/>
          <w:szCs w:val="22"/>
        </w:rPr>
        <w:lastRenderedPageBreak/>
        <w:t>a log2fold change and a corresponding adjusted p value for each gene in each treatment comparison. padj &lt; 0.05 is used as cutoff for significant events.</w:t>
      </w:r>
    </w:p>
    <w:p w14:paraId="36F19D69"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iRNAseq</w:t>
      </w:r>
    </w:p>
    <w:p w14:paraId="6E309384" w14:textId="002BD8B6"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The above-described mRNA expression dataset was analyzed according to the published pipeline </w:t>
      </w:r>
      <w:sdt>
        <w:sdtPr>
          <w:rPr>
            <w:rFonts w:ascii="Arial" w:hAnsi="Arial" w:cs="Arial"/>
            <w:color w:val="000000" w:themeColor="text1"/>
            <w:sz w:val="22"/>
            <w:szCs w:val="22"/>
          </w:rPr>
          <w:alias w:val="SmartCite Citation"/>
          <w:tag w:val="fb8ada55-c96e-41dd-87ea-0b994a30978d:83aa9d2e-80d2-4ddc-9af5-9195a2a0078c+"/>
          <w:id w:val="749235764"/>
          <w:placeholder>
            <w:docPart w:val="90CA6DADBB3CB942B16D90E2960EAA6A"/>
          </w:placeholder>
        </w:sdtPr>
        <w:sdtContent>
          <w:r w:rsidR="00F329CF" w:rsidRPr="0047217C">
            <w:rPr>
              <w:rFonts w:ascii="Arial" w:hAnsi="Arial" w:cs="Arial"/>
              <w:sz w:val="22"/>
              <w:szCs w:val="22"/>
            </w:rPr>
            <w:t>[23]</w:t>
          </w:r>
        </w:sdtContent>
      </w:sdt>
      <w:r w:rsidRPr="0047217C">
        <w:rPr>
          <w:rFonts w:ascii="Arial" w:hAnsi="Arial" w:cs="Arial"/>
          <w:color w:val="000000" w:themeColor="text1"/>
          <w:sz w:val="22"/>
          <w:szCs w:val="22"/>
        </w:rPr>
        <w:t xml:space="preserve"> using the Perl language.</w:t>
      </w:r>
    </w:p>
    <w:p w14:paraId="58982F01"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 xml:space="preserve">Overlap of LB100-treated and INTS8-depleted </w:t>
      </w:r>
      <w:proofErr w:type="spellStart"/>
      <w:r w:rsidRPr="0047217C">
        <w:rPr>
          <w:rFonts w:ascii="Arial" w:hAnsi="Arial" w:cs="Arial"/>
          <w:i/>
          <w:iCs/>
          <w:color w:val="000000" w:themeColor="text1"/>
          <w:sz w:val="22"/>
          <w:szCs w:val="22"/>
        </w:rPr>
        <w:t>genexpression</w:t>
      </w:r>
      <w:proofErr w:type="spellEnd"/>
    </w:p>
    <w:p w14:paraId="61502389" w14:textId="1ECCA241"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To find overlapping genes between the differential gene expression after two and six hours of LB100 treatment murine cell lines, the human MiaPaCa2 cell line and a previously published gene expression pattern after INTS8-depletion in Human HEK293T cells  (Table S3) </w:t>
      </w:r>
      <w:sdt>
        <w:sdtPr>
          <w:rPr>
            <w:rFonts w:ascii="Arial" w:hAnsi="Arial" w:cs="Arial"/>
            <w:color w:val="000000" w:themeColor="text1"/>
            <w:sz w:val="22"/>
            <w:szCs w:val="22"/>
          </w:rPr>
          <w:alias w:val="SmartCite Citation"/>
          <w:tag w:val="fb8ada55-c96e-41dd-87ea-0b994a30978d:08f4ed07-5145-4304-931c-94f64f7acf43+"/>
          <w:id w:val="494848820"/>
          <w:placeholder>
            <w:docPart w:val="90CA6DADBB3CB942B16D90E2960EAA6A"/>
          </w:placeholder>
        </w:sdtPr>
        <w:sdtContent>
          <w:r w:rsidR="00F329CF" w:rsidRPr="0047217C">
            <w:rPr>
              <w:rFonts w:ascii="Arial" w:hAnsi="Arial" w:cs="Arial"/>
              <w:sz w:val="22"/>
              <w:szCs w:val="22"/>
            </w:rPr>
            <w:t>[24]</w:t>
          </w:r>
        </w:sdtContent>
      </w:sdt>
      <w:r w:rsidRPr="0047217C">
        <w:rPr>
          <w:rFonts w:ascii="Arial" w:hAnsi="Arial" w:cs="Arial"/>
          <w:color w:val="000000" w:themeColor="text1"/>
          <w:sz w:val="22"/>
          <w:szCs w:val="22"/>
        </w:rPr>
        <w:t xml:space="preserve">, the Gene ID were converted to </w:t>
      </w:r>
      <w:proofErr w:type="spellStart"/>
      <w:r w:rsidRPr="0047217C">
        <w:rPr>
          <w:rFonts w:ascii="Arial" w:hAnsi="Arial" w:cs="Arial"/>
          <w:color w:val="000000" w:themeColor="text1"/>
          <w:sz w:val="22"/>
          <w:szCs w:val="22"/>
        </w:rPr>
        <w:t>mus</w:t>
      </w:r>
      <w:proofErr w:type="spellEnd"/>
      <w:r w:rsidRPr="0047217C">
        <w:rPr>
          <w:rFonts w:ascii="Arial" w:hAnsi="Arial" w:cs="Arial"/>
          <w:color w:val="000000" w:themeColor="text1"/>
          <w:sz w:val="22"/>
          <w:szCs w:val="22"/>
        </w:rPr>
        <w:t xml:space="preserve"> musculus if necessary using the </w:t>
      </w:r>
      <w:proofErr w:type="spellStart"/>
      <w:r w:rsidRPr="0047217C">
        <w:rPr>
          <w:rFonts w:ascii="Arial" w:hAnsi="Arial" w:cs="Arial"/>
          <w:color w:val="000000" w:themeColor="text1"/>
          <w:sz w:val="22"/>
          <w:szCs w:val="22"/>
        </w:rPr>
        <w:t>Orthology</w:t>
      </w:r>
      <w:proofErr w:type="spellEnd"/>
      <w:r w:rsidRPr="0047217C">
        <w:rPr>
          <w:rFonts w:ascii="Arial" w:hAnsi="Arial" w:cs="Arial"/>
          <w:color w:val="000000" w:themeColor="text1"/>
          <w:sz w:val="22"/>
          <w:szCs w:val="22"/>
        </w:rPr>
        <w:t xml:space="preserve"> search tool (</w:t>
      </w:r>
      <w:proofErr w:type="spellStart"/>
      <w:r w:rsidRPr="0047217C">
        <w:rPr>
          <w:rFonts w:ascii="Arial" w:hAnsi="Arial" w:cs="Arial"/>
          <w:color w:val="000000" w:themeColor="text1"/>
          <w:sz w:val="22"/>
          <w:szCs w:val="22"/>
        </w:rPr>
        <w:t>g:Orth</w:t>
      </w:r>
      <w:proofErr w:type="spellEnd"/>
      <w:r w:rsidRPr="0047217C">
        <w:rPr>
          <w:rFonts w:ascii="Arial" w:hAnsi="Arial" w:cs="Arial"/>
          <w:color w:val="000000" w:themeColor="text1"/>
          <w:sz w:val="22"/>
          <w:szCs w:val="22"/>
        </w:rPr>
        <w:t>) accessed from g:Profiler  (</w:t>
      </w:r>
      <w:hyperlink r:id="rId16" w:history="1">
        <w:r w:rsidRPr="0047217C">
          <w:rPr>
            <w:rStyle w:val="Hyperlink"/>
            <w:rFonts w:ascii="Arial" w:eastAsiaTheme="majorEastAsia" w:hAnsi="Arial" w:cs="Arial"/>
            <w:color w:val="000000" w:themeColor="text1"/>
            <w:sz w:val="22"/>
            <w:szCs w:val="22"/>
          </w:rPr>
          <w:t>https://biit.cs.ut.ee/gprofiler/orth</w:t>
        </w:r>
      </w:hyperlink>
      <w:r w:rsidRPr="0047217C">
        <w:rPr>
          <w:rFonts w:ascii="Arial" w:hAnsi="Arial" w:cs="Arial"/>
          <w:color w:val="000000" w:themeColor="text1"/>
          <w:sz w:val="22"/>
          <w:szCs w:val="22"/>
        </w:rPr>
        <w:t>). Afterwards, all significantly regulated genes (</w:t>
      </w:r>
      <w:r w:rsidRPr="0047217C">
        <w:rPr>
          <w:rFonts w:ascii="Arial" w:hAnsi="Arial" w:cs="Arial"/>
          <w:i/>
          <w:iCs/>
          <w:color w:val="000000" w:themeColor="text1"/>
          <w:sz w:val="22"/>
          <w:szCs w:val="22"/>
        </w:rPr>
        <w:t>p</w:t>
      </w:r>
      <w:r w:rsidRPr="0047217C">
        <w:rPr>
          <w:rFonts w:ascii="Arial" w:hAnsi="Arial" w:cs="Arial"/>
          <w:color w:val="000000" w:themeColor="text1"/>
          <w:sz w:val="22"/>
          <w:szCs w:val="22"/>
        </w:rPr>
        <w:t xml:space="preserve">&lt; 0.05) in all datasets were compared, independently of their log2FC. Concordant genes can be found in both datasets up- or downregulated, discordant in only one of them. </w:t>
      </w:r>
    </w:p>
    <w:p w14:paraId="5A70275E"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 xml:space="preserve">RNA polymerase II </w:t>
      </w:r>
      <w:proofErr w:type="spellStart"/>
      <w:r w:rsidRPr="0047217C">
        <w:rPr>
          <w:rFonts w:ascii="Arial" w:hAnsi="Arial" w:cs="Arial"/>
          <w:i/>
          <w:iCs/>
          <w:color w:val="000000" w:themeColor="text1"/>
          <w:sz w:val="22"/>
          <w:szCs w:val="22"/>
        </w:rPr>
        <w:t>ChIP</w:t>
      </w:r>
      <w:proofErr w:type="spellEnd"/>
      <w:r w:rsidRPr="0047217C">
        <w:rPr>
          <w:rFonts w:ascii="Arial" w:hAnsi="Arial" w:cs="Arial"/>
          <w:i/>
          <w:iCs/>
          <w:color w:val="000000" w:themeColor="text1"/>
          <w:sz w:val="22"/>
          <w:szCs w:val="22"/>
        </w:rPr>
        <w:t xml:space="preserve">-seq </w:t>
      </w:r>
    </w:p>
    <w:p w14:paraId="1BA330DE" w14:textId="77777777" w:rsidR="00F4074C" w:rsidRPr="0047217C" w:rsidRDefault="00F4074C" w:rsidP="00F4074C">
      <w:pPr>
        <w:spacing w:line="480" w:lineRule="auto"/>
        <w:jc w:val="both"/>
        <w:rPr>
          <w:rFonts w:ascii="Arial" w:hAnsi="Arial" w:cs="Arial"/>
          <w:color w:val="000000" w:themeColor="text1"/>
          <w:sz w:val="22"/>
          <w:szCs w:val="22"/>
        </w:rPr>
      </w:pPr>
      <w:proofErr w:type="spellStart"/>
      <w:r w:rsidRPr="0047217C">
        <w:rPr>
          <w:rFonts w:ascii="Arial" w:hAnsi="Arial" w:cs="Arial"/>
          <w:color w:val="000000" w:themeColor="text1"/>
          <w:sz w:val="22"/>
          <w:szCs w:val="22"/>
        </w:rPr>
        <w:t>ChIP</w:t>
      </w:r>
      <w:proofErr w:type="spellEnd"/>
      <w:r w:rsidRPr="0047217C">
        <w:rPr>
          <w:rFonts w:ascii="Arial" w:hAnsi="Arial" w:cs="Arial"/>
          <w:color w:val="000000" w:themeColor="text1"/>
          <w:sz w:val="22"/>
          <w:szCs w:val="22"/>
        </w:rPr>
        <w:t xml:space="preserve">-seq was performed using the </w:t>
      </w:r>
      <w:proofErr w:type="spellStart"/>
      <w:r w:rsidRPr="0047217C">
        <w:rPr>
          <w:rFonts w:ascii="Arial" w:hAnsi="Arial" w:cs="Arial"/>
          <w:color w:val="000000" w:themeColor="text1"/>
          <w:sz w:val="22"/>
          <w:szCs w:val="22"/>
        </w:rPr>
        <w:t>SimpleChIP</w:t>
      </w:r>
      <w:proofErr w:type="spellEnd"/>
      <w:r w:rsidRPr="0047217C">
        <w:rPr>
          <w:rFonts w:ascii="Arial" w:hAnsi="Arial" w:cs="Arial"/>
          <w:color w:val="000000" w:themeColor="text1"/>
          <w:sz w:val="22"/>
          <w:szCs w:val="22"/>
        </w:rPr>
        <w:t xml:space="preserve">® Enzymatic Chromatin IP Kit (Magnetic Beads, Cell Signaling Technology, #9003) according to the manufacturer’s protocol. Briefly, 4 × 10⁶ cells were crosslinked with 1% formaldehyde for 10 min at room temperature and quenched with 0.125 M glycine for 5 min. Cells were then harvested and washed with cold PBS. After lysis, chromatin was digested with Micrococcal Nuclease for 20 min at 37 °C, followed by brief sonication. DNA was purified using spin columns. </w:t>
      </w:r>
    </w:p>
    <w:p w14:paraId="5E9687D1"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Chromatin was diluted in </w:t>
      </w:r>
      <w:proofErr w:type="spellStart"/>
      <w:r w:rsidRPr="0047217C">
        <w:rPr>
          <w:rFonts w:ascii="Arial" w:hAnsi="Arial" w:cs="Arial"/>
          <w:color w:val="000000" w:themeColor="text1"/>
          <w:sz w:val="22"/>
          <w:szCs w:val="22"/>
        </w:rPr>
        <w:t>ChIP</w:t>
      </w:r>
      <w:proofErr w:type="spellEnd"/>
      <w:r w:rsidRPr="0047217C">
        <w:rPr>
          <w:rFonts w:ascii="Arial" w:hAnsi="Arial" w:cs="Arial"/>
          <w:color w:val="000000" w:themeColor="text1"/>
          <w:sz w:val="22"/>
          <w:szCs w:val="22"/>
        </w:rPr>
        <w:t xml:space="preserve"> buffer and incubated overnight at 4 °C with the total RNA Pol II CTD antibody (Abcam, ab26721). Immune complexes were captured using Protein G magnetic beads and washed, and DNA was eluted and purified using spin columns. The enriched DNA was stored at -20 °C until sequencing.</w:t>
      </w:r>
    </w:p>
    <w:p w14:paraId="4FE54E97"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Raw paired-end </w:t>
      </w:r>
      <w:proofErr w:type="spellStart"/>
      <w:r w:rsidRPr="0047217C">
        <w:rPr>
          <w:rFonts w:ascii="Arial" w:hAnsi="Arial" w:cs="Arial"/>
          <w:color w:val="000000" w:themeColor="text1"/>
          <w:sz w:val="22"/>
          <w:szCs w:val="22"/>
        </w:rPr>
        <w:t>ChIP</w:t>
      </w:r>
      <w:proofErr w:type="spellEnd"/>
      <w:r w:rsidRPr="0047217C">
        <w:rPr>
          <w:rFonts w:ascii="Arial" w:hAnsi="Arial" w:cs="Arial"/>
          <w:color w:val="000000" w:themeColor="text1"/>
          <w:sz w:val="22"/>
          <w:szCs w:val="22"/>
        </w:rPr>
        <w:t xml:space="preserve">-seq reads were first assessed for quality using FastQC (v0.12.1). High-quality reads were aligned to the mouse reference genome (GRCm39) using BWA-MEM (v0.7.18). Aligned reads were filtered and indexed with </w:t>
      </w:r>
      <w:proofErr w:type="spellStart"/>
      <w:r w:rsidRPr="0047217C">
        <w:rPr>
          <w:rFonts w:ascii="Arial" w:hAnsi="Arial" w:cs="Arial"/>
          <w:color w:val="000000" w:themeColor="text1"/>
          <w:sz w:val="22"/>
          <w:szCs w:val="22"/>
        </w:rPr>
        <w:t>SAMtools</w:t>
      </w:r>
      <w:proofErr w:type="spellEnd"/>
      <w:r w:rsidRPr="0047217C">
        <w:rPr>
          <w:rFonts w:ascii="Arial" w:hAnsi="Arial" w:cs="Arial"/>
          <w:color w:val="000000" w:themeColor="text1"/>
          <w:sz w:val="22"/>
          <w:szCs w:val="22"/>
        </w:rPr>
        <w:t xml:space="preserve"> (v1.21). Read enrichment at </w:t>
      </w:r>
      <w:r w:rsidRPr="0047217C">
        <w:rPr>
          <w:rFonts w:ascii="Arial" w:hAnsi="Arial" w:cs="Arial"/>
          <w:color w:val="000000" w:themeColor="text1"/>
          <w:sz w:val="22"/>
          <w:szCs w:val="22"/>
        </w:rPr>
        <w:lastRenderedPageBreak/>
        <w:t xml:space="preserve">specific chromatin regions was quantified using </w:t>
      </w:r>
      <w:proofErr w:type="spellStart"/>
      <w:r w:rsidRPr="0047217C">
        <w:rPr>
          <w:rFonts w:ascii="Arial" w:hAnsi="Arial" w:cs="Arial"/>
          <w:color w:val="000000" w:themeColor="text1"/>
          <w:sz w:val="22"/>
          <w:szCs w:val="22"/>
        </w:rPr>
        <w:t>featureCounts</w:t>
      </w:r>
      <w:proofErr w:type="spellEnd"/>
      <w:r w:rsidRPr="0047217C">
        <w:rPr>
          <w:rFonts w:ascii="Arial" w:hAnsi="Arial" w:cs="Arial"/>
          <w:color w:val="000000" w:themeColor="text1"/>
          <w:sz w:val="22"/>
          <w:szCs w:val="22"/>
        </w:rPr>
        <w:t xml:space="preserve"> (v2.1.1). Coverage tracks were generated with </w:t>
      </w:r>
      <w:proofErr w:type="spellStart"/>
      <w:r w:rsidRPr="0047217C">
        <w:rPr>
          <w:rFonts w:ascii="Arial" w:hAnsi="Arial" w:cs="Arial"/>
          <w:color w:val="000000" w:themeColor="text1"/>
          <w:sz w:val="22"/>
          <w:szCs w:val="22"/>
        </w:rPr>
        <w:t>bamCoverage</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deepTools</w:t>
      </w:r>
      <w:proofErr w:type="spellEnd"/>
      <w:r w:rsidRPr="0047217C">
        <w:rPr>
          <w:rFonts w:ascii="Arial" w:hAnsi="Arial" w:cs="Arial"/>
          <w:color w:val="000000" w:themeColor="text1"/>
          <w:sz w:val="22"/>
          <w:szCs w:val="22"/>
        </w:rPr>
        <w:t xml:space="preserve"> v3.5.6) and visualized in R using the </w:t>
      </w:r>
      <w:proofErr w:type="spellStart"/>
      <w:r w:rsidRPr="0047217C">
        <w:rPr>
          <w:rFonts w:ascii="Arial" w:hAnsi="Arial" w:cs="Arial"/>
          <w:color w:val="000000" w:themeColor="text1"/>
          <w:sz w:val="22"/>
          <w:szCs w:val="22"/>
        </w:rPr>
        <w:t>Gviz</w:t>
      </w:r>
      <w:proofErr w:type="spellEnd"/>
      <w:r w:rsidRPr="0047217C">
        <w:rPr>
          <w:rFonts w:ascii="Arial" w:hAnsi="Arial" w:cs="Arial"/>
          <w:color w:val="000000" w:themeColor="text1"/>
          <w:sz w:val="22"/>
          <w:szCs w:val="22"/>
        </w:rPr>
        <w:t xml:space="preserve"> package (v1.48.0). Differential binding analysis was conducted in R using DESeq2 (v1.44.0).</w:t>
      </w:r>
    </w:p>
    <w:p w14:paraId="2B04E5C0"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Western Blot</w:t>
      </w:r>
    </w:p>
    <w:p w14:paraId="75EEC9FE" w14:textId="1AA2F9AD"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Western Blotting of whole cell lysates was done as described previously </w:t>
      </w:r>
      <w:sdt>
        <w:sdtPr>
          <w:rPr>
            <w:rFonts w:ascii="Arial" w:hAnsi="Arial" w:cs="Arial"/>
            <w:color w:val="000000" w:themeColor="text1"/>
            <w:sz w:val="22"/>
            <w:szCs w:val="22"/>
          </w:rPr>
          <w:alias w:val="SmartCite Citation"/>
          <w:tag w:val="fb8ada55-c96e-41dd-87ea-0b994a30978d:cac24821-062d-45b0-9d85-271391864cef+"/>
          <w:id w:val="-4676491"/>
          <w:placeholder>
            <w:docPart w:val="90CA6DADBB3CB942B16D90E2960EAA6A"/>
          </w:placeholder>
        </w:sdtPr>
        <w:sdtContent>
          <w:r w:rsidR="00F329CF" w:rsidRPr="0047217C">
            <w:rPr>
              <w:rFonts w:ascii="Arial" w:hAnsi="Arial" w:cs="Arial"/>
              <w:sz w:val="22"/>
              <w:szCs w:val="22"/>
            </w:rPr>
            <w:t>[25]</w:t>
          </w:r>
        </w:sdtContent>
      </w:sdt>
      <w:r w:rsidRPr="0047217C">
        <w:rPr>
          <w:rFonts w:ascii="Arial" w:hAnsi="Arial" w:cs="Arial"/>
          <w:color w:val="000000" w:themeColor="text1"/>
          <w:sz w:val="22"/>
          <w:szCs w:val="22"/>
        </w:rPr>
        <w:t xml:space="preserve">. In Brief, cells were seeded in 10cm plates and treated the next day as indicated. After incubation, the supernatant was collected together with the </w:t>
      </w:r>
      <w:proofErr w:type="spellStart"/>
      <w:r w:rsidRPr="0047217C">
        <w:rPr>
          <w:rFonts w:ascii="Arial" w:hAnsi="Arial" w:cs="Arial"/>
          <w:color w:val="000000" w:themeColor="text1"/>
          <w:sz w:val="22"/>
          <w:szCs w:val="22"/>
        </w:rPr>
        <w:t>trypsinized</w:t>
      </w:r>
      <w:proofErr w:type="spellEnd"/>
      <w:r w:rsidRPr="0047217C">
        <w:rPr>
          <w:rFonts w:ascii="Arial" w:hAnsi="Arial" w:cs="Arial"/>
          <w:color w:val="000000" w:themeColor="text1"/>
          <w:sz w:val="22"/>
          <w:szCs w:val="22"/>
        </w:rPr>
        <w:t xml:space="preserve"> cells and lysed with RIPA buffer (1% (v/v) Triton-X, 1% (w/v) Na-deoxycholate, 0.1% (w/v) SDS, 150mM NaCl,10 mM EDTA and 20 mM TRIS-HCL, pH 7.5, supplemented with protease inhibitor and phosphatase inhibitor (#11873580001, Protease inhibitor cocktail complete EDTA free, Roche Diagnostics, Mannheim, Germany and Phosphatase-Inhibitor-Mix I, #39050, Serva Electrophoresis GmbH, Heidelberg, Germany) before freezing at -80°C overnight. After centrifugation at 4°C for 15 minutes (16.000 x g), the supernatant was used for a Bradford assay (#39222.03, Serva Electrophoresis GmbH, Heidelberg, Germany)) to determine the protein concentration. All samples were afterwards equality diluted in 5x </w:t>
      </w:r>
      <w:proofErr w:type="spellStart"/>
      <w:r w:rsidRPr="0047217C">
        <w:rPr>
          <w:rFonts w:ascii="Arial" w:hAnsi="Arial" w:cs="Arial"/>
          <w:color w:val="000000" w:themeColor="text1"/>
          <w:sz w:val="22"/>
          <w:szCs w:val="22"/>
        </w:rPr>
        <w:t>Lämmli</w:t>
      </w:r>
      <w:proofErr w:type="spellEnd"/>
      <w:r w:rsidRPr="0047217C">
        <w:rPr>
          <w:rFonts w:ascii="Arial" w:hAnsi="Arial" w:cs="Arial"/>
          <w:color w:val="000000" w:themeColor="text1"/>
          <w:sz w:val="22"/>
          <w:szCs w:val="22"/>
        </w:rPr>
        <w:t xml:space="preserve"> Loading buffer (45.6 mM Tris-HCl pH 6.8, 2% SDS, 10% glycerol, 1% β-</w:t>
      </w:r>
      <w:proofErr w:type="spellStart"/>
      <w:r w:rsidRPr="0047217C">
        <w:rPr>
          <w:rFonts w:ascii="Arial" w:hAnsi="Arial" w:cs="Arial"/>
          <w:color w:val="000000" w:themeColor="text1"/>
          <w:sz w:val="22"/>
          <w:szCs w:val="22"/>
        </w:rPr>
        <w:t>mercaptoethanol</w:t>
      </w:r>
      <w:proofErr w:type="spellEnd"/>
      <w:r w:rsidRPr="0047217C">
        <w:rPr>
          <w:rFonts w:ascii="Arial" w:hAnsi="Arial" w:cs="Arial"/>
          <w:color w:val="000000" w:themeColor="text1"/>
          <w:sz w:val="22"/>
          <w:szCs w:val="22"/>
        </w:rPr>
        <w:t xml:space="preserve">, 0.01% bromophenol blue) before loading on a Polyacrylamide gel (7.5-15%) and separation for 3 hours at 80V. Blotting of the proteins to a 0.2µm </w:t>
      </w:r>
      <w:proofErr w:type="spellStart"/>
      <w:r w:rsidRPr="0047217C">
        <w:rPr>
          <w:rFonts w:ascii="Arial" w:hAnsi="Arial" w:cs="Arial"/>
          <w:color w:val="000000" w:themeColor="text1"/>
          <w:sz w:val="22"/>
          <w:szCs w:val="22"/>
        </w:rPr>
        <w:t>Amersham™Protran™Nitrocellulose</w:t>
      </w:r>
      <w:proofErr w:type="spellEnd"/>
      <w:r w:rsidRPr="0047217C">
        <w:rPr>
          <w:rFonts w:ascii="Arial" w:hAnsi="Arial" w:cs="Arial"/>
          <w:color w:val="000000" w:themeColor="text1"/>
          <w:sz w:val="22"/>
          <w:szCs w:val="22"/>
        </w:rPr>
        <w:t xml:space="preserve"> membrane (Merck-Millipore, Berlin, Germany) was done at 350mA for 1-2 hours with a wet blot system (Bio-Rad Laboratories Inc., Hercules, California, USA) before blocking the membrane in 5% (w/v) </w:t>
      </w:r>
      <w:proofErr w:type="spellStart"/>
      <w:r w:rsidRPr="0047217C">
        <w:rPr>
          <w:rFonts w:ascii="Arial" w:hAnsi="Arial" w:cs="Arial"/>
          <w:color w:val="000000" w:themeColor="text1"/>
          <w:sz w:val="22"/>
          <w:szCs w:val="22"/>
        </w:rPr>
        <w:t>milkpowder</w:t>
      </w:r>
      <w:proofErr w:type="spellEnd"/>
      <w:r w:rsidRPr="0047217C">
        <w:rPr>
          <w:rFonts w:ascii="Arial" w:hAnsi="Arial" w:cs="Arial"/>
          <w:color w:val="000000" w:themeColor="text1"/>
          <w:sz w:val="22"/>
          <w:szCs w:val="22"/>
        </w:rPr>
        <w:t xml:space="preserve"> (#T145.3, Carl Roth) in TBS-T. Primary antibodies were diluted 1:1000 in 5% (w/v) milk in TBST-T if not otherwise indicated and incubated overnight for 4°C. The following antibodies were used with the following dilutions: LC3 I/II (Cell Signaling Technology Cat# 4108, RRID:AB_2137703, 1:1000), </w:t>
      </w:r>
      <w:r w:rsidRPr="0047217C">
        <w:rPr>
          <w:rFonts w:ascii="Arial" w:hAnsi="Arial" w:cs="Arial"/>
          <w:color w:val="000000" w:themeColor="text1"/>
          <w:kern w:val="36"/>
          <w:sz w:val="22"/>
          <w:szCs w:val="22"/>
        </w:rPr>
        <w:t>LC3B (D11) XP (Cell Signaling Technology</w:t>
      </w:r>
      <w:r w:rsidRPr="0047217C">
        <w:rPr>
          <w:rFonts w:ascii="Arial" w:hAnsi="Arial" w:cs="Arial"/>
          <w:color w:val="000000" w:themeColor="text1"/>
          <w:sz w:val="22"/>
          <w:szCs w:val="22"/>
        </w:rPr>
        <w:t xml:space="preserve"> Cat#3868, </w:t>
      </w:r>
      <w:r w:rsidRPr="0047217C">
        <w:rPr>
          <w:rFonts w:ascii="Arial" w:hAnsi="Arial" w:cs="Arial"/>
          <w:color w:val="000000" w:themeColor="text1"/>
          <w:sz w:val="22"/>
          <w:szCs w:val="22"/>
          <w:shd w:val="clear" w:color="auto" w:fill="FFFFFF"/>
        </w:rPr>
        <w:t>RRID:AB_2137707, 1:1000</w:t>
      </w:r>
      <w:r w:rsidRPr="0047217C">
        <w:rPr>
          <w:rFonts w:ascii="Arial" w:hAnsi="Arial" w:cs="Arial"/>
          <w:color w:val="000000" w:themeColor="text1"/>
          <w:sz w:val="22"/>
          <w:szCs w:val="22"/>
        </w:rPr>
        <w:t xml:space="preserve">), p-Ulk1 S757 (Cell Signaling Technology Cat# 6888, RRID:AB_10829226, 1:1000), p-AMPK T172 (Cell Signaling Technology Cat# 2535, RRID:AB_331250,1:1000), AMPK (Cell Signaling Technology Cat# 5832, RRID:AB_10624867,1:1000), p-eif2a (S51) (Cell Signaling Technology Cat# 3398, RRID:AB_2096481, 1:1000), ATF4 (Cell Signaling Technology Cat# </w:t>
      </w:r>
      <w:r w:rsidRPr="0047217C">
        <w:rPr>
          <w:rFonts w:ascii="Arial" w:hAnsi="Arial" w:cs="Arial"/>
          <w:color w:val="000000" w:themeColor="text1"/>
          <w:sz w:val="22"/>
          <w:szCs w:val="22"/>
        </w:rPr>
        <w:lastRenderedPageBreak/>
        <w:t xml:space="preserve">11815, RRID:AB_2616025, 1:1000), HSP90 (Santa Cruz Biotechnology Cat# sc-13119, RRID:AB_675659, 1:5000), p-S5 POL2R (Abcam Cat# ab5131, RRID:AB_449369, 1:2000), p-S2 POL2R (Abcam Cat# ab5095, RRID:AB_304749, 1:2000), pan-Pol II (Abcam Cat# ab264350, 1:2000), p-IRE1 (Abcam Cat# ab48187, RRID:AB_873899,1:1000), cleaved PARP (Cell Signaling Technology Cat# 5625, RRID:AB_10699459), ß-actin (Cell Signaling Technology Cat# 3700, RRID:AB_2242334, 1:5000), Vimentin (Cell Signaling Technology, Cat# 5741, RRID:AB_10695459, 1:1000), PP2A A Subunit (81G5) (Cell Signaling Technology Cat# 2041, RRID:AB_2168121, Dilution 1:1000 in 5% </w:t>
      </w:r>
      <w:proofErr w:type="spellStart"/>
      <w:r w:rsidRPr="0047217C">
        <w:rPr>
          <w:rFonts w:ascii="Arial" w:hAnsi="Arial" w:cs="Arial"/>
          <w:color w:val="000000" w:themeColor="text1"/>
          <w:sz w:val="22"/>
          <w:szCs w:val="22"/>
        </w:rPr>
        <w:t>bovin</w:t>
      </w:r>
      <w:proofErr w:type="spellEnd"/>
      <w:r w:rsidRPr="0047217C">
        <w:rPr>
          <w:rFonts w:ascii="Arial" w:hAnsi="Arial" w:cs="Arial"/>
          <w:color w:val="000000" w:themeColor="text1"/>
          <w:sz w:val="22"/>
          <w:szCs w:val="22"/>
        </w:rPr>
        <w:t xml:space="preserve"> serum albumin (BSA) (Sigma-Aldrich), Vinculin (Merck-Sigma-Aldrich Cat# V9131, RRID: AB_477629, Dilution 1:500). Secondary antibodies were used in a 1:10,000 dilution in 5% Milk-TBST and incubated for one hour at room temperature under gentle agitation: Mouse 680 (Cell Signaling Technology Cat# 5470, RRID:AB_10696895), Rabbit 680 (Cell Signaling Technology Cat# 5366, RRID:AB_10693812), Mouse 800 (Cell Signaling Technology Cat# 5257, RRID:AB_10693543) and Rabbit 800 (Cell Signaling Technology Cat# 5151, RRID:AB_10697505). Protein bands were visualized with an Odyssey® Imaging System (Licor Biosciences, Bad Homburg, Germany) at wavelength 700 or 800 nM, and the protein bands were quantified using the Image Studio Lite Software (RRID: SCR_013715, Licor Biosciences, Bad Homburg, Germany). All Protein quantifications were normalized to loading control of a minimum of three independent replicates.</w:t>
      </w:r>
    </w:p>
    <w:p w14:paraId="64C80DE8"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Flow cytometry Apoptosis detection via Annexin V/PI</w:t>
      </w:r>
    </w:p>
    <w:p w14:paraId="69CA680D"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For the measurement of apoptosis, the FITC Annexin V Apoptosis Detection Kit I (</w:t>
      </w:r>
      <w:proofErr w:type="gramStart"/>
      <w:r w:rsidRPr="0047217C">
        <w:rPr>
          <w:rFonts w:ascii="Arial" w:hAnsi="Arial" w:cs="Arial"/>
          <w:color w:val="000000" w:themeColor="text1"/>
          <w:sz w:val="22"/>
          <w:szCs w:val="22"/>
        </w:rPr>
        <w:t>RRID:AB</w:t>
      </w:r>
      <w:proofErr w:type="gramEnd"/>
      <w:r w:rsidRPr="0047217C">
        <w:rPr>
          <w:rFonts w:ascii="Arial" w:hAnsi="Arial" w:cs="Arial"/>
          <w:color w:val="000000" w:themeColor="text1"/>
          <w:sz w:val="22"/>
          <w:szCs w:val="22"/>
        </w:rPr>
        <w:t xml:space="preserve">_2869082, # 556547, BD Biosciences, San Diego, USA) was used. Cells were seeded in 6 ml culture media in 10 cm dishes and left for attachment for 24 hours. Cells were treated with 20 µM LB100 or left as untreated control. 6 hours after treatment the cells were washed with 4 ml PBS and detached with 1 ml of 0.05% (v/v) EDTA for 5 minutes. All media and cell washings steps were </w:t>
      </w:r>
      <w:proofErr w:type="gramStart"/>
      <w:r w:rsidRPr="0047217C">
        <w:rPr>
          <w:rFonts w:ascii="Arial" w:hAnsi="Arial" w:cs="Arial"/>
          <w:color w:val="000000" w:themeColor="text1"/>
          <w:sz w:val="22"/>
          <w:szCs w:val="22"/>
        </w:rPr>
        <w:t>collected together</w:t>
      </w:r>
      <w:proofErr w:type="gramEnd"/>
      <w:r w:rsidRPr="0047217C">
        <w:rPr>
          <w:rFonts w:ascii="Arial" w:hAnsi="Arial" w:cs="Arial"/>
          <w:color w:val="000000" w:themeColor="text1"/>
          <w:sz w:val="22"/>
          <w:szCs w:val="22"/>
        </w:rPr>
        <w:t xml:space="preserve"> with the detached cells and centrifugated for 5 minutes at 300 x g. The pellet was then resuspended in 500 µl 1x binding buffer with 5 µl Annexin and 2 µl PI, according to the manufacturer’s instructions. After 1 hour of staining, the </w:t>
      </w:r>
      <w:r w:rsidRPr="0047217C">
        <w:rPr>
          <w:rFonts w:ascii="Arial" w:hAnsi="Arial" w:cs="Arial"/>
          <w:color w:val="000000" w:themeColor="text1"/>
          <w:sz w:val="22"/>
          <w:szCs w:val="22"/>
        </w:rPr>
        <w:lastRenderedPageBreak/>
        <w:t xml:space="preserve">samples were measured by a flow cytometer using CytoFLEX S (Beckman Coulter, California, USA). The obtained results from three biological replicates were afterwards analyzed using the </w:t>
      </w:r>
      <w:proofErr w:type="spellStart"/>
      <w:r w:rsidRPr="0047217C">
        <w:rPr>
          <w:rFonts w:ascii="Arial" w:hAnsi="Arial" w:cs="Arial"/>
          <w:color w:val="000000" w:themeColor="text1"/>
          <w:sz w:val="22"/>
          <w:szCs w:val="22"/>
        </w:rPr>
        <w:t>FlowJo</w:t>
      </w:r>
      <w:r w:rsidRPr="0047217C">
        <w:rPr>
          <w:rFonts w:ascii="Arial" w:hAnsi="Arial" w:cs="Arial"/>
          <w:color w:val="000000" w:themeColor="text1"/>
          <w:sz w:val="22"/>
          <w:szCs w:val="22"/>
          <w:vertAlign w:val="superscript"/>
        </w:rPr>
        <w:t>TM</w:t>
      </w:r>
      <w:proofErr w:type="spellEnd"/>
      <w:r w:rsidRPr="0047217C">
        <w:rPr>
          <w:rFonts w:ascii="Arial" w:hAnsi="Arial" w:cs="Arial"/>
          <w:color w:val="000000" w:themeColor="text1"/>
          <w:sz w:val="22"/>
          <w:szCs w:val="22"/>
        </w:rPr>
        <w:t xml:space="preserve"> Software (RRID: SCR_008520, FlowJo, LLC, Ashland, Oregon, USA).</w:t>
      </w:r>
    </w:p>
    <w:p w14:paraId="1506B4B5"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Autophagy Measurement by the LysoTracker®</w:t>
      </w:r>
    </w:p>
    <w:p w14:paraId="3D4F5281" w14:textId="2CEDC905" w:rsidR="00F4074C" w:rsidRPr="0047217C" w:rsidRDefault="00F4074C" w:rsidP="00F4074C">
      <w:pPr>
        <w:spacing w:line="480" w:lineRule="auto"/>
        <w:jc w:val="both"/>
        <w:rPr>
          <w:rFonts w:ascii="Arial" w:hAnsi="Arial" w:cs="Arial"/>
          <w:color w:val="000000" w:themeColor="text1"/>
          <w:sz w:val="22"/>
          <w:szCs w:val="22"/>
          <w:shd w:val="clear" w:color="auto" w:fill="FFFFFF"/>
        </w:rPr>
      </w:pPr>
      <w:r w:rsidRPr="0047217C">
        <w:rPr>
          <w:rFonts w:ascii="Arial" w:hAnsi="Arial" w:cs="Arial"/>
          <w:color w:val="000000" w:themeColor="text1"/>
          <w:sz w:val="22"/>
          <w:szCs w:val="22"/>
        </w:rPr>
        <w:t xml:space="preserve">For measuring autophagy induction after inhibitor treatment, 10,000 cells were seeded into an 18-well µ-slide (Cat# 81816, </w:t>
      </w:r>
      <w:proofErr w:type="spellStart"/>
      <w:r w:rsidRPr="0047217C">
        <w:rPr>
          <w:rFonts w:ascii="Arial" w:hAnsi="Arial" w:cs="Arial"/>
          <w:color w:val="000000" w:themeColor="text1"/>
          <w:sz w:val="22"/>
          <w:szCs w:val="22"/>
        </w:rPr>
        <w:t>Ibidi</w:t>
      </w:r>
      <w:proofErr w:type="spellEnd"/>
      <w:r w:rsidRPr="0047217C">
        <w:rPr>
          <w:rFonts w:ascii="Arial" w:hAnsi="Arial" w:cs="Arial"/>
          <w:color w:val="000000" w:themeColor="text1"/>
          <w:sz w:val="22"/>
          <w:szCs w:val="22"/>
        </w:rPr>
        <w:t xml:space="preserve">, Munich, Germany). The next day, treatment with the indicated concentrations of the inhibitors in human and murine cell lines was done for four or six hours, respectively. After the incubation time, the media was changed to LysoTracker® deep red media (50nM LysoTracker® in normal culture media) for one hour at 37°C, before adding 1 µg/µl Hoechst 33342 for 10 minutes (Invitrogen, California, USA). The cells were afterwards imaged via Live-cell imaging with a Leica SP8 Confocal microscope (Leica </w:t>
      </w:r>
      <w:proofErr w:type="spellStart"/>
      <w:proofErr w:type="gramStart"/>
      <w:r w:rsidRPr="0047217C">
        <w:rPr>
          <w:rFonts w:ascii="Arial" w:hAnsi="Arial" w:cs="Arial"/>
          <w:color w:val="000000" w:themeColor="text1"/>
          <w:sz w:val="22"/>
          <w:szCs w:val="22"/>
        </w:rPr>
        <w:t>Biosystems,USA</w:t>
      </w:r>
      <w:proofErr w:type="spellEnd"/>
      <w:proofErr w:type="gramEnd"/>
      <w:r w:rsidRPr="0047217C">
        <w:rPr>
          <w:rFonts w:ascii="Arial" w:hAnsi="Arial" w:cs="Arial"/>
          <w:color w:val="000000" w:themeColor="text1"/>
          <w:sz w:val="22"/>
          <w:szCs w:val="22"/>
        </w:rPr>
        <w:t>) under a constant 37°C temperature during the imaging process. Median Fluorescent intensity per cell was calculated with ImageJ (</w:t>
      </w:r>
      <w:r w:rsidRPr="0047217C">
        <w:rPr>
          <w:rFonts w:ascii="Arial" w:hAnsi="Arial" w:cs="Arial"/>
          <w:color w:val="000000" w:themeColor="text1"/>
          <w:sz w:val="22"/>
          <w:szCs w:val="22"/>
          <w:shd w:val="clear" w:color="auto" w:fill="FFFFFF"/>
        </w:rPr>
        <w:t xml:space="preserve">RRID:SCR_003070) and normalized to the Hoechst signal </w:t>
      </w:r>
      <w:sdt>
        <w:sdtPr>
          <w:rPr>
            <w:rFonts w:ascii="Arial" w:hAnsi="Arial" w:cs="Arial"/>
            <w:color w:val="000000" w:themeColor="text1"/>
            <w:sz w:val="22"/>
            <w:szCs w:val="22"/>
            <w:shd w:val="clear" w:color="auto" w:fill="FFFFFF"/>
          </w:rPr>
          <w:alias w:val="SmartCite Citation"/>
          <w:tag w:val="fb8ada55-c96e-41dd-87ea-0b994a30978d:14957f62-0366-4811-940f-8297bb43c831+"/>
          <w:id w:val="2058810001"/>
          <w:placeholder>
            <w:docPart w:val="90CA6DADBB3CB942B16D90E2960EAA6A"/>
          </w:placeholder>
        </w:sdtPr>
        <w:sdtContent>
          <w:r w:rsidR="00F329CF" w:rsidRPr="0047217C">
            <w:rPr>
              <w:rFonts w:ascii="Arial" w:hAnsi="Arial" w:cs="Arial"/>
              <w:sz w:val="22"/>
              <w:szCs w:val="22"/>
            </w:rPr>
            <w:t>[26]</w:t>
          </w:r>
        </w:sdtContent>
      </w:sdt>
      <w:r w:rsidRPr="0047217C">
        <w:rPr>
          <w:rFonts w:ascii="Arial" w:hAnsi="Arial" w:cs="Arial"/>
          <w:color w:val="000000" w:themeColor="text1"/>
          <w:sz w:val="22"/>
          <w:szCs w:val="22"/>
          <w:shd w:val="clear" w:color="auto" w:fill="FFFFFF"/>
        </w:rPr>
        <w:t>.</w:t>
      </w:r>
    </w:p>
    <w:p w14:paraId="271CF508"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Immunocytochemistry and imaging</w:t>
      </w:r>
    </w:p>
    <w:p w14:paraId="1CF10967"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Cells were cultured on chamber slides and treated as indicated with the inhibitors. Afterwards, cells were fixed for 10 minutes with methanol-free 4% PFA (#28906 Thermo Scientific, USA), permeabilized with 0.1% (v/v) PBS-Triton X-100 and blocked with 1% (w/v) BSA / 10% (v/v) normal goat serum (#G9023, Sigma-Aldrich) / 0.3 M </w:t>
      </w:r>
      <w:proofErr w:type="spellStart"/>
      <w:r w:rsidRPr="0047217C">
        <w:rPr>
          <w:rFonts w:ascii="Arial" w:hAnsi="Arial" w:cs="Arial"/>
          <w:color w:val="000000" w:themeColor="text1"/>
          <w:sz w:val="22"/>
          <w:szCs w:val="22"/>
        </w:rPr>
        <w:t>Glycin</w:t>
      </w:r>
      <w:proofErr w:type="spellEnd"/>
      <w:r w:rsidRPr="0047217C">
        <w:rPr>
          <w:rFonts w:ascii="Arial" w:hAnsi="Arial" w:cs="Arial"/>
          <w:color w:val="000000" w:themeColor="text1"/>
          <w:sz w:val="22"/>
          <w:szCs w:val="22"/>
        </w:rPr>
        <w:t xml:space="preserve"> in 0.1 % (v/v) PBS-Tween for one hour. The primary antibody was incubated overnight at 4°C in 1 % (w/v) BSA solution in PBS. Used primary antibodies: TIA-1 (200 µg/ml, Santa Cruz Biotechnology Cat# sc-1751, RRID: AB_2201433). As a secondary antibody, </w:t>
      </w:r>
      <w:proofErr w:type="gramStart"/>
      <w:r w:rsidRPr="0047217C">
        <w:rPr>
          <w:rFonts w:ascii="Arial" w:hAnsi="Arial" w:cs="Arial"/>
          <w:color w:val="000000" w:themeColor="text1"/>
          <w:sz w:val="22"/>
          <w:szCs w:val="22"/>
        </w:rPr>
        <w:t>Donkey</w:t>
      </w:r>
      <w:proofErr w:type="gramEnd"/>
      <w:r w:rsidRPr="0047217C">
        <w:rPr>
          <w:rFonts w:ascii="Arial" w:hAnsi="Arial" w:cs="Arial"/>
          <w:color w:val="000000" w:themeColor="text1"/>
          <w:sz w:val="22"/>
          <w:szCs w:val="22"/>
        </w:rPr>
        <w:t xml:space="preserve"> anti-Goat IgG (H+L) Cross-Adsorbed Secondary Antibody, Alexa Fluor™ 555 (Thermo Fisher Scientific Cat# A-21432, RRID: AB_2535853) was used in a 1:1000 dilution in 1%(w/v) BSA solution in PBS for one hour. The cells were embedded in </w:t>
      </w:r>
      <w:proofErr w:type="spellStart"/>
      <w:r w:rsidRPr="0047217C">
        <w:rPr>
          <w:rFonts w:ascii="Arial" w:hAnsi="Arial" w:cs="Arial"/>
          <w:color w:val="000000" w:themeColor="text1"/>
          <w:sz w:val="22"/>
          <w:szCs w:val="22"/>
        </w:rPr>
        <w:t>Vectashield</w:t>
      </w:r>
      <w:proofErr w:type="spellEnd"/>
      <w:r w:rsidRPr="0047217C">
        <w:rPr>
          <w:rFonts w:ascii="Arial" w:hAnsi="Arial" w:cs="Arial"/>
          <w:color w:val="000000" w:themeColor="text1"/>
          <w:sz w:val="22"/>
          <w:szCs w:val="22"/>
        </w:rPr>
        <w:t xml:space="preserve"> </w:t>
      </w:r>
      <w:proofErr w:type="spellStart"/>
      <w:r w:rsidRPr="0047217C">
        <w:rPr>
          <w:rFonts w:ascii="Arial" w:hAnsi="Arial" w:cs="Arial"/>
          <w:color w:val="000000" w:themeColor="text1"/>
          <w:sz w:val="22"/>
          <w:szCs w:val="22"/>
        </w:rPr>
        <w:t>HardSet</w:t>
      </w:r>
      <w:proofErr w:type="spellEnd"/>
      <w:r w:rsidRPr="0047217C">
        <w:rPr>
          <w:rFonts w:ascii="Arial" w:hAnsi="Arial" w:cs="Arial"/>
          <w:color w:val="000000" w:themeColor="text1"/>
          <w:sz w:val="22"/>
          <w:szCs w:val="22"/>
        </w:rPr>
        <w:t xml:space="preserve"> Mounting media with DAPI (#H-1500 Vector Laboratories, Burlingame, USA) and imaged with a Leica SP8 Confocal microscope (Leica Camera AG, Wetzlar, Germany). TIA1+ granules on average per cell were calculated with </w:t>
      </w:r>
      <w:proofErr w:type="spellStart"/>
      <w:r w:rsidRPr="0047217C">
        <w:rPr>
          <w:rFonts w:ascii="Arial" w:hAnsi="Arial" w:cs="Arial"/>
          <w:color w:val="000000" w:themeColor="text1"/>
          <w:sz w:val="22"/>
          <w:szCs w:val="22"/>
        </w:rPr>
        <w:t>Imaris</w:t>
      </w:r>
      <w:proofErr w:type="spellEnd"/>
      <w:r w:rsidRPr="0047217C">
        <w:rPr>
          <w:rFonts w:ascii="Arial" w:hAnsi="Arial" w:cs="Arial"/>
          <w:color w:val="000000" w:themeColor="text1"/>
          <w:sz w:val="22"/>
          <w:szCs w:val="22"/>
        </w:rPr>
        <w:t xml:space="preserve"> v 8.3 (RRID: SCR_007370, Oxford Instruments, Abington, UK).</w:t>
      </w:r>
    </w:p>
    <w:p w14:paraId="6602718F"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lastRenderedPageBreak/>
        <w:t>Real-time cellular metabolism measurement</w:t>
      </w:r>
    </w:p>
    <w:p w14:paraId="06CB5D2F" w14:textId="77777777"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One day prior to measurement, a Seahorse cartridge (#102416-100, Agilent Technologies, USA) was hydrated overnight, before changing to the calibration solution (#100840-000, Agilent Technologies, USA) 2h before the measurement. 10,000 cells were seeded in 80 µl Seahorse DMEM Media (#103334-100, Agilent Technologies, USA) and treated in quadruplicates for the indicated timepoints with the inhibitors. In Parallel, a 96 black well plate (#353219 Falcon, Corning Incorporated, NY, USA) was treated the same for later normalization by measuring Hoechst incorporation. After that, the media was changed to 180 µl normal Seahorse Media (pH 7.4) for ECAR measurements or to media containing 5 g/L Glucose for OCR measurements and incubated for 1 h at 37°C. The injection solutions for the OCR measurement were prepared in glucose-free Seahorse (pH 7.4) media as follows: Injection A (20 µl per injection) was used in a final well concentration of 2.5 µM Oligomycin, Injection B (22 µl per injection) contained 1 µM FCCP and 5 mM Pyruvate and Injection C (25 µl per injection) consisted of 2.5 µM Rotenone and 2.5 µM Antimycin A. The injection solutions for ECAR measurements were loaded as followed: Port A contained 10 mM Glucose, Port B 2.5 µM Oligomycin and Port C 100 mM 2-Deoxyglucose, all in a final well concentration respectively. Analyzation was done with a Seahorse XFe96 Analyzer (Agilent Technologies, USA). The parallel-prepared 96-well black plate was incubated with 1 µg/ml Hoechst 33342 solution for 5 minutes and then measured on a FLUOstar OPTIMA microplate reader (BMG Labtech GmbH, Ortenberg, Germany). Seahorse quadruplicates from each biological experiment (n≥3) were afterwards pooled, singularized and normalized to corresponding mean Hoechst 33342 values. </w:t>
      </w:r>
    </w:p>
    <w:p w14:paraId="42C28C92"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 xml:space="preserve">Human and murine mRNA expression datasets, clinical data, PP2A dropout scores, Priority scores, </w:t>
      </w:r>
      <w:proofErr w:type="spellStart"/>
      <w:r w:rsidRPr="0047217C">
        <w:rPr>
          <w:rFonts w:ascii="Arial" w:hAnsi="Arial" w:cs="Arial"/>
          <w:i/>
          <w:iCs/>
          <w:color w:val="000000" w:themeColor="text1"/>
          <w:sz w:val="22"/>
          <w:szCs w:val="22"/>
        </w:rPr>
        <w:t>ssGSEA</w:t>
      </w:r>
      <w:proofErr w:type="spellEnd"/>
      <w:r w:rsidRPr="0047217C">
        <w:rPr>
          <w:rFonts w:ascii="Arial" w:hAnsi="Arial" w:cs="Arial"/>
          <w:i/>
          <w:iCs/>
          <w:color w:val="000000" w:themeColor="text1"/>
          <w:sz w:val="22"/>
          <w:szCs w:val="22"/>
        </w:rPr>
        <w:t xml:space="preserve"> of CPTAC, </w:t>
      </w:r>
      <w:proofErr w:type="spellStart"/>
      <w:r w:rsidRPr="0047217C">
        <w:rPr>
          <w:rFonts w:ascii="Arial" w:hAnsi="Arial" w:cs="Arial"/>
          <w:i/>
          <w:iCs/>
          <w:color w:val="000000" w:themeColor="text1"/>
          <w:sz w:val="22"/>
          <w:szCs w:val="22"/>
        </w:rPr>
        <w:t>ssGSEA</w:t>
      </w:r>
      <w:proofErr w:type="spellEnd"/>
      <w:r w:rsidRPr="0047217C">
        <w:rPr>
          <w:rFonts w:ascii="Arial" w:hAnsi="Arial" w:cs="Arial"/>
          <w:i/>
          <w:iCs/>
          <w:color w:val="000000" w:themeColor="text1"/>
          <w:sz w:val="22"/>
          <w:szCs w:val="22"/>
        </w:rPr>
        <w:t xml:space="preserve">, </w:t>
      </w:r>
      <w:proofErr w:type="spellStart"/>
      <w:r w:rsidRPr="0047217C">
        <w:rPr>
          <w:rFonts w:ascii="Arial" w:hAnsi="Arial" w:cs="Arial"/>
          <w:i/>
          <w:iCs/>
          <w:color w:val="000000" w:themeColor="text1"/>
          <w:sz w:val="22"/>
          <w:szCs w:val="22"/>
        </w:rPr>
        <w:t>LinkedOmics</w:t>
      </w:r>
      <w:proofErr w:type="spellEnd"/>
      <w:r w:rsidRPr="0047217C">
        <w:rPr>
          <w:rFonts w:ascii="Arial" w:hAnsi="Arial" w:cs="Arial"/>
          <w:i/>
          <w:iCs/>
          <w:color w:val="000000" w:themeColor="text1"/>
          <w:sz w:val="22"/>
          <w:szCs w:val="22"/>
        </w:rPr>
        <w:t>, GSEA, correlation of GI</w:t>
      </w:r>
      <w:r w:rsidRPr="0047217C">
        <w:rPr>
          <w:rFonts w:ascii="Arial" w:hAnsi="Arial" w:cs="Arial"/>
          <w:i/>
          <w:iCs/>
          <w:color w:val="000000" w:themeColor="text1"/>
          <w:sz w:val="22"/>
          <w:szCs w:val="22"/>
          <w:vertAlign w:val="subscript"/>
        </w:rPr>
        <w:t>50</w:t>
      </w:r>
      <w:r w:rsidRPr="0047217C">
        <w:rPr>
          <w:rFonts w:ascii="Arial" w:hAnsi="Arial" w:cs="Arial"/>
          <w:i/>
          <w:iCs/>
          <w:color w:val="000000" w:themeColor="text1"/>
          <w:sz w:val="22"/>
          <w:szCs w:val="22"/>
        </w:rPr>
        <w:t xml:space="preserve"> with gene expression, Venn analysis, and Heatmaps</w:t>
      </w:r>
    </w:p>
    <w:p w14:paraId="3C97953B" w14:textId="42FBE8D5"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The target priority scores for the pancreatic cancer context were accessed via the project score I portal (</w:t>
      </w:r>
      <w:hyperlink r:id="rId17" w:history="1">
        <w:r w:rsidRPr="0047217C">
          <w:rPr>
            <w:rStyle w:val="Hyperlink"/>
            <w:rFonts w:ascii="Arial" w:eastAsiaTheme="majorEastAsia" w:hAnsi="Arial" w:cs="Arial"/>
            <w:color w:val="000000" w:themeColor="text1"/>
            <w:sz w:val="22"/>
            <w:szCs w:val="22"/>
          </w:rPr>
          <w:t>https://score.depmap.sanger.ac.uk/</w:t>
        </w:r>
      </w:hyperlink>
      <w:r w:rsidRPr="0047217C">
        <w:rPr>
          <w:rFonts w:ascii="Arial" w:hAnsi="Arial" w:cs="Arial"/>
          <w:color w:val="000000" w:themeColor="text1"/>
          <w:sz w:val="22"/>
          <w:szCs w:val="22"/>
        </w:rPr>
        <w:t xml:space="preserve">) </w:t>
      </w:r>
      <w:sdt>
        <w:sdtPr>
          <w:rPr>
            <w:rFonts w:ascii="Arial" w:hAnsi="Arial" w:cs="Arial"/>
            <w:color w:val="000000" w:themeColor="text1"/>
            <w:sz w:val="22"/>
            <w:szCs w:val="22"/>
          </w:rPr>
          <w:alias w:val="SmartCite Citation"/>
          <w:tag w:val="fb8ada55-c96e-41dd-87ea-0b994a30978d:e7872436-f273-4528-8842-5d6ebc83be34+"/>
          <w:id w:val="1506246377"/>
          <w:placeholder>
            <w:docPart w:val="AB7FE1CBE7915F4EAAA6074315F7814A"/>
          </w:placeholder>
        </w:sdtPr>
        <w:sdtContent>
          <w:r w:rsidR="00F329CF" w:rsidRPr="0047217C">
            <w:rPr>
              <w:rFonts w:ascii="Arial" w:hAnsi="Arial" w:cs="Arial"/>
              <w:sz w:val="22"/>
              <w:szCs w:val="22"/>
            </w:rPr>
            <w:t>[27]</w:t>
          </w:r>
        </w:sdtContent>
      </w:sdt>
      <w:r w:rsidRPr="0047217C">
        <w:rPr>
          <w:rFonts w:ascii="Arial" w:hAnsi="Arial" w:cs="Arial"/>
          <w:color w:val="000000" w:themeColor="text1"/>
          <w:sz w:val="22"/>
          <w:szCs w:val="22"/>
        </w:rPr>
        <w:t xml:space="preserve">. The portal has retired but source data can be accessed via </w:t>
      </w:r>
      <w:hyperlink r:id="rId18" w:history="1">
        <w:r w:rsidRPr="0047217C">
          <w:rPr>
            <w:rStyle w:val="Hyperlink"/>
            <w:rFonts w:ascii="Arial" w:hAnsi="Arial" w:cs="Arial"/>
            <w:color w:val="000000" w:themeColor="text1"/>
            <w:sz w:val="22"/>
            <w:szCs w:val="22"/>
          </w:rPr>
          <w:t>https://cellmodelpassports.sanger.ac.uk/</w:t>
        </w:r>
      </w:hyperlink>
      <w:r w:rsidRPr="0047217C">
        <w:rPr>
          <w:rFonts w:ascii="Arial" w:hAnsi="Arial" w:cs="Arial"/>
          <w:color w:val="000000" w:themeColor="text1"/>
          <w:sz w:val="22"/>
          <w:szCs w:val="22"/>
        </w:rPr>
        <w:t xml:space="preserve"> and scores are placed into Table S1. </w:t>
      </w:r>
      <w:r w:rsidRPr="0047217C">
        <w:rPr>
          <w:rFonts w:ascii="Arial" w:hAnsi="Arial" w:cs="Arial"/>
          <w:color w:val="000000" w:themeColor="text1"/>
          <w:sz w:val="22"/>
          <w:szCs w:val="22"/>
        </w:rPr>
        <w:lastRenderedPageBreak/>
        <w:t xml:space="preserve">Priority score II data were accessed from </w:t>
      </w:r>
      <w:sdt>
        <w:sdtPr>
          <w:rPr>
            <w:rFonts w:ascii="Arial" w:hAnsi="Arial" w:cs="Arial"/>
            <w:color w:val="000000" w:themeColor="text1"/>
            <w:sz w:val="22"/>
            <w:szCs w:val="22"/>
          </w:rPr>
          <w:alias w:val="SmartCite Citation"/>
          <w:tag w:val="fb8ada55-c96e-41dd-87ea-0b994a30978d:e9a10da0-8a55-4ef9-a46c-35822a0afa77+"/>
          <w:id w:val="1080259392"/>
          <w:placeholder>
            <w:docPart w:val="AB7FE1CBE7915F4EAAA6074315F7814A"/>
          </w:placeholder>
        </w:sdtPr>
        <w:sdtContent>
          <w:r w:rsidR="00F329CF" w:rsidRPr="0047217C">
            <w:rPr>
              <w:rFonts w:ascii="Arial" w:hAnsi="Arial" w:cs="Arial"/>
              <w:sz w:val="22"/>
              <w:szCs w:val="22"/>
            </w:rPr>
            <w:t>[28]</w:t>
          </w:r>
        </w:sdtContent>
      </w:sdt>
      <w:r w:rsidRPr="0047217C">
        <w:rPr>
          <w:rFonts w:ascii="Arial" w:hAnsi="Arial" w:cs="Arial"/>
          <w:color w:val="000000" w:themeColor="text1"/>
          <w:sz w:val="22"/>
          <w:szCs w:val="22"/>
        </w:rPr>
        <w:t xml:space="preserve">. For priority scores threshold of 40 was applied. CRISPR/Cas drop-out gene effects for PP2A in pancreatic cancer cell lines were accessed via the </w:t>
      </w:r>
      <w:proofErr w:type="spellStart"/>
      <w:r w:rsidRPr="0047217C">
        <w:rPr>
          <w:rFonts w:ascii="Arial" w:hAnsi="Arial" w:cs="Arial"/>
          <w:color w:val="000000" w:themeColor="text1"/>
          <w:sz w:val="22"/>
          <w:szCs w:val="22"/>
        </w:rPr>
        <w:t>DepMap</w:t>
      </w:r>
      <w:proofErr w:type="spellEnd"/>
      <w:r w:rsidRPr="0047217C">
        <w:rPr>
          <w:rFonts w:ascii="Arial" w:hAnsi="Arial" w:cs="Arial"/>
          <w:color w:val="000000" w:themeColor="text1"/>
          <w:sz w:val="22"/>
          <w:szCs w:val="22"/>
        </w:rPr>
        <w:t xml:space="preserve"> portal (</w:t>
      </w:r>
      <w:hyperlink r:id="rId19" w:history="1">
        <w:r w:rsidRPr="0047217C">
          <w:rPr>
            <w:rStyle w:val="Hyperlink"/>
            <w:rFonts w:ascii="Arial" w:eastAsiaTheme="majorEastAsia" w:hAnsi="Arial" w:cs="Arial"/>
            <w:color w:val="000000" w:themeColor="text1"/>
            <w:sz w:val="22"/>
            <w:szCs w:val="22"/>
          </w:rPr>
          <w:t>https://depmap.org</w:t>
        </w:r>
      </w:hyperlink>
      <w:r w:rsidRPr="0047217C">
        <w:rPr>
          <w:rFonts w:ascii="Arial" w:hAnsi="Arial" w:cs="Arial"/>
          <w:color w:val="000000" w:themeColor="text1"/>
          <w:sz w:val="22"/>
          <w:szCs w:val="22"/>
        </w:rPr>
        <w:t xml:space="preserve">) </w:t>
      </w:r>
      <w:sdt>
        <w:sdtPr>
          <w:rPr>
            <w:rFonts w:ascii="Arial" w:hAnsi="Arial" w:cs="Arial"/>
            <w:color w:val="000000" w:themeColor="text1"/>
            <w:sz w:val="22"/>
            <w:szCs w:val="22"/>
          </w:rPr>
          <w:alias w:val="SmartCite Citation"/>
          <w:tag w:val="fb8ada55-c96e-41dd-87ea-0b994a30978d:662fe04b-7d5b-488c-a8b4-02d0c3866ce4+"/>
          <w:id w:val="1812989753"/>
          <w:placeholder>
            <w:docPart w:val="90CA6DADBB3CB942B16D90E2960EAA6A"/>
          </w:placeholder>
        </w:sdtPr>
        <w:sdtContent>
          <w:r w:rsidR="00F329CF" w:rsidRPr="0047217C">
            <w:rPr>
              <w:rFonts w:ascii="Arial" w:hAnsi="Arial" w:cs="Arial"/>
              <w:sz w:val="22"/>
              <w:szCs w:val="22"/>
            </w:rPr>
            <w:t>[29]</w:t>
          </w:r>
        </w:sdtContent>
      </w:sdt>
      <w:r w:rsidRPr="0047217C">
        <w:rPr>
          <w:rFonts w:ascii="Arial" w:hAnsi="Arial" w:cs="Arial"/>
          <w:color w:val="000000" w:themeColor="text1"/>
          <w:sz w:val="22"/>
          <w:szCs w:val="22"/>
        </w:rPr>
        <w:t>. mRNA expression dataset of 38 murine KRAS</w:t>
      </w:r>
      <w:r w:rsidRPr="0047217C">
        <w:rPr>
          <w:rFonts w:ascii="Arial" w:hAnsi="Arial" w:cs="Arial"/>
          <w:color w:val="000000" w:themeColor="text1"/>
          <w:sz w:val="22"/>
          <w:szCs w:val="22"/>
          <w:vertAlign w:val="superscript"/>
        </w:rPr>
        <w:t>G12D</w:t>
      </w:r>
      <w:r w:rsidRPr="0047217C">
        <w:rPr>
          <w:rFonts w:ascii="Arial" w:hAnsi="Arial" w:cs="Arial"/>
          <w:color w:val="000000" w:themeColor="text1"/>
          <w:sz w:val="22"/>
          <w:szCs w:val="22"/>
        </w:rPr>
        <w:t xml:space="preserve">-driven PDAC cell lines were described </w:t>
      </w:r>
      <w:sdt>
        <w:sdtPr>
          <w:rPr>
            <w:rFonts w:ascii="Arial" w:hAnsi="Arial" w:cs="Arial"/>
            <w:color w:val="000000" w:themeColor="text1"/>
            <w:sz w:val="22"/>
            <w:szCs w:val="22"/>
          </w:rPr>
          <w:alias w:val="SmartCite Citation"/>
          <w:tag w:val="fb8ada55-c96e-41dd-87ea-0b994a30978d:9597e10e-1f24-4bad-b93c-e39274f8b1e2+"/>
          <w:id w:val="1507403161"/>
          <w:placeholder>
            <w:docPart w:val="90CA6DADBB3CB942B16D90E2960EAA6A"/>
          </w:placeholder>
        </w:sdtPr>
        <w:sdtContent>
          <w:r w:rsidR="00F329CF" w:rsidRPr="0047217C">
            <w:rPr>
              <w:rFonts w:ascii="Arial" w:hAnsi="Arial" w:cs="Arial"/>
              <w:sz w:val="22"/>
              <w:szCs w:val="22"/>
            </w:rPr>
            <w:t>[4]</w:t>
          </w:r>
        </w:sdtContent>
      </w:sdt>
      <w:r w:rsidRPr="0047217C">
        <w:rPr>
          <w:rFonts w:ascii="Arial" w:hAnsi="Arial" w:cs="Arial"/>
          <w:color w:val="000000" w:themeColor="text1"/>
          <w:sz w:val="22"/>
          <w:szCs w:val="22"/>
        </w:rPr>
        <w:t xml:space="preserve">. The murine expression dataset can be accessed via EBI European Nucleotide Archive: accession number PRJEB23787. The mRNA expression was quantified as log2 transcripts per million following </w:t>
      </w:r>
      <w:proofErr w:type="gramStart"/>
      <w:r w:rsidRPr="0047217C">
        <w:rPr>
          <w:rFonts w:ascii="Arial" w:hAnsi="Arial" w:cs="Arial"/>
          <w:color w:val="000000" w:themeColor="text1"/>
          <w:sz w:val="22"/>
          <w:szCs w:val="22"/>
        </w:rPr>
        <w:t>correlation</w:t>
      </w:r>
      <w:proofErr w:type="gramEnd"/>
      <w:r w:rsidRPr="0047217C">
        <w:rPr>
          <w:rFonts w:ascii="Arial" w:hAnsi="Arial" w:cs="Arial"/>
          <w:color w:val="000000" w:themeColor="text1"/>
          <w:sz w:val="22"/>
          <w:szCs w:val="22"/>
        </w:rPr>
        <w:t xml:space="preserve"> with the LB100 GI</w:t>
      </w:r>
      <w:r w:rsidRPr="0047217C">
        <w:rPr>
          <w:rFonts w:ascii="Arial" w:hAnsi="Arial" w:cs="Arial"/>
          <w:color w:val="000000" w:themeColor="text1"/>
          <w:sz w:val="22"/>
          <w:szCs w:val="22"/>
          <w:vertAlign w:val="subscript"/>
        </w:rPr>
        <w:t>50</w:t>
      </w:r>
      <w:r w:rsidRPr="0047217C">
        <w:rPr>
          <w:rStyle w:val="apple-converted-space"/>
          <w:rFonts w:ascii="Arial" w:eastAsiaTheme="majorEastAsia" w:hAnsi="Arial" w:cs="Arial"/>
          <w:color w:val="000000" w:themeColor="text1"/>
          <w:sz w:val="22"/>
          <w:szCs w:val="22"/>
        </w:rPr>
        <w:t> </w:t>
      </w:r>
      <w:r w:rsidRPr="0047217C">
        <w:rPr>
          <w:rFonts w:ascii="Arial" w:hAnsi="Arial" w:cs="Arial"/>
          <w:color w:val="000000" w:themeColor="text1"/>
          <w:sz w:val="22"/>
          <w:szCs w:val="22"/>
        </w:rPr>
        <w:t xml:space="preserve">values using Pearson methods as recently described </w:t>
      </w:r>
      <w:sdt>
        <w:sdtPr>
          <w:rPr>
            <w:rFonts w:ascii="Arial" w:hAnsi="Arial" w:cs="Arial"/>
            <w:color w:val="000000" w:themeColor="text1"/>
            <w:sz w:val="22"/>
            <w:szCs w:val="22"/>
          </w:rPr>
          <w:alias w:val="SmartCite Citation"/>
          <w:tag w:val="fb8ada55-c96e-41dd-87ea-0b994a30978d:b48c6e01-2558-4dbb-bbff-dc1c990083d6+"/>
          <w:id w:val="-1302525388"/>
          <w:placeholder>
            <w:docPart w:val="90CA6DADBB3CB942B16D90E2960EAA6A"/>
          </w:placeholder>
        </w:sdtPr>
        <w:sdtContent>
          <w:r w:rsidR="00F329CF" w:rsidRPr="0047217C">
            <w:rPr>
              <w:rFonts w:ascii="Arial" w:hAnsi="Arial" w:cs="Arial"/>
              <w:sz w:val="22"/>
              <w:szCs w:val="22"/>
            </w:rPr>
            <w:t>[30]</w:t>
          </w:r>
        </w:sdtContent>
      </w:sdt>
      <w:r w:rsidRPr="0047217C">
        <w:rPr>
          <w:rFonts w:ascii="Arial" w:hAnsi="Arial" w:cs="Arial"/>
          <w:color w:val="000000" w:themeColor="text1"/>
          <w:sz w:val="22"/>
          <w:szCs w:val="22"/>
        </w:rPr>
        <w:t xml:space="preserve">. The Pearson correlation coefficient was used as a rank to provide a pre-ranked GSEA using the GSEA (GSEA app 4.2.3) using default settings and the signatures of the </w:t>
      </w:r>
      <w:proofErr w:type="spellStart"/>
      <w:r w:rsidRPr="0047217C">
        <w:rPr>
          <w:rFonts w:ascii="Arial" w:hAnsi="Arial" w:cs="Arial"/>
          <w:color w:val="000000" w:themeColor="text1"/>
          <w:sz w:val="22"/>
          <w:szCs w:val="22"/>
          <w:shd w:val="clear" w:color="auto" w:fill="FFFFFF"/>
        </w:rPr>
        <w:t>MolSigDB</w:t>
      </w:r>
      <w:proofErr w:type="spellEnd"/>
      <w:sdt>
        <w:sdtPr>
          <w:rPr>
            <w:rFonts w:ascii="Arial" w:hAnsi="Arial" w:cs="Arial"/>
            <w:color w:val="000000" w:themeColor="text1"/>
            <w:sz w:val="22"/>
            <w:szCs w:val="22"/>
            <w:shd w:val="clear" w:color="auto" w:fill="FFFFFF"/>
          </w:rPr>
          <w:alias w:val="SmartCite Citation"/>
          <w:tag w:val="fb8ada55-c96e-41dd-87ea-0b994a30978d:934214e0-6ae8-4bf5-b2d9-0422084b8a43+"/>
          <w:id w:val="-1084454045"/>
          <w:placeholder>
            <w:docPart w:val="90CA6DADBB3CB942B16D90E2960EAA6A"/>
          </w:placeholder>
        </w:sdtPr>
        <w:sdtContent>
          <w:r w:rsidR="00F329CF" w:rsidRPr="0047217C">
            <w:rPr>
              <w:rFonts w:ascii="Arial" w:hAnsi="Arial" w:cs="Arial"/>
              <w:sz w:val="22"/>
              <w:szCs w:val="22"/>
            </w:rPr>
            <w:t>[31]</w:t>
          </w:r>
        </w:sdtContent>
      </w:sdt>
      <w:r w:rsidRPr="0047217C">
        <w:rPr>
          <w:rFonts w:ascii="Arial" w:hAnsi="Arial" w:cs="Arial"/>
          <w:color w:val="000000" w:themeColor="text1"/>
          <w:sz w:val="22"/>
          <w:szCs w:val="22"/>
          <w:shd w:val="clear" w:color="auto" w:fill="FFFFFF"/>
        </w:rPr>
        <w:t xml:space="preserve">. RNA sequencing of PDO was described </w:t>
      </w:r>
      <w:sdt>
        <w:sdtPr>
          <w:rPr>
            <w:rFonts w:ascii="Arial" w:hAnsi="Arial" w:cs="Arial"/>
            <w:color w:val="000000" w:themeColor="text1"/>
            <w:sz w:val="22"/>
            <w:szCs w:val="22"/>
            <w:shd w:val="clear" w:color="auto" w:fill="FFFFFF"/>
          </w:rPr>
          <w:alias w:val="SmartCite Citation"/>
          <w:tag w:val="fb8ada55-c96e-41dd-87ea-0b994a30978d:fea26ce5-0bca-4602-9bba-c734be160a9b+"/>
          <w:id w:val="-1344477998"/>
          <w:placeholder>
            <w:docPart w:val="90CA6DADBB3CB942B16D90E2960EAA6A"/>
          </w:placeholder>
        </w:sdtPr>
        <w:sdtContent>
          <w:r w:rsidR="00F329CF" w:rsidRPr="0047217C">
            <w:rPr>
              <w:rFonts w:ascii="Arial" w:hAnsi="Arial" w:cs="Arial"/>
              <w:sz w:val="22"/>
              <w:szCs w:val="22"/>
            </w:rPr>
            <w:t>[32]</w:t>
          </w:r>
        </w:sdtContent>
      </w:sdt>
      <w:r w:rsidRPr="0047217C">
        <w:rPr>
          <w:rFonts w:ascii="Arial" w:hAnsi="Arial" w:cs="Arial"/>
          <w:color w:val="000000" w:themeColor="text1"/>
          <w:sz w:val="22"/>
          <w:szCs w:val="22"/>
          <w:shd w:val="clear" w:color="auto" w:fill="FFFFFF"/>
        </w:rPr>
        <w:t xml:space="preserve"> and </w:t>
      </w:r>
      <w:proofErr w:type="spellStart"/>
      <w:r w:rsidRPr="0047217C">
        <w:rPr>
          <w:rFonts w:ascii="Arial" w:hAnsi="Arial" w:cs="Arial"/>
          <w:color w:val="000000" w:themeColor="text1"/>
          <w:sz w:val="22"/>
          <w:szCs w:val="22"/>
          <w:shd w:val="clear" w:color="auto" w:fill="FFFFFF"/>
        </w:rPr>
        <w:t>ssGSEA</w:t>
      </w:r>
      <w:proofErr w:type="spellEnd"/>
      <w:r w:rsidRPr="0047217C">
        <w:rPr>
          <w:rFonts w:ascii="Arial" w:hAnsi="Arial" w:cs="Arial"/>
          <w:color w:val="000000" w:themeColor="text1"/>
          <w:sz w:val="22"/>
          <w:szCs w:val="22"/>
          <w:shd w:val="clear" w:color="auto" w:fill="FFFFFF"/>
        </w:rPr>
        <w:t xml:space="preserve"> was performed using Gene Pattern </w:t>
      </w:r>
      <w:sdt>
        <w:sdtPr>
          <w:rPr>
            <w:rFonts w:ascii="Arial" w:hAnsi="Arial" w:cs="Arial"/>
            <w:color w:val="000000" w:themeColor="text1"/>
            <w:sz w:val="22"/>
            <w:szCs w:val="22"/>
            <w:shd w:val="clear" w:color="auto" w:fill="FFFFFF"/>
          </w:rPr>
          <w:alias w:val="SmartCite Citation"/>
          <w:tag w:val="fb8ada55-c96e-41dd-87ea-0b994a30978d:209d369a-287c-4469-bfa7-26b329326391+"/>
          <w:id w:val="-1003580996"/>
          <w:placeholder>
            <w:docPart w:val="90CA6DADBB3CB942B16D90E2960EAA6A"/>
          </w:placeholder>
        </w:sdtPr>
        <w:sdtContent>
          <w:r w:rsidR="00F329CF" w:rsidRPr="0047217C">
            <w:rPr>
              <w:rFonts w:ascii="Arial" w:hAnsi="Arial" w:cs="Arial"/>
              <w:sz w:val="22"/>
              <w:szCs w:val="22"/>
            </w:rPr>
            <w:t>[33]</w:t>
          </w:r>
        </w:sdtContent>
      </w:sdt>
      <w:r w:rsidRPr="0047217C">
        <w:rPr>
          <w:rFonts w:ascii="Arial" w:hAnsi="Arial" w:cs="Arial"/>
          <w:color w:val="000000" w:themeColor="text1"/>
          <w:sz w:val="22"/>
          <w:szCs w:val="22"/>
          <w:shd w:val="clear" w:color="auto" w:fill="FFFFFF"/>
        </w:rPr>
        <w:t xml:space="preserve">. </w:t>
      </w:r>
    </w:p>
    <w:p w14:paraId="1E44CA42" w14:textId="0FD49B6C" w:rsidR="00F4074C" w:rsidRPr="0047217C" w:rsidRDefault="00F4074C" w:rsidP="00F4074C">
      <w:pPr>
        <w:spacing w:line="480" w:lineRule="auto"/>
        <w:jc w:val="both"/>
        <w:rPr>
          <w:rFonts w:ascii="Arial" w:hAnsi="Arial" w:cs="Arial"/>
          <w:color w:val="000000" w:themeColor="text1"/>
          <w:sz w:val="22"/>
          <w:szCs w:val="22"/>
        </w:rPr>
      </w:pPr>
      <w:r w:rsidRPr="0047217C">
        <w:rPr>
          <w:rFonts w:ascii="Arial" w:hAnsi="Arial" w:cs="Arial"/>
          <w:color w:val="000000" w:themeColor="text1"/>
          <w:sz w:val="22"/>
          <w:szCs w:val="22"/>
        </w:rPr>
        <w:t xml:space="preserve">The Integrator-dependent EGF-induced IEGs were retrieved from </w:t>
      </w:r>
      <w:sdt>
        <w:sdtPr>
          <w:rPr>
            <w:rFonts w:ascii="Arial" w:hAnsi="Arial" w:cs="Arial"/>
            <w:color w:val="000000" w:themeColor="text1"/>
            <w:sz w:val="22"/>
            <w:szCs w:val="22"/>
          </w:rPr>
          <w:alias w:val="SmartCite Citation"/>
          <w:tag w:val="fb8ada55-c96e-41dd-87ea-0b994a30978d:f74e8fff-25d8-4efb-9ae2-8a1bf65c7c8a+"/>
          <w:id w:val="742143660"/>
          <w:placeholder>
            <w:docPart w:val="90CA6DADBB3CB942B16D90E2960EAA6A"/>
          </w:placeholder>
        </w:sdtPr>
        <w:sdtContent>
          <w:r w:rsidR="00F329CF" w:rsidRPr="0047217C">
            <w:rPr>
              <w:rFonts w:ascii="Arial" w:hAnsi="Arial" w:cs="Arial"/>
              <w:sz w:val="22"/>
              <w:szCs w:val="22"/>
            </w:rPr>
            <w:t>[34]</w:t>
          </w:r>
        </w:sdtContent>
      </w:sdt>
      <w:r w:rsidRPr="0047217C">
        <w:rPr>
          <w:rFonts w:ascii="Arial" w:hAnsi="Arial" w:cs="Arial"/>
          <w:color w:val="000000" w:themeColor="text1"/>
          <w:sz w:val="22"/>
          <w:szCs w:val="22"/>
        </w:rPr>
        <w:t xml:space="preserve"> and used as a gene signature. The correlation of murine </w:t>
      </w:r>
      <w:r w:rsidRPr="0047217C">
        <w:rPr>
          <w:rFonts w:ascii="Arial" w:hAnsi="Arial" w:cs="Arial"/>
          <w:i/>
          <w:iCs/>
          <w:color w:val="000000" w:themeColor="text1"/>
          <w:sz w:val="22"/>
          <w:szCs w:val="22"/>
        </w:rPr>
        <w:t>P</w:t>
      </w:r>
      <w:r w:rsidR="00AD2A62" w:rsidRPr="0047217C">
        <w:rPr>
          <w:rFonts w:ascii="Arial" w:hAnsi="Arial" w:cs="Arial"/>
          <w:i/>
          <w:iCs/>
          <w:color w:val="000000" w:themeColor="text1"/>
          <w:sz w:val="22"/>
          <w:szCs w:val="22"/>
        </w:rPr>
        <w:t>pp</w:t>
      </w:r>
      <w:r w:rsidRPr="0047217C">
        <w:rPr>
          <w:rFonts w:ascii="Arial" w:hAnsi="Arial" w:cs="Arial"/>
          <w:i/>
          <w:iCs/>
          <w:color w:val="000000" w:themeColor="text1"/>
          <w:sz w:val="22"/>
          <w:szCs w:val="22"/>
        </w:rPr>
        <w:t>2</w:t>
      </w:r>
      <w:r w:rsidR="00AD2A62" w:rsidRPr="0047217C">
        <w:rPr>
          <w:rFonts w:ascii="Arial" w:hAnsi="Arial" w:cs="Arial"/>
          <w:i/>
          <w:iCs/>
          <w:color w:val="000000" w:themeColor="text1"/>
          <w:sz w:val="22"/>
          <w:szCs w:val="22"/>
        </w:rPr>
        <w:t>ca</w:t>
      </w:r>
      <w:r w:rsidRPr="0047217C">
        <w:rPr>
          <w:rFonts w:ascii="Arial" w:hAnsi="Arial" w:cs="Arial"/>
          <w:color w:val="000000" w:themeColor="text1"/>
          <w:sz w:val="22"/>
          <w:szCs w:val="22"/>
        </w:rPr>
        <w:t xml:space="preserve"> mRNA with </w:t>
      </w:r>
      <w:r w:rsidRPr="0047217C">
        <w:rPr>
          <w:rFonts w:ascii="Arial" w:hAnsi="Arial" w:cs="Arial"/>
          <w:i/>
          <w:iCs/>
          <w:color w:val="000000" w:themeColor="text1"/>
          <w:sz w:val="22"/>
          <w:szCs w:val="22"/>
        </w:rPr>
        <w:t>C</w:t>
      </w:r>
      <w:r w:rsidR="00AD2A62" w:rsidRPr="0047217C">
        <w:rPr>
          <w:rFonts w:ascii="Arial" w:hAnsi="Arial" w:cs="Arial"/>
          <w:i/>
          <w:iCs/>
          <w:color w:val="000000" w:themeColor="text1"/>
          <w:sz w:val="22"/>
          <w:szCs w:val="22"/>
        </w:rPr>
        <w:t>dk</w:t>
      </w:r>
      <w:r w:rsidRPr="0047217C">
        <w:rPr>
          <w:rFonts w:ascii="Arial" w:hAnsi="Arial" w:cs="Arial"/>
          <w:i/>
          <w:iCs/>
          <w:color w:val="000000" w:themeColor="text1"/>
          <w:sz w:val="22"/>
          <w:szCs w:val="22"/>
        </w:rPr>
        <w:t>9</w:t>
      </w:r>
      <w:r w:rsidRPr="0047217C">
        <w:rPr>
          <w:rFonts w:ascii="Arial" w:hAnsi="Arial" w:cs="Arial"/>
          <w:color w:val="000000" w:themeColor="text1"/>
          <w:sz w:val="22"/>
          <w:szCs w:val="22"/>
        </w:rPr>
        <w:t xml:space="preserve"> mRNA was done in R-studio (2022.07.2) using the Pearson method and normalized mRNA data from </w:t>
      </w:r>
      <w:sdt>
        <w:sdtPr>
          <w:rPr>
            <w:rFonts w:ascii="Arial" w:hAnsi="Arial" w:cs="Arial"/>
            <w:color w:val="000000" w:themeColor="text1"/>
            <w:sz w:val="22"/>
            <w:szCs w:val="22"/>
          </w:rPr>
          <w:alias w:val="SmartCite Citation"/>
          <w:tag w:val="fb8ada55-c96e-41dd-87ea-0b994a30978d:9597e10e-1f24-4bad-b93c-e39274f8b1e2+"/>
          <w:id w:val="-1139333133"/>
          <w:placeholder>
            <w:docPart w:val="90CA6DADBB3CB942B16D90E2960EAA6A"/>
          </w:placeholder>
        </w:sdtPr>
        <w:sdtContent>
          <w:r w:rsidR="00F329CF" w:rsidRPr="0047217C">
            <w:rPr>
              <w:rFonts w:ascii="Arial" w:hAnsi="Arial" w:cs="Arial"/>
              <w:sz w:val="22"/>
              <w:szCs w:val="22"/>
            </w:rPr>
            <w:t>[4]</w:t>
          </w:r>
        </w:sdtContent>
      </w:sdt>
      <w:r w:rsidRPr="0047217C">
        <w:rPr>
          <w:rFonts w:ascii="Arial" w:hAnsi="Arial" w:cs="Arial"/>
          <w:color w:val="000000" w:themeColor="text1"/>
          <w:sz w:val="22"/>
          <w:szCs w:val="22"/>
        </w:rPr>
        <w:t xml:space="preserve">. The </w:t>
      </w:r>
      <w:proofErr w:type="spellStart"/>
      <w:r w:rsidRPr="0047217C">
        <w:rPr>
          <w:rFonts w:ascii="Arial" w:hAnsi="Arial" w:cs="Arial"/>
          <w:color w:val="000000" w:themeColor="text1"/>
          <w:sz w:val="22"/>
          <w:szCs w:val="22"/>
        </w:rPr>
        <w:t>ssGSEA</w:t>
      </w:r>
      <w:proofErr w:type="spellEnd"/>
      <w:r w:rsidRPr="0047217C">
        <w:rPr>
          <w:rFonts w:ascii="Arial" w:hAnsi="Arial" w:cs="Arial"/>
          <w:color w:val="000000" w:themeColor="text1"/>
          <w:sz w:val="22"/>
          <w:szCs w:val="22"/>
        </w:rPr>
        <w:t xml:space="preserve"> scores (normalization option: tumor and normal separately) of the PDAC CPTAC dataset </w:t>
      </w:r>
      <w:sdt>
        <w:sdtPr>
          <w:rPr>
            <w:rFonts w:ascii="Arial" w:hAnsi="Arial" w:cs="Arial"/>
            <w:color w:val="000000" w:themeColor="text1"/>
            <w:sz w:val="22"/>
            <w:szCs w:val="22"/>
          </w:rPr>
          <w:alias w:val="SmartCite Citation"/>
          <w:tag w:val="fb8ada55-c96e-41dd-87ea-0b994a30978d:f14cfa4f-6339-407c-a079-4b3f91d6ebf7,fb8ada55-c96e-41dd-87ea-0b994a30978d:47efd4ef-7632-4e65-af80-7ea8c576cf5a+"/>
          <w:id w:val="1567525666"/>
          <w:placeholder>
            <w:docPart w:val="C9E73DC3BFCB9C4B9EE3A75BBF9F5F9C"/>
          </w:placeholder>
        </w:sdtPr>
        <w:sdtContent>
          <w:r w:rsidR="00F329CF" w:rsidRPr="0047217C">
            <w:rPr>
              <w:rFonts w:ascii="Arial" w:hAnsi="Arial" w:cs="Arial"/>
              <w:sz w:val="22"/>
              <w:szCs w:val="22"/>
            </w:rPr>
            <w:t>[35,36]</w:t>
          </w:r>
        </w:sdtContent>
      </w:sdt>
      <w:r w:rsidRPr="0047217C">
        <w:rPr>
          <w:rFonts w:ascii="Arial" w:hAnsi="Arial" w:cs="Arial"/>
          <w:color w:val="000000" w:themeColor="text1"/>
          <w:sz w:val="22"/>
          <w:szCs w:val="22"/>
        </w:rPr>
        <w:t xml:space="preserve"> were directly accessed via the </w:t>
      </w:r>
      <w:proofErr w:type="spellStart"/>
      <w:r w:rsidRPr="0047217C">
        <w:rPr>
          <w:rFonts w:ascii="Arial" w:hAnsi="Arial" w:cs="Arial"/>
          <w:color w:val="000000" w:themeColor="text1"/>
          <w:sz w:val="22"/>
          <w:szCs w:val="22"/>
        </w:rPr>
        <w:t>ProTrackPath</w:t>
      </w:r>
      <w:proofErr w:type="spellEnd"/>
      <w:r w:rsidRPr="0047217C">
        <w:rPr>
          <w:rFonts w:ascii="Arial" w:hAnsi="Arial" w:cs="Arial"/>
          <w:color w:val="000000" w:themeColor="text1"/>
          <w:sz w:val="22"/>
          <w:szCs w:val="22"/>
        </w:rPr>
        <w:t>: Pan-Cancer website (</w:t>
      </w:r>
      <w:hyperlink r:id="rId20" w:history="1">
        <w:r w:rsidRPr="0047217C">
          <w:rPr>
            <w:rStyle w:val="Hyperlink"/>
            <w:rFonts w:ascii="Arial" w:eastAsiaTheme="majorEastAsia" w:hAnsi="Arial" w:cs="Arial"/>
            <w:color w:val="000000" w:themeColor="text1"/>
            <w:sz w:val="22"/>
            <w:szCs w:val="22"/>
          </w:rPr>
          <w:t>http://pancan.cptac-data-view.org/</w:t>
        </w:r>
      </w:hyperlink>
      <w:r w:rsidRPr="0047217C">
        <w:rPr>
          <w:rFonts w:ascii="Arial" w:hAnsi="Arial" w:cs="Arial"/>
          <w:color w:val="000000" w:themeColor="text1"/>
          <w:sz w:val="22"/>
          <w:szCs w:val="22"/>
        </w:rPr>
        <w:t xml:space="preserve">). Corresponding, RNA-seq data and clinical data were accessed and downloaded via the </w:t>
      </w:r>
      <w:proofErr w:type="spellStart"/>
      <w:r w:rsidRPr="0047217C">
        <w:rPr>
          <w:rFonts w:ascii="Arial" w:hAnsi="Arial" w:cs="Arial"/>
          <w:color w:val="000000" w:themeColor="text1"/>
          <w:sz w:val="22"/>
          <w:szCs w:val="22"/>
        </w:rPr>
        <w:t>cBioPortal</w:t>
      </w:r>
      <w:proofErr w:type="spellEnd"/>
      <w:r w:rsidRPr="0047217C">
        <w:rPr>
          <w:rFonts w:ascii="Arial" w:hAnsi="Arial" w:cs="Arial"/>
          <w:color w:val="000000" w:themeColor="text1"/>
          <w:sz w:val="22"/>
          <w:szCs w:val="22"/>
        </w:rPr>
        <w:t xml:space="preserve"> </w:t>
      </w:r>
      <w:sdt>
        <w:sdtPr>
          <w:rPr>
            <w:rFonts w:ascii="Arial" w:hAnsi="Arial" w:cs="Arial"/>
            <w:color w:val="000000" w:themeColor="text1"/>
            <w:sz w:val="22"/>
            <w:szCs w:val="22"/>
          </w:rPr>
          <w:alias w:val="SmartCite Citation"/>
          <w:tag w:val="fb8ada55-c96e-41dd-87ea-0b994a30978d:51810e6a-a732-4833-a4ec-f17069261eb3,fb8ada55-c96e-41dd-87ea-0b994a30978d:232bb8e3-4568-4f79-81e0-e4e5fb482970+"/>
          <w:id w:val="-297376964"/>
          <w:placeholder>
            <w:docPart w:val="C9E73DC3BFCB9C4B9EE3A75BBF9F5F9C"/>
          </w:placeholder>
        </w:sdtPr>
        <w:sdtContent>
          <w:r w:rsidR="00F329CF" w:rsidRPr="0047217C">
            <w:rPr>
              <w:rFonts w:ascii="Arial" w:hAnsi="Arial" w:cs="Arial"/>
              <w:sz w:val="22"/>
              <w:szCs w:val="22"/>
            </w:rPr>
            <w:t>[37,38]</w:t>
          </w:r>
        </w:sdtContent>
      </w:sdt>
      <w:r w:rsidRPr="0047217C">
        <w:rPr>
          <w:rFonts w:ascii="Arial" w:hAnsi="Arial" w:cs="Arial"/>
          <w:color w:val="000000" w:themeColor="text1"/>
          <w:sz w:val="22"/>
          <w:szCs w:val="22"/>
        </w:rPr>
        <w:t xml:space="preserve">. The analysis of the proteome and phospho-proteome data of the PDAC </w:t>
      </w:r>
      <w:r w:rsidRPr="0047217C">
        <w:rPr>
          <w:rFonts w:ascii="Arial" w:hAnsi="Arial" w:cs="Arial"/>
          <w:color w:val="000000" w:themeColor="text1"/>
          <w:sz w:val="22"/>
          <w:szCs w:val="22"/>
          <w:shd w:val="clear" w:color="auto" w:fill="FFFFFF"/>
        </w:rPr>
        <w:t xml:space="preserve">CPTAC </w:t>
      </w:r>
      <w:sdt>
        <w:sdtPr>
          <w:rPr>
            <w:rFonts w:ascii="Arial" w:hAnsi="Arial" w:cs="Arial"/>
            <w:color w:val="000000" w:themeColor="text1"/>
            <w:sz w:val="22"/>
            <w:szCs w:val="22"/>
            <w:shd w:val="clear" w:color="auto" w:fill="FFFFFF"/>
          </w:rPr>
          <w:alias w:val="SmartCite Citation"/>
          <w:tag w:val="fb8ada55-c96e-41dd-87ea-0b994a30978d:f14cfa4f-6339-407c-a079-4b3f91d6ebf7+"/>
          <w:id w:val="-369840125"/>
          <w:placeholder>
            <w:docPart w:val="90CA6DADBB3CB942B16D90E2960EAA6A"/>
          </w:placeholder>
        </w:sdtPr>
        <w:sdtContent>
          <w:r w:rsidR="00F329CF" w:rsidRPr="0047217C">
            <w:rPr>
              <w:rFonts w:ascii="Arial" w:hAnsi="Arial" w:cs="Arial"/>
              <w:sz w:val="22"/>
              <w:szCs w:val="22"/>
            </w:rPr>
            <w:t>[35]</w:t>
          </w:r>
        </w:sdtContent>
      </w:sdt>
      <w:r w:rsidRPr="0047217C">
        <w:rPr>
          <w:rFonts w:ascii="Arial" w:hAnsi="Arial" w:cs="Arial"/>
          <w:color w:val="000000" w:themeColor="text1"/>
          <w:sz w:val="22"/>
          <w:szCs w:val="22"/>
          <w:shd w:val="clear" w:color="auto" w:fill="FFFFFF"/>
        </w:rPr>
        <w:t xml:space="preserve"> was performed via the </w:t>
      </w:r>
      <w:proofErr w:type="spellStart"/>
      <w:r w:rsidRPr="0047217C">
        <w:rPr>
          <w:rFonts w:ascii="Arial" w:hAnsi="Arial" w:cs="Arial"/>
          <w:color w:val="000000" w:themeColor="text1"/>
          <w:sz w:val="22"/>
          <w:szCs w:val="22"/>
          <w:shd w:val="clear" w:color="auto" w:fill="FFFFFF"/>
        </w:rPr>
        <w:t>LinkedOmics</w:t>
      </w:r>
      <w:proofErr w:type="spellEnd"/>
      <w:r w:rsidRPr="0047217C">
        <w:rPr>
          <w:rFonts w:ascii="Arial" w:hAnsi="Arial" w:cs="Arial"/>
          <w:color w:val="000000" w:themeColor="text1"/>
          <w:sz w:val="22"/>
          <w:szCs w:val="22"/>
          <w:shd w:val="clear" w:color="auto" w:fill="FFFFFF"/>
        </w:rPr>
        <w:t xml:space="preserve"> web portal (</w:t>
      </w:r>
      <w:hyperlink r:id="rId21" w:history="1">
        <w:r w:rsidRPr="0047217C">
          <w:rPr>
            <w:rStyle w:val="Hyperlink"/>
            <w:rFonts w:ascii="Arial" w:eastAsiaTheme="majorEastAsia" w:hAnsi="Arial" w:cs="Arial"/>
            <w:color w:val="000000" w:themeColor="text1"/>
            <w:sz w:val="22"/>
            <w:szCs w:val="22"/>
            <w:shd w:val="clear" w:color="auto" w:fill="FFFFFF"/>
          </w:rPr>
          <w:t>https://www.linkedomics.org/login.php</w:t>
        </w:r>
      </w:hyperlink>
      <w:r w:rsidRPr="0047217C">
        <w:rPr>
          <w:rFonts w:ascii="Arial" w:hAnsi="Arial" w:cs="Arial"/>
          <w:color w:val="000000" w:themeColor="text1"/>
          <w:sz w:val="22"/>
          <w:szCs w:val="22"/>
          <w:shd w:val="clear" w:color="auto" w:fill="FFFFFF"/>
        </w:rPr>
        <w:t xml:space="preserve">) </w:t>
      </w:r>
      <w:sdt>
        <w:sdtPr>
          <w:rPr>
            <w:rFonts w:ascii="Arial" w:hAnsi="Arial" w:cs="Arial"/>
            <w:color w:val="000000" w:themeColor="text1"/>
            <w:sz w:val="22"/>
            <w:szCs w:val="22"/>
            <w:shd w:val="clear" w:color="auto" w:fill="FFFFFF"/>
          </w:rPr>
          <w:alias w:val="SmartCite Citation"/>
          <w:tag w:val="fb8ada55-c96e-41dd-87ea-0b994a30978d:b4245dae-2869-4e62-bc32-b5e88d60e0f5+"/>
          <w:id w:val="-1056313832"/>
          <w:placeholder>
            <w:docPart w:val="90CA6DADBB3CB942B16D90E2960EAA6A"/>
          </w:placeholder>
        </w:sdtPr>
        <w:sdtContent>
          <w:r w:rsidR="00F329CF" w:rsidRPr="0047217C">
            <w:rPr>
              <w:rFonts w:ascii="Arial" w:hAnsi="Arial" w:cs="Arial"/>
              <w:sz w:val="22"/>
              <w:szCs w:val="22"/>
            </w:rPr>
            <w:t>[39]</w:t>
          </w:r>
        </w:sdtContent>
      </w:sdt>
      <w:r w:rsidRPr="0047217C">
        <w:rPr>
          <w:rFonts w:ascii="Arial" w:hAnsi="Arial" w:cs="Arial"/>
          <w:color w:val="000000" w:themeColor="text1"/>
          <w:sz w:val="22"/>
          <w:szCs w:val="22"/>
          <w:shd w:val="clear" w:color="auto" w:fill="FFFFFF"/>
        </w:rPr>
        <w:t xml:space="preserve">. The </w:t>
      </w:r>
      <w:proofErr w:type="spellStart"/>
      <w:r w:rsidRPr="0047217C">
        <w:rPr>
          <w:rFonts w:ascii="Arial" w:hAnsi="Arial" w:cs="Arial"/>
          <w:color w:val="000000" w:themeColor="text1"/>
          <w:sz w:val="22"/>
          <w:szCs w:val="22"/>
          <w:shd w:val="clear" w:color="auto" w:fill="FFFFFF"/>
        </w:rPr>
        <w:t>Prospective_CPTAC_PDAC</w:t>
      </w:r>
      <w:proofErr w:type="spellEnd"/>
      <w:r w:rsidRPr="0047217C">
        <w:rPr>
          <w:rFonts w:ascii="Arial" w:hAnsi="Arial" w:cs="Arial"/>
          <w:color w:val="000000" w:themeColor="text1"/>
          <w:sz w:val="22"/>
          <w:szCs w:val="22"/>
          <w:shd w:val="clear" w:color="auto" w:fill="FFFFFF"/>
        </w:rPr>
        <w:t xml:space="preserve"> (n = 140) was used and the proteome data (platform: TMT MD abundance Tumor) was queried with the phospho-proteome data (TMT MD abundance Tumor, analysis level gene, or analysis level site). Overrepresentation analysis was performed with the GO BP signatures (Rank selection FDR, Direction: negatively correlated, significance level 0.05). </w:t>
      </w:r>
      <w:r w:rsidRPr="0047217C">
        <w:rPr>
          <w:rFonts w:ascii="Arial" w:hAnsi="Arial" w:cs="Arial"/>
          <w:color w:val="000000" w:themeColor="text1"/>
          <w:sz w:val="22"/>
          <w:szCs w:val="22"/>
        </w:rPr>
        <w:t xml:space="preserve">Heatmaps, Venn Analysis, and illustration of data were done in GraphPad PRISM (5/8/7/9/10), R-studio (2022.07.2), </w:t>
      </w:r>
      <w:proofErr w:type="spellStart"/>
      <w:r w:rsidRPr="0047217C">
        <w:rPr>
          <w:rFonts w:ascii="Arial" w:hAnsi="Arial" w:cs="Arial"/>
          <w:color w:val="000000" w:themeColor="text1"/>
          <w:sz w:val="22"/>
          <w:szCs w:val="22"/>
        </w:rPr>
        <w:t>ClustVis</w:t>
      </w:r>
      <w:proofErr w:type="spellEnd"/>
      <w:r w:rsidRPr="0047217C">
        <w:rPr>
          <w:rFonts w:ascii="Arial" w:hAnsi="Arial" w:cs="Arial"/>
          <w:color w:val="000000" w:themeColor="text1"/>
          <w:sz w:val="22"/>
          <w:szCs w:val="22"/>
        </w:rPr>
        <w:t xml:space="preserve"> </w:t>
      </w:r>
      <w:sdt>
        <w:sdtPr>
          <w:rPr>
            <w:rFonts w:ascii="Arial" w:hAnsi="Arial" w:cs="Arial"/>
            <w:color w:val="000000" w:themeColor="text1"/>
            <w:sz w:val="22"/>
            <w:szCs w:val="22"/>
          </w:rPr>
          <w:alias w:val="SmartCite Citation"/>
          <w:tag w:val="fb8ada55-c96e-41dd-87ea-0b994a30978d:4c10f755-41c0-499d-ad81-89d72b44e48d+"/>
          <w:id w:val="-2100084432"/>
          <w:placeholder>
            <w:docPart w:val="90CA6DADBB3CB942B16D90E2960EAA6A"/>
          </w:placeholder>
        </w:sdtPr>
        <w:sdtContent>
          <w:r w:rsidR="00F329CF" w:rsidRPr="0047217C">
            <w:rPr>
              <w:rFonts w:ascii="Arial" w:hAnsi="Arial" w:cs="Arial"/>
              <w:sz w:val="22"/>
              <w:szCs w:val="22"/>
            </w:rPr>
            <w:t>[40]</w:t>
          </w:r>
        </w:sdtContent>
      </w:sdt>
      <w:r w:rsidRPr="0047217C">
        <w:rPr>
          <w:rFonts w:ascii="Arial" w:hAnsi="Arial" w:cs="Arial"/>
          <w:color w:val="000000" w:themeColor="text1"/>
          <w:sz w:val="22"/>
          <w:szCs w:val="22"/>
        </w:rPr>
        <w:t>, and VENNY (bioinfogp.cnb.csic.es/tools/</w:t>
      </w:r>
      <w:proofErr w:type="spellStart"/>
      <w:r w:rsidRPr="0047217C">
        <w:rPr>
          <w:rFonts w:ascii="Arial" w:hAnsi="Arial" w:cs="Arial"/>
          <w:color w:val="000000" w:themeColor="text1"/>
          <w:sz w:val="22"/>
          <w:szCs w:val="22"/>
        </w:rPr>
        <w:t>venny</w:t>
      </w:r>
      <w:proofErr w:type="spellEnd"/>
      <w:r w:rsidRPr="0047217C">
        <w:rPr>
          <w:rFonts w:ascii="Arial" w:hAnsi="Arial" w:cs="Arial"/>
          <w:color w:val="000000" w:themeColor="text1"/>
          <w:sz w:val="22"/>
          <w:szCs w:val="22"/>
        </w:rPr>
        <w:t xml:space="preserve">). </w:t>
      </w:r>
    </w:p>
    <w:p w14:paraId="501006F0" w14:textId="77777777" w:rsidR="00F4074C" w:rsidRPr="0047217C" w:rsidRDefault="00F4074C" w:rsidP="00F4074C">
      <w:pPr>
        <w:spacing w:line="480" w:lineRule="auto"/>
        <w:jc w:val="both"/>
        <w:rPr>
          <w:rFonts w:ascii="Arial" w:hAnsi="Arial" w:cs="Arial"/>
          <w:i/>
          <w:iCs/>
          <w:color w:val="000000" w:themeColor="text1"/>
          <w:sz w:val="22"/>
          <w:szCs w:val="22"/>
        </w:rPr>
      </w:pPr>
      <w:r w:rsidRPr="0047217C">
        <w:rPr>
          <w:rFonts w:ascii="Arial" w:hAnsi="Arial" w:cs="Arial"/>
          <w:i/>
          <w:iCs/>
          <w:color w:val="000000" w:themeColor="text1"/>
          <w:sz w:val="22"/>
          <w:szCs w:val="22"/>
        </w:rPr>
        <w:t>References Supplemental Material &amp; Methods</w:t>
      </w:r>
    </w:p>
    <w:sdt>
      <w:sdtPr>
        <w:rPr>
          <w:rFonts w:ascii="Arial" w:eastAsiaTheme="minorEastAsia" w:hAnsi="Arial" w:cs="Arial"/>
          <w:color w:val="000000" w:themeColor="text1"/>
          <w:sz w:val="22"/>
          <w:szCs w:val="22"/>
          <w:lang w:val="de-DE" w:eastAsia="de-DE"/>
        </w:rPr>
        <w:alias w:val="SmartCite Bibliography"/>
        <w:tag w:val="AMA Manual of Style 11th edition (brackets)+{&quot;language&quot;:&quot;en-US&quot;,&quot;isSectionsModeOn&quot;:false}"/>
        <w:id w:val="1026450744"/>
        <w:placeholder>
          <w:docPart w:val="8CD65BD32D01914C85B1B384A2589DB7"/>
        </w:placeholder>
      </w:sdtPr>
      <w:sdtContent>
        <w:p w14:paraId="017C314B" w14:textId="67BC2F59" w:rsidR="00F329CF" w:rsidRPr="0047217C" w:rsidRDefault="00F329CF" w:rsidP="00F329CF">
          <w:pPr>
            <w:spacing w:line="480" w:lineRule="auto"/>
            <w:jc w:val="both"/>
            <w:rPr>
              <w:rFonts w:ascii="Arial" w:hAnsi="Arial" w:cs="Arial"/>
              <w:sz w:val="22"/>
              <w:szCs w:val="22"/>
            </w:rPr>
          </w:pPr>
          <w:r w:rsidRPr="0047217C">
            <w:rPr>
              <w:rFonts w:ascii="Arial" w:hAnsi="Arial" w:cs="Arial"/>
              <w:sz w:val="22"/>
              <w:szCs w:val="22"/>
            </w:rPr>
            <w:t xml:space="preserve">1. Montero JJ, Trozzo R, </w:t>
          </w:r>
          <w:proofErr w:type="spellStart"/>
          <w:r w:rsidRPr="0047217C">
            <w:rPr>
              <w:rFonts w:ascii="Arial" w:hAnsi="Arial" w:cs="Arial"/>
              <w:sz w:val="22"/>
              <w:szCs w:val="22"/>
            </w:rPr>
            <w:t>Sugden</w:t>
          </w:r>
          <w:proofErr w:type="spellEnd"/>
          <w:r w:rsidRPr="0047217C">
            <w:rPr>
              <w:rFonts w:ascii="Arial" w:hAnsi="Arial" w:cs="Arial"/>
              <w:sz w:val="22"/>
              <w:szCs w:val="22"/>
            </w:rPr>
            <w:t xml:space="preserve"> M, et al. “Genome-scale pan-cancer interrogation of lncRNA dependencies using </w:t>
          </w:r>
          <w:proofErr w:type="spellStart"/>
          <w:r w:rsidRPr="0047217C">
            <w:rPr>
              <w:rFonts w:ascii="Arial" w:hAnsi="Arial" w:cs="Arial"/>
              <w:sz w:val="22"/>
              <w:szCs w:val="22"/>
            </w:rPr>
            <w:t>CasRx</w:t>
          </w:r>
          <w:proofErr w:type="spellEnd"/>
          <w:r w:rsidRPr="0047217C">
            <w:rPr>
              <w:rFonts w:ascii="Arial" w:hAnsi="Arial" w:cs="Arial"/>
              <w:sz w:val="22"/>
              <w:szCs w:val="22"/>
            </w:rPr>
            <w:t xml:space="preserve">,” </w:t>
          </w:r>
          <w:r w:rsidRPr="0047217C">
            <w:rPr>
              <w:rFonts w:ascii="Arial" w:hAnsi="Arial" w:cs="Arial"/>
              <w:i/>
              <w:iCs/>
              <w:sz w:val="22"/>
              <w:szCs w:val="22"/>
            </w:rPr>
            <w:t>Nat Methods</w:t>
          </w:r>
          <w:r w:rsidRPr="0047217C">
            <w:rPr>
              <w:rFonts w:ascii="Arial" w:hAnsi="Arial" w:cs="Arial"/>
              <w:sz w:val="22"/>
              <w:szCs w:val="22"/>
            </w:rPr>
            <w:t xml:space="preserve"> 21, no. 4 (2024):584-596. </w:t>
          </w:r>
        </w:p>
        <w:p w14:paraId="147BBBED" w14:textId="4BC2C2C8"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lastRenderedPageBreak/>
            <w:t xml:space="preserve">2. Wessels HH, Méndez-Mancilla A, Guo X, </w:t>
          </w:r>
          <w:proofErr w:type="spellStart"/>
          <w:r w:rsidRPr="0047217C">
            <w:rPr>
              <w:rFonts w:ascii="Arial" w:hAnsi="Arial" w:cs="Arial"/>
              <w:sz w:val="22"/>
              <w:szCs w:val="22"/>
              <w:lang w:val="en-US"/>
            </w:rPr>
            <w:t>Legut</w:t>
          </w:r>
          <w:proofErr w:type="spellEnd"/>
          <w:r w:rsidRPr="0047217C">
            <w:rPr>
              <w:rFonts w:ascii="Arial" w:hAnsi="Arial" w:cs="Arial"/>
              <w:sz w:val="22"/>
              <w:szCs w:val="22"/>
              <w:lang w:val="en-US"/>
            </w:rPr>
            <w:t xml:space="preserve"> M, </w:t>
          </w:r>
          <w:proofErr w:type="spellStart"/>
          <w:r w:rsidRPr="0047217C">
            <w:rPr>
              <w:rFonts w:ascii="Arial" w:hAnsi="Arial" w:cs="Arial"/>
              <w:sz w:val="22"/>
              <w:szCs w:val="22"/>
              <w:lang w:val="en-US"/>
            </w:rPr>
            <w:t>Daniloski</w:t>
          </w:r>
          <w:proofErr w:type="spellEnd"/>
          <w:r w:rsidRPr="0047217C">
            <w:rPr>
              <w:rFonts w:ascii="Arial" w:hAnsi="Arial" w:cs="Arial"/>
              <w:sz w:val="22"/>
              <w:szCs w:val="22"/>
              <w:lang w:val="en-US"/>
            </w:rPr>
            <w:t xml:space="preserve"> Z, Sanjana NE. “Massively parallel Cas13 screens reveal principles for guide RNA design,” </w:t>
          </w:r>
          <w:r w:rsidRPr="0047217C">
            <w:rPr>
              <w:rFonts w:ascii="Arial" w:hAnsi="Arial" w:cs="Arial"/>
              <w:i/>
              <w:iCs/>
              <w:sz w:val="22"/>
              <w:szCs w:val="22"/>
              <w:lang w:val="en-US"/>
            </w:rPr>
            <w:t xml:space="preserve">Nat </w:t>
          </w:r>
          <w:proofErr w:type="spellStart"/>
          <w:r w:rsidRPr="0047217C">
            <w:rPr>
              <w:rFonts w:ascii="Arial" w:hAnsi="Arial" w:cs="Arial"/>
              <w:i/>
              <w:iCs/>
              <w:sz w:val="22"/>
              <w:szCs w:val="22"/>
              <w:lang w:val="en-US"/>
            </w:rPr>
            <w:t>Biotechnol</w:t>
          </w:r>
          <w:proofErr w:type="spellEnd"/>
          <w:r w:rsidRPr="0047217C">
            <w:rPr>
              <w:rFonts w:ascii="Arial" w:hAnsi="Arial" w:cs="Arial"/>
              <w:sz w:val="22"/>
              <w:szCs w:val="22"/>
              <w:lang w:val="en-US"/>
            </w:rPr>
            <w:t xml:space="preserve"> 38, no. 6 (2020):722-727.</w:t>
          </w:r>
        </w:p>
        <w:p w14:paraId="69E536FB" w14:textId="3C70E3BD"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 Guo X, Rahman JA, Wessels HH, et al. “Transcriptome-wide Cas13 guide RNA design for model organisms and viral RNA pathogens,” </w:t>
          </w:r>
          <w:r w:rsidRPr="0047217C">
            <w:rPr>
              <w:rFonts w:ascii="Arial" w:hAnsi="Arial" w:cs="Arial"/>
              <w:i/>
              <w:iCs/>
              <w:sz w:val="22"/>
              <w:szCs w:val="22"/>
              <w:lang w:val="en-US"/>
            </w:rPr>
            <w:t xml:space="preserve">Cell </w:t>
          </w:r>
          <w:proofErr w:type="spellStart"/>
          <w:r w:rsidRPr="0047217C">
            <w:rPr>
              <w:rFonts w:ascii="Arial" w:hAnsi="Arial" w:cs="Arial"/>
              <w:i/>
              <w:iCs/>
              <w:sz w:val="22"/>
              <w:szCs w:val="22"/>
              <w:lang w:val="en-US"/>
            </w:rPr>
            <w:t>Genom</w:t>
          </w:r>
          <w:proofErr w:type="spellEnd"/>
          <w:r w:rsidRPr="0047217C">
            <w:rPr>
              <w:rFonts w:ascii="Arial" w:hAnsi="Arial" w:cs="Arial"/>
              <w:sz w:val="22"/>
              <w:szCs w:val="22"/>
              <w:lang w:val="en-US"/>
            </w:rPr>
            <w:t xml:space="preserve"> 1, no. 1 (2021):100001. </w:t>
          </w:r>
        </w:p>
        <w:p w14:paraId="197B3642" w14:textId="1C7496F4"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4. Mueller S, </w:t>
          </w:r>
          <w:proofErr w:type="spellStart"/>
          <w:r w:rsidRPr="0047217C">
            <w:rPr>
              <w:rFonts w:ascii="Arial" w:hAnsi="Arial" w:cs="Arial"/>
              <w:sz w:val="22"/>
              <w:szCs w:val="22"/>
              <w:lang w:val="en-US"/>
            </w:rPr>
            <w:t>Engleitner</w:t>
          </w:r>
          <w:proofErr w:type="spellEnd"/>
          <w:r w:rsidRPr="0047217C">
            <w:rPr>
              <w:rFonts w:ascii="Arial" w:hAnsi="Arial" w:cs="Arial"/>
              <w:sz w:val="22"/>
              <w:szCs w:val="22"/>
              <w:lang w:val="en-US"/>
            </w:rPr>
            <w:t xml:space="preserve"> T, Maresch R, et al. “Evolutionary routes and KRAS dosage define pancreatic cancer phenotypes,” </w:t>
          </w:r>
          <w:r w:rsidRPr="0047217C">
            <w:rPr>
              <w:rFonts w:ascii="Arial" w:hAnsi="Arial" w:cs="Arial"/>
              <w:i/>
              <w:iCs/>
              <w:sz w:val="22"/>
              <w:szCs w:val="22"/>
              <w:lang w:val="en-US"/>
            </w:rPr>
            <w:t>Nature</w:t>
          </w:r>
          <w:r w:rsidRPr="0047217C">
            <w:rPr>
              <w:rFonts w:ascii="Arial" w:hAnsi="Arial" w:cs="Arial"/>
              <w:sz w:val="22"/>
              <w:szCs w:val="22"/>
              <w:lang w:val="en-US"/>
            </w:rPr>
            <w:t xml:space="preserve"> 554, no. 7690 (2018):62-68.</w:t>
          </w:r>
        </w:p>
        <w:p w14:paraId="26DD2F89" w14:textId="0ACFF6A6"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5. </w:t>
          </w:r>
          <w:proofErr w:type="spellStart"/>
          <w:r w:rsidRPr="0047217C">
            <w:rPr>
              <w:rFonts w:ascii="Arial" w:hAnsi="Arial" w:cs="Arial"/>
              <w:sz w:val="22"/>
              <w:szCs w:val="22"/>
              <w:lang w:val="en-US"/>
            </w:rPr>
            <w:t>Krauß</w:t>
          </w:r>
          <w:proofErr w:type="spellEnd"/>
          <w:r w:rsidRPr="0047217C">
            <w:rPr>
              <w:rFonts w:ascii="Arial" w:hAnsi="Arial" w:cs="Arial"/>
              <w:sz w:val="22"/>
              <w:szCs w:val="22"/>
              <w:lang w:val="en-US"/>
            </w:rPr>
            <w:t xml:space="preserve"> L, Urban BC, Hastreiter S, et al. “HDAC2 facilitates pancreatic cancer metastasis,” </w:t>
          </w:r>
          <w:r w:rsidRPr="0047217C">
            <w:rPr>
              <w:rFonts w:ascii="Arial" w:hAnsi="Arial" w:cs="Arial"/>
              <w:i/>
              <w:iCs/>
              <w:sz w:val="22"/>
              <w:szCs w:val="22"/>
              <w:lang w:val="en-US"/>
            </w:rPr>
            <w:t>Cancer Res</w:t>
          </w:r>
          <w:r w:rsidR="001D3BF4" w:rsidRPr="0047217C">
            <w:rPr>
              <w:rFonts w:ascii="Arial" w:hAnsi="Arial" w:cs="Arial"/>
              <w:i/>
              <w:iCs/>
              <w:sz w:val="22"/>
              <w:szCs w:val="22"/>
              <w:lang w:val="en-US"/>
            </w:rPr>
            <w:t xml:space="preserve"> </w:t>
          </w:r>
          <w:r w:rsidR="001D3BF4" w:rsidRPr="0047217C">
            <w:rPr>
              <w:rFonts w:ascii="Arial" w:hAnsi="Arial" w:cs="Arial"/>
              <w:sz w:val="22"/>
              <w:szCs w:val="22"/>
              <w:lang w:val="en-US"/>
            </w:rPr>
            <w:t>82, no. 4. (2022): 695-707.</w:t>
          </w:r>
        </w:p>
        <w:p w14:paraId="0E755F08" w14:textId="751CA68D"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6. Orben F, Lankes K, Schneeweis C, et al. </w:t>
          </w:r>
          <w:r w:rsidR="001D3BF4" w:rsidRPr="0047217C">
            <w:rPr>
              <w:rFonts w:ascii="Arial" w:hAnsi="Arial" w:cs="Arial"/>
              <w:sz w:val="22"/>
              <w:szCs w:val="22"/>
              <w:lang w:val="en-US"/>
            </w:rPr>
            <w:t>“</w:t>
          </w:r>
          <w:r w:rsidRPr="0047217C">
            <w:rPr>
              <w:rFonts w:ascii="Arial" w:hAnsi="Arial" w:cs="Arial"/>
              <w:sz w:val="22"/>
              <w:szCs w:val="22"/>
              <w:lang w:val="en-US"/>
            </w:rPr>
            <w:t>Epigenetic drug screening defines a PRMT5 inhibitor sensitive pancreatic cancer subtype</w:t>
          </w:r>
          <w:r w:rsidR="001D3BF4" w:rsidRPr="0047217C">
            <w:rPr>
              <w:rFonts w:ascii="Arial" w:hAnsi="Arial" w:cs="Arial"/>
              <w:sz w:val="22"/>
              <w:szCs w:val="22"/>
              <w:lang w:val="en-US"/>
            </w:rPr>
            <w:t>,”</w:t>
          </w:r>
          <w:r w:rsidRPr="0047217C">
            <w:rPr>
              <w:rFonts w:ascii="Arial" w:hAnsi="Arial" w:cs="Arial"/>
              <w:sz w:val="22"/>
              <w:szCs w:val="22"/>
              <w:lang w:val="en-US"/>
            </w:rPr>
            <w:t xml:space="preserve"> </w:t>
          </w:r>
          <w:proofErr w:type="spellStart"/>
          <w:r w:rsidRPr="0047217C">
            <w:rPr>
              <w:rFonts w:ascii="Arial" w:hAnsi="Arial" w:cs="Arial"/>
              <w:i/>
              <w:iCs/>
              <w:sz w:val="22"/>
              <w:szCs w:val="22"/>
              <w:lang w:val="en-US"/>
            </w:rPr>
            <w:t>Jci</w:t>
          </w:r>
          <w:proofErr w:type="spellEnd"/>
          <w:r w:rsidRPr="0047217C">
            <w:rPr>
              <w:rFonts w:ascii="Arial" w:hAnsi="Arial" w:cs="Arial"/>
              <w:i/>
              <w:iCs/>
              <w:sz w:val="22"/>
              <w:szCs w:val="22"/>
              <w:lang w:val="en-US"/>
            </w:rPr>
            <w:t xml:space="preserve"> Insight</w:t>
          </w:r>
          <w:r w:rsidR="001D3BF4" w:rsidRPr="0047217C">
            <w:rPr>
              <w:rFonts w:ascii="Arial" w:hAnsi="Arial" w:cs="Arial"/>
              <w:sz w:val="22"/>
              <w:szCs w:val="22"/>
              <w:lang w:val="en-US"/>
            </w:rPr>
            <w:t xml:space="preserve"> 7, no. 10 (2022): e151353.</w:t>
          </w:r>
        </w:p>
        <w:p w14:paraId="47CB7B97" w14:textId="44C895F8"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7. Sealover NE, Theard PT, Hughes JM, Linke AJ, Daley BR, Kortum RL. </w:t>
          </w:r>
          <w:r w:rsidR="001D3BF4" w:rsidRPr="0047217C">
            <w:rPr>
              <w:rFonts w:ascii="Arial" w:hAnsi="Arial" w:cs="Arial"/>
              <w:sz w:val="22"/>
              <w:szCs w:val="22"/>
              <w:lang w:val="en-US"/>
            </w:rPr>
            <w:t>“</w:t>
          </w:r>
          <w:r w:rsidRPr="0047217C">
            <w:rPr>
              <w:rFonts w:ascii="Arial" w:hAnsi="Arial" w:cs="Arial"/>
              <w:sz w:val="22"/>
              <w:szCs w:val="22"/>
              <w:lang w:val="en-US"/>
            </w:rPr>
            <w:t>In situ modeling of acquired resistance to RTK/RAS-pathway-targeted therapies</w:t>
          </w:r>
          <w:r w:rsidR="001D3BF4" w:rsidRPr="0047217C">
            <w:rPr>
              <w:rFonts w:ascii="Arial" w:hAnsi="Arial" w:cs="Arial"/>
              <w:sz w:val="22"/>
              <w:szCs w:val="22"/>
              <w:lang w:val="en-US"/>
            </w:rPr>
            <w:t>,”</w:t>
          </w:r>
          <w:r w:rsidRPr="0047217C">
            <w:rPr>
              <w:rFonts w:ascii="Arial" w:hAnsi="Arial" w:cs="Arial"/>
              <w:sz w:val="22"/>
              <w:szCs w:val="22"/>
              <w:lang w:val="en-US"/>
            </w:rPr>
            <w:t xml:space="preserve"> </w:t>
          </w:r>
          <w:proofErr w:type="spellStart"/>
          <w:r w:rsidRPr="0047217C">
            <w:rPr>
              <w:rFonts w:ascii="Arial" w:hAnsi="Arial" w:cs="Arial"/>
              <w:i/>
              <w:iCs/>
              <w:sz w:val="22"/>
              <w:szCs w:val="22"/>
              <w:lang w:val="en-US"/>
            </w:rPr>
            <w:t>iScience</w:t>
          </w:r>
          <w:proofErr w:type="spellEnd"/>
          <w:r w:rsidRPr="0047217C">
            <w:rPr>
              <w:rFonts w:ascii="Arial" w:hAnsi="Arial" w:cs="Arial"/>
              <w:sz w:val="22"/>
              <w:szCs w:val="22"/>
              <w:lang w:val="en-US"/>
            </w:rPr>
            <w:t xml:space="preserve"> 27</w:t>
          </w:r>
          <w:r w:rsidR="001D3BF4" w:rsidRPr="0047217C">
            <w:rPr>
              <w:rFonts w:ascii="Arial" w:hAnsi="Arial" w:cs="Arial"/>
              <w:sz w:val="22"/>
              <w:szCs w:val="22"/>
              <w:lang w:val="en-US"/>
            </w:rPr>
            <w:t xml:space="preserve">, no. </w:t>
          </w:r>
          <w:r w:rsidRPr="0047217C">
            <w:rPr>
              <w:rFonts w:ascii="Arial" w:hAnsi="Arial" w:cs="Arial"/>
              <w:sz w:val="22"/>
              <w:szCs w:val="22"/>
              <w:lang w:val="en-US"/>
            </w:rPr>
            <w:t>1</w:t>
          </w:r>
          <w:r w:rsidR="001D3BF4" w:rsidRPr="0047217C">
            <w:rPr>
              <w:rFonts w:ascii="Arial" w:hAnsi="Arial" w:cs="Arial"/>
              <w:sz w:val="22"/>
              <w:szCs w:val="22"/>
              <w:lang w:val="en-US"/>
            </w:rPr>
            <w:t xml:space="preserve"> (2024)</w:t>
          </w:r>
          <w:r w:rsidRPr="0047217C">
            <w:rPr>
              <w:rFonts w:ascii="Arial" w:hAnsi="Arial" w:cs="Arial"/>
              <w:sz w:val="22"/>
              <w:szCs w:val="22"/>
              <w:lang w:val="en-US"/>
            </w:rPr>
            <w:t>:108711.</w:t>
          </w:r>
        </w:p>
        <w:p w14:paraId="645126D8" w14:textId="5E9DA9EC"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8. Doench JG, Fusi N, Sullender M, et al. </w:t>
          </w:r>
          <w:r w:rsidR="001D3BF4" w:rsidRPr="0047217C">
            <w:rPr>
              <w:rFonts w:ascii="Arial" w:hAnsi="Arial" w:cs="Arial"/>
              <w:sz w:val="22"/>
              <w:szCs w:val="22"/>
              <w:lang w:val="en-US"/>
            </w:rPr>
            <w:t>“</w:t>
          </w:r>
          <w:r w:rsidRPr="0047217C">
            <w:rPr>
              <w:rFonts w:ascii="Arial" w:hAnsi="Arial" w:cs="Arial"/>
              <w:sz w:val="22"/>
              <w:szCs w:val="22"/>
              <w:lang w:val="en-US"/>
            </w:rPr>
            <w:t>Optimized sgRNA design to maximize activity and minimize off-target effects of CRISPR-Cas9</w:t>
          </w:r>
          <w:r w:rsidR="001D3BF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 xml:space="preserve">Nat </w:t>
          </w:r>
          <w:proofErr w:type="spellStart"/>
          <w:r w:rsidRPr="0047217C">
            <w:rPr>
              <w:rFonts w:ascii="Arial" w:hAnsi="Arial" w:cs="Arial"/>
              <w:i/>
              <w:iCs/>
              <w:sz w:val="22"/>
              <w:szCs w:val="22"/>
              <w:lang w:val="en-US"/>
            </w:rPr>
            <w:t>Biotechnol</w:t>
          </w:r>
          <w:proofErr w:type="spellEnd"/>
          <w:r w:rsidR="001D3BF4" w:rsidRPr="0047217C">
            <w:rPr>
              <w:rFonts w:ascii="Arial" w:hAnsi="Arial" w:cs="Arial"/>
              <w:sz w:val="22"/>
              <w:szCs w:val="22"/>
              <w:lang w:val="en-US"/>
            </w:rPr>
            <w:t xml:space="preserve"> </w:t>
          </w:r>
          <w:r w:rsidRPr="0047217C">
            <w:rPr>
              <w:rFonts w:ascii="Arial" w:hAnsi="Arial" w:cs="Arial"/>
              <w:sz w:val="22"/>
              <w:szCs w:val="22"/>
              <w:lang w:val="en-US"/>
            </w:rPr>
            <w:t>34</w:t>
          </w:r>
          <w:r w:rsidR="001D3BF4" w:rsidRPr="0047217C">
            <w:rPr>
              <w:rFonts w:ascii="Arial" w:hAnsi="Arial" w:cs="Arial"/>
              <w:sz w:val="22"/>
              <w:szCs w:val="22"/>
              <w:lang w:val="en-US"/>
            </w:rPr>
            <w:t xml:space="preserve">, no. </w:t>
          </w:r>
          <w:r w:rsidRPr="0047217C">
            <w:rPr>
              <w:rFonts w:ascii="Arial" w:hAnsi="Arial" w:cs="Arial"/>
              <w:sz w:val="22"/>
              <w:szCs w:val="22"/>
              <w:lang w:val="en-US"/>
            </w:rPr>
            <w:t>2</w:t>
          </w:r>
          <w:r w:rsidR="001D3BF4" w:rsidRPr="0047217C">
            <w:rPr>
              <w:rFonts w:ascii="Arial" w:hAnsi="Arial" w:cs="Arial"/>
              <w:sz w:val="22"/>
              <w:szCs w:val="22"/>
              <w:lang w:val="en-US"/>
            </w:rPr>
            <w:t xml:space="preserve"> (2016)</w:t>
          </w:r>
          <w:r w:rsidRPr="0047217C">
            <w:rPr>
              <w:rFonts w:ascii="Arial" w:hAnsi="Arial" w:cs="Arial"/>
              <w:sz w:val="22"/>
              <w:szCs w:val="22"/>
              <w:lang w:val="en-US"/>
            </w:rPr>
            <w:t xml:space="preserve">:184-191. </w:t>
          </w:r>
        </w:p>
        <w:p w14:paraId="184C2841" w14:textId="618D4A89"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9. Sanjana NE, Shalem O, Zhang F. </w:t>
          </w:r>
          <w:r w:rsidR="001D3BF4" w:rsidRPr="0047217C">
            <w:rPr>
              <w:rFonts w:ascii="Arial" w:hAnsi="Arial" w:cs="Arial"/>
              <w:sz w:val="22"/>
              <w:szCs w:val="22"/>
              <w:lang w:val="en-US"/>
            </w:rPr>
            <w:t>“</w:t>
          </w:r>
          <w:r w:rsidRPr="0047217C">
            <w:rPr>
              <w:rFonts w:ascii="Arial" w:hAnsi="Arial" w:cs="Arial"/>
              <w:sz w:val="22"/>
              <w:szCs w:val="22"/>
              <w:lang w:val="en-US"/>
            </w:rPr>
            <w:t>Improved vectors and genome-wide libraries for CRISPR screening</w:t>
          </w:r>
          <w:r w:rsidR="001D3BF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Nat Methods</w:t>
          </w:r>
          <w:r w:rsidRPr="0047217C">
            <w:rPr>
              <w:rFonts w:ascii="Arial" w:hAnsi="Arial" w:cs="Arial"/>
              <w:sz w:val="22"/>
              <w:szCs w:val="22"/>
              <w:lang w:val="en-US"/>
            </w:rPr>
            <w:t xml:space="preserve"> 11</w:t>
          </w:r>
          <w:r w:rsidR="001D3BF4" w:rsidRPr="0047217C">
            <w:rPr>
              <w:rFonts w:ascii="Arial" w:hAnsi="Arial" w:cs="Arial"/>
              <w:sz w:val="22"/>
              <w:szCs w:val="22"/>
              <w:lang w:val="en-US"/>
            </w:rPr>
            <w:t xml:space="preserve">, no. </w:t>
          </w:r>
          <w:r w:rsidRPr="0047217C">
            <w:rPr>
              <w:rFonts w:ascii="Arial" w:hAnsi="Arial" w:cs="Arial"/>
              <w:sz w:val="22"/>
              <w:szCs w:val="22"/>
              <w:lang w:val="en-US"/>
            </w:rPr>
            <w:t>8</w:t>
          </w:r>
          <w:r w:rsidR="001D3BF4" w:rsidRPr="0047217C">
            <w:rPr>
              <w:rFonts w:ascii="Arial" w:hAnsi="Arial" w:cs="Arial"/>
              <w:sz w:val="22"/>
              <w:szCs w:val="22"/>
              <w:lang w:val="en-US"/>
            </w:rPr>
            <w:t xml:space="preserve"> (2014)</w:t>
          </w:r>
          <w:r w:rsidRPr="0047217C">
            <w:rPr>
              <w:rFonts w:ascii="Arial" w:hAnsi="Arial" w:cs="Arial"/>
              <w:sz w:val="22"/>
              <w:szCs w:val="22"/>
              <w:lang w:val="en-US"/>
            </w:rPr>
            <w:t xml:space="preserve">:783-784. </w:t>
          </w:r>
        </w:p>
        <w:p w14:paraId="3CB0FBC9" w14:textId="39F41393"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10. Griger J, </w:t>
          </w:r>
          <w:proofErr w:type="spellStart"/>
          <w:r w:rsidRPr="0047217C">
            <w:rPr>
              <w:rFonts w:ascii="Arial" w:hAnsi="Arial" w:cs="Arial"/>
              <w:sz w:val="22"/>
              <w:szCs w:val="22"/>
              <w:lang w:val="en-US"/>
            </w:rPr>
            <w:t>Widholz</w:t>
          </w:r>
          <w:proofErr w:type="spellEnd"/>
          <w:r w:rsidRPr="0047217C">
            <w:rPr>
              <w:rFonts w:ascii="Arial" w:hAnsi="Arial" w:cs="Arial"/>
              <w:sz w:val="22"/>
              <w:szCs w:val="22"/>
              <w:lang w:val="en-US"/>
            </w:rPr>
            <w:t xml:space="preserve"> SA, </w:t>
          </w:r>
          <w:proofErr w:type="spellStart"/>
          <w:r w:rsidRPr="0047217C">
            <w:rPr>
              <w:rFonts w:ascii="Arial" w:hAnsi="Arial" w:cs="Arial"/>
              <w:sz w:val="22"/>
              <w:szCs w:val="22"/>
              <w:lang w:val="en-US"/>
            </w:rPr>
            <w:t>Jesinghaus</w:t>
          </w:r>
          <w:proofErr w:type="spellEnd"/>
          <w:r w:rsidRPr="0047217C">
            <w:rPr>
              <w:rFonts w:ascii="Arial" w:hAnsi="Arial" w:cs="Arial"/>
              <w:sz w:val="22"/>
              <w:szCs w:val="22"/>
              <w:lang w:val="en-US"/>
            </w:rPr>
            <w:t xml:space="preserve"> M, et al. </w:t>
          </w:r>
          <w:r w:rsidR="001D3BF4" w:rsidRPr="0047217C">
            <w:rPr>
              <w:rFonts w:ascii="Arial" w:hAnsi="Arial" w:cs="Arial"/>
              <w:sz w:val="22"/>
              <w:szCs w:val="22"/>
              <w:lang w:val="en-US"/>
            </w:rPr>
            <w:t>“</w:t>
          </w:r>
          <w:r w:rsidRPr="0047217C">
            <w:rPr>
              <w:rFonts w:ascii="Arial" w:hAnsi="Arial" w:cs="Arial"/>
              <w:sz w:val="22"/>
              <w:szCs w:val="22"/>
              <w:lang w:val="en-US"/>
            </w:rPr>
            <w:t>An integrated cellular and molecular model of gastric neuroendocrine cancer evolution highlights therapeutic targets</w:t>
          </w:r>
          <w:r w:rsidR="001D3BF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Cancer Cell</w:t>
          </w:r>
          <w:r w:rsidRPr="0047217C">
            <w:rPr>
              <w:rFonts w:ascii="Arial" w:hAnsi="Arial" w:cs="Arial"/>
              <w:sz w:val="22"/>
              <w:szCs w:val="22"/>
              <w:lang w:val="en-US"/>
            </w:rPr>
            <w:t xml:space="preserve"> 41</w:t>
          </w:r>
          <w:r w:rsidR="001D3BF4" w:rsidRPr="0047217C">
            <w:rPr>
              <w:rFonts w:ascii="Arial" w:hAnsi="Arial" w:cs="Arial"/>
              <w:sz w:val="22"/>
              <w:szCs w:val="22"/>
              <w:lang w:val="en-US"/>
            </w:rPr>
            <w:t xml:space="preserve">, no. </w:t>
          </w:r>
          <w:r w:rsidRPr="0047217C">
            <w:rPr>
              <w:rFonts w:ascii="Arial" w:hAnsi="Arial" w:cs="Arial"/>
              <w:sz w:val="22"/>
              <w:szCs w:val="22"/>
              <w:lang w:val="en-US"/>
            </w:rPr>
            <w:t>7</w:t>
          </w:r>
          <w:r w:rsidR="001D3BF4" w:rsidRPr="0047217C">
            <w:rPr>
              <w:rFonts w:ascii="Arial" w:hAnsi="Arial" w:cs="Arial"/>
              <w:sz w:val="22"/>
              <w:szCs w:val="22"/>
              <w:lang w:val="en-US"/>
            </w:rPr>
            <w:t xml:space="preserve"> (2023)</w:t>
          </w:r>
          <w:r w:rsidRPr="0047217C">
            <w:rPr>
              <w:rFonts w:ascii="Arial" w:hAnsi="Arial" w:cs="Arial"/>
              <w:sz w:val="22"/>
              <w:szCs w:val="22"/>
              <w:lang w:val="en-US"/>
            </w:rPr>
            <w:t>:1327-1344.e10.</w:t>
          </w:r>
        </w:p>
        <w:p w14:paraId="6CB8345F" w14:textId="093ECA0F"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11. Bolger AM, Lohse M, </w:t>
          </w:r>
          <w:proofErr w:type="spellStart"/>
          <w:r w:rsidRPr="0047217C">
            <w:rPr>
              <w:rFonts w:ascii="Arial" w:hAnsi="Arial" w:cs="Arial"/>
              <w:sz w:val="22"/>
              <w:szCs w:val="22"/>
              <w:lang w:val="en-US"/>
            </w:rPr>
            <w:t>Usadel</w:t>
          </w:r>
          <w:proofErr w:type="spellEnd"/>
          <w:r w:rsidRPr="0047217C">
            <w:rPr>
              <w:rFonts w:ascii="Arial" w:hAnsi="Arial" w:cs="Arial"/>
              <w:sz w:val="22"/>
              <w:szCs w:val="22"/>
              <w:lang w:val="en-US"/>
            </w:rPr>
            <w:t xml:space="preserve"> B. </w:t>
          </w:r>
          <w:r w:rsidR="001D3BF4" w:rsidRPr="0047217C">
            <w:rPr>
              <w:rFonts w:ascii="Arial" w:hAnsi="Arial" w:cs="Arial"/>
              <w:sz w:val="22"/>
              <w:szCs w:val="22"/>
              <w:lang w:val="en-US"/>
            </w:rPr>
            <w:t>“</w:t>
          </w:r>
          <w:proofErr w:type="spellStart"/>
          <w:r w:rsidRPr="0047217C">
            <w:rPr>
              <w:rFonts w:ascii="Arial" w:hAnsi="Arial" w:cs="Arial"/>
              <w:sz w:val="22"/>
              <w:szCs w:val="22"/>
              <w:lang w:val="en-US"/>
            </w:rPr>
            <w:t>Trimmomatic</w:t>
          </w:r>
          <w:proofErr w:type="spellEnd"/>
          <w:r w:rsidRPr="0047217C">
            <w:rPr>
              <w:rFonts w:ascii="Arial" w:hAnsi="Arial" w:cs="Arial"/>
              <w:sz w:val="22"/>
              <w:szCs w:val="22"/>
              <w:lang w:val="en-US"/>
            </w:rPr>
            <w:t>: a flexible trimmer for Illumina sequence data</w:t>
          </w:r>
          <w:r w:rsidR="001D3BF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Bioinformatics</w:t>
          </w:r>
          <w:r w:rsidRPr="0047217C">
            <w:rPr>
              <w:rFonts w:ascii="Arial" w:hAnsi="Arial" w:cs="Arial"/>
              <w:sz w:val="22"/>
              <w:szCs w:val="22"/>
              <w:lang w:val="en-US"/>
            </w:rPr>
            <w:t xml:space="preserve"> 30</w:t>
          </w:r>
          <w:r w:rsidR="001D3BF4" w:rsidRPr="0047217C">
            <w:rPr>
              <w:rFonts w:ascii="Arial" w:hAnsi="Arial" w:cs="Arial"/>
              <w:sz w:val="22"/>
              <w:szCs w:val="22"/>
              <w:lang w:val="en-US"/>
            </w:rPr>
            <w:t xml:space="preserve">, no. </w:t>
          </w:r>
          <w:r w:rsidRPr="0047217C">
            <w:rPr>
              <w:rFonts w:ascii="Arial" w:hAnsi="Arial" w:cs="Arial"/>
              <w:sz w:val="22"/>
              <w:szCs w:val="22"/>
              <w:lang w:val="en-US"/>
            </w:rPr>
            <w:t>15</w:t>
          </w:r>
          <w:r w:rsidR="001D3BF4" w:rsidRPr="0047217C">
            <w:rPr>
              <w:rFonts w:ascii="Arial" w:hAnsi="Arial" w:cs="Arial"/>
              <w:sz w:val="22"/>
              <w:szCs w:val="22"/>
              <w:lang w:val="en-US"/>
            </w:rPr>
            <w:t xml:space="preserve"> (2014)</w:t>
          </w:r>
          <w:r w:rsidRPr="0047217C">
            <w:rPr>
              <w:rFonts w:ascii="Arial" w:hAnsi="Arial" w:cs="Arial"/>
              <w:sz w:val="22"/>
              <w:szCs w:val="22"/>
              <w:lang w:val="en-US"/>
            </w:rPr>
            <w:t xml:space="preserve">:2114-2120. </w:t>
          </w:r>
        </w:p>
        <w:p w14:paraId="71BDFEFE" w14:textId="54800C93"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lastRenderedPageBreak/>
            <w:t xml:space="preserve">12. Li W, Xu H, Xiao T, et al. </w:t>
          </w:r>
          <w:r w:rsidR="001D3BF4" w:rsidRPr="0047217C">
            <w:rPr>
              <w:rFonts w:ascii="Arial" w:hAnsi="Arial" w:cs="Arial"/>
              <w:sz w:val="22"/>
              <w:szCs w:val="22"/>
              <w:lang w:val="en-US"/>
            </w:rPr>
            <w:t>“</w:t>
          </w:r>
          <w:proofErr w:type="spellStart"/>
          <w:r w:rsidRPr="0047217C">
            <w:rPr>
              <w:rFonts w:ascii="Arial" w:hAnsi="Arial" w:cs="Arial"/>
              <w:sz w:val="22"/>
              <w:szCs w:val="22"/>
              <w:lang w:val="en-US"/>
            </w:rPr>
            <w:t>MAGeCK</w:t>
          </w:r>
          <w:proofErr w:type="spellEnd"/>
          <w:r w:rsidRPr="0047217C">
            <w:rPr>
              <w:rFonts w:ascii="Arial" w:hAnsi="Arial" w:cs="Arial"/>
              <w:sz w:val="22"/>
              <w:szCs w:val="22"/>
              <w:lang w:val="en-US"/>
            </w:rPr>
            <w:t xml:space="preserve"> enables robust identification of essential genes from genome-scale CRISPR/Cas9 knockout screens</w:t>
          </w:r>
          <w:r w:rsidR="001D3BF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Genome Biol</w:t>
          </w:r>
          <w:r w:rsidRPr="0047217C">
            <w:rPr>
              <w:rFonts w:ascii="Arial" w:hAnsi="Arial" w:cs="Arial"/>
              <w:sz w:val="22"/>
              <w:szCs w:val="22"/>
              <w:lang w:val="en-US"/>
            </w:rPr>
            <w:t xml:space="preserve"> 15</w:t>
          </w:r>
          <w:r w:rsidR="001D3BF4" w:rsidRPr="0047217C">
            <w:rPr>
              <w:rFonts w:ascii="Arial" w:hAnsi="Arial" w:cs="Arial"/>
              <w:sz w:val="22"/>
              <w:szCs w:val="22"/>
              <w:lang w:val="en-US"/>
            </w:rPr>
            <w:t xml:space="preserve">, no. </w:t>
          </w:r>
          <w:r w:rsidRPr="0047217C">
            <w:rPr>
              <w:rFonts w:ascii="Arial" w:hAnsi="Arial" w:cs="Arial"/>
              <w:sz w:val="22"/>
              <w:szCs w:val="22"/>
              <w:lang w:val="en-US"/>
            </w:rPr>
            <w:t>12</w:t>
          </w:r>
          <w:r w:rsidR="001D3BF4" w:rsidRPr="0047217C">
            <w:rPr>
              <w:rFonts w:ascii="Arial" w:hAnsi="Arial" w:cs="Arial"/>
              <w:sz w:val="22"/>
              <w:szCs w:val="22"/>
              <w:lang w:val="en-US"/>
            </w:rPr>
            <w:t xml:space="preserve"> (2014)</w:t>
          </w:r>
          <w:r w:rsidRPr="0047217C">
            <w:rPr>
              <w:rFonts w:ascii="Arial" w:hAnsi="Arial" w:cs="Arial"/>
              <w:sz w:val="22"/>
              <w:szCs w:val="22"/>
              <w:lang w:val="en-US"/>
            </w:rPr>
            <w:t xml:space="preserve">:554. </w:t>
          </w:r>
        </w:p>
        <w:p w14:paraId="20EC586D" w14:textId="3A28A8D9"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13. Gerstner N, Kehl T, Lenhof K, et al. </w:t>
          </w:r>
          <w:r w:rsidR="001D3BF4" w:rsidRPr="0047217C">
            <w:rPr>
              <w:rFonts w:ascii="Arial" w:hAnsi="Arial" w:cs="Arial"/>
              <w:sz w:val="22"/>
              <w:szCs w:val="22"/>
              <w:lang w:val="en-US"/>
            </w:rPr>
            <w:t>“</w:t>
          </w:r>
          <w:proofErr w:type="spellStart"/>
          <w:r w:rsidRPr="0047217C">
            <w:rPr>
              <w:rFonts w:ascii="Arial" w:hAnsi="Arial" w:cs="Arial"/>
              <w:sz w:val="22"/>
              <w:szCs w:val="22"/>
              <w:lang w:val="en-US"/>
            </w:rPr>
            <w:t>GeneTrail</w:t>
          </w:r>
          <w:proofErr w:type="spellEnd"/>
          <w:r w:rsidRPr="0047217C">
            <w:rPr>
              <w:rFonts w:ascii="Arial" w:hAnsi="Arial" w:cs="Arial"/>
              <w:sz w:val="22"/>
              <w:szCs w:val="22"/>
              <w:lang w:val="en-US"/>
            </w:rPr>
            <w:t xml:space="preserve"> 3: advanced high-throughput enrichment analysis</w:t>
          </w:r>
          <w:r w:rsidR="001D3BF4" w:rsidRPr="0047217C">
            <w:rPr>
              <w:rFonts w:ascii="Arial" w:hAnsi="Arial" w:cs="Arial"/>
              <w:sz w:val="22"/>
              <w:szCs w:val="22"/>
              <w:lang w:val="en-US"/>
            </w:rPr>
            <w:t xml:space="preserve">,” </w:t>
          </w:r>
          <w:r w:rsidRPr="0047217C">
            <w:rPr>
              <w:rFonts w:ascii="Arial" w:hAnsi="Arial" w:cs="Arial"/>
              <w:i/>
              <w:iCs/>
              <w:sz w:val="22"/>
              <w:szCs w:val="22"/>
              <w:lang w:val="en-US"/>
            </w:rPr>
            <w:t>Nucleic Acids Res</w:t>
          </w:r>
          <w:r w:rsidRPr="0047217C">
            <w:rPr>
              <w:rFonts w:ascii="Arial" w:hAnsi="Arial" w:cs="Arial"/>
              <w:sz w:val="22"/>
              <w:szCs w:val="22"/>
              <w:lang w:val="en-US"/>
            </w:rPr>
            <w:t xml:space="preserve"> 48</w:t>
          </w:r>
          <w:r w:rsidR="001D3BF4" w:rsidRPr="0047217C">
            <w:rPr>
              <w:rFonts w:ascii="Arial" w:hAnsi="Arial" w:cs="Arial"/>
              <w:sz w:val="22"/>
              <w:szCs w:val="22"/>
              <w:lang w:val="en-US"/>
            </w:rPr>
            <w:t xml:space="preserve">, </w:t>
          </w:r>
          <w:r w:rsidRPr="0047217C">
            <w:rPr>
              <w:rFonts w:ascii="Arial" w:hAnsi="Arial" w:cs="Arial"/>
              <w:sz w:val="22"/>
              <w:szCs w:val="22"/>
              <w:lang w:val="en-US"/>
            </w:rPr>
            <w:t>W1</w:t>
          </w:r>
          <w:r w:rsidR="001D3BF4" w:rsidRPr="0047217C">
            <w:rPr>
              <w:rFonts w:ascii="Arial" w:hAnsi="Arial" w:cs="Arial"/>
              <w:sz w:val="22"/>
              <w:szCs w:val="22"/>
              <w:lang w:val="en-US"/>
            </w:rPr>
            <w:t xml:space="preserve"> (2020</w:t>
          </w:r>
          <w:proofErr w:type="gramStart"/>
          <w:r w:rsidR="001D3BF4" w:rsidRPr="0047217C">
            <w:rPr>
              <w:rFonts w:ascii="Arial" w:hAnsi="Arial" w:cs="Arial"/>
              <w:sz w:val="22"/>
              <w:szCs w:val="22"/>
              <w:lang w:val="en-US"/>
            </w:rPr>
            <w:t>)</w:t>
          </w:r>
          <w:r w:rsidRPr="0047217C">
            <w:rPr>
              <w:rFonts w:ascii="Arial" w:hAnsi="Arial" w:cs="Arial"/>
              <w:sz w:val="22"/>
              <w:szCs w:val="22"/>
              <w:lang w:val="en-US"/>
            </w:rPr>
            <w:t>:gkaa</w:t>
          </w:r>
          <w:proofErr w:type="gramEnd"/>
          <w:r w:rsidRPr="0047217C">
            <w:rPr>
              <w:rFonts w:ascii="Arial" w:hAnsi="Arial" w:cs="Arial"/>
              <w:sz w:val="22"/>
              <w:szCs w:val="22"/>
              <w:lang w:val="en-US"/>
            </w:rPr>
            <w:t>306-.</w:t>
          </w:r>
        </w:p>
        <w:p w14:paraId="260914B5" w14:textId="5489AD92"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14. Dobin A, Davis CA, Schlesinger F, et al. </w:t>
          </w:r>
          <w:r w:rsidR="001D3BF4" w:rsidRPr="0047217C">
            <w:rPr>
              <w:rFonts w:ascii="Arial" w:hAnsi="Arial" w:cs="Arial"/>
              <w:sz w:val="22"/>
              <w:szCs w:val="22"/>
              <w:lang w:val="en-US"/>
            </w:rPr>
            <w:t>“</w:t>
          </w:r>
          <w:r w:rsidRPr="0047217C">
            <w:rPr>
              <w:rFonts w:ascii="Arial" w:hAnsi="Arial" w:cs="Arial"/>
              <w:sz w:val="22"/>
              <w:szCs w:val="22"/>
              <w:lang w:val="en-US"/>
            </w:rPr>
            <w:t>STAR: ultrafast universal RNA-seq aligner</w:t>
          </w:r>
          <w:r w:rsidR="001D3BF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Bioinformatics</w:t>
          </w:r>
          <w:r w:rsidRPr="0047217C">
            <w:rPr>
              <w:rFonts w:ascii="Arial" w:hAnsi="Arial" w:cs="Arial"/>
              <w:sz w:val="22"/>
              <w:szCs w:val="22"/>
              <w:lang w:val="en-US"/>
            </w:rPr>
            <w:t xml:space="preserve"> 29</w:t>
          </w:r>
          <w:r w:rsidR="001D3BF4" w:rsidRPr="0047217C">
            <w:rPr>
              <w:rFonts w:ascii="Arial" w:hAnsi="Arial" w:cs="Arial"/>
              <w:sz w:val="22"/>
              <w:szCs w:val="22"/>
              <w:lang w:val="en-US"/>
            </w:rPr>
            <w:t xml:space="preserve">, no. </w:t>
          </w:r>
          <w:r w:rsidRPr="0047217C">
            <w:rPr>
              <w:rFonts w:ascii="Arial" w:hAnsi="Arial" w:cs="Arial"/>
              <w:sz w:val="22"/>
              <w:szCs w:val="22"/>
              <w:lang w:val="en-US"/>
            </w:rPr>
            <w:t>1</w:t>
          </w:r>
          <w:r w:rsidR="001D3BF4" w:rsidRPr="0047217C">
            <w:rPr>
              <w:rFonts w:ascii="Arial" w:hAnsi="Arial" w:cs="Arial"/>
              <w:sz w:val="22"/>
              <w:szCs w:val="22"/>
              <w:lang w:val="en-US"/>
            </w:rPr>
            <w:t xml:space="preserve"> (2013)</w:t>
          </w:r>
          <w:r w:rsidRPr="0047217C">
            <w:rPr>
              <w:rFonts w:ascii="Arial" w:hAnsi="Arial" w:cs="Arial"/>
              <w:sz w:val="22"/>
              <w:szCs w:val="22"/>
              <w:lang w:val="en-US"/>
            </w:rPr>
            <w:t xml:space="preserve">:15-21. </w:t>
          </w:r>
        </w:p>
        <w:p w14:paraId="456C25B1" w14:textId="6ACB3559"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15. Boutz PL, Bhutkar A, Sharp PA. </w:t>
          </w:r>
          <w:r w:rsidR="007067A4" w:rsidRPr="0047217C">
            <w:rPr>
              <w:rFonts w:ascii="Arial" w:hAnsi="Arial" w:cs="Arial"/>
              <w:sz w:val="22"/>
              <w:szCs w:val="22"/>
              <w:lang w:val="en-US"/>
            </w:rPr>
            <w:t>“</w:t>
          </w:r>
          <w:r w:rsidRPr="0047217C">
            <w:rPr>
              <w:rFonts w:ascii="Arial" w:hAnsi="Arial" w:cs="Arial"/>
              <w:sz w:val="22"/>
              <w:szCs w:val="22"/>
              <w:lang w:val="en-US"/>
            </w:rPr>
            <w:t>Detained introns are a novel, widespread class of post-transcriptionally spliced introns</w:t>
          </w:r>
          <w:r w:rsidR="007067A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Gene Dev</w:t>
          </w:r>
          <w:r w:rsidRPr="0047217C">
            <w:rPr>
              <w:rFonts w:ascii="Arial" w:hAnsi="Arial" w:cs="Arial"/>
              <w:sz w:val="22"/>
              <w:szCs w:val="22"/>
              <w:lang w:val="en-US"/>
            </w:rPr>
            <w:t xml:space="preserve"> 29</w:t>
          </w:r>
          <w:r w:rsidR="007067A4" w:rsidRPr="0047217C">
            <w:rPr>
              <w:rFonts w:ascii="Arial" w:hAnsi="Arial" w:cs="Arial"/>
              <w:sz w:val="22"/>
              <w:szCs w:val="22"/>
              <w:lang w:val="en-US"/>
            </w:rPr>
            <w:t xml:space="preserve">, no. </w:t>
          </w:r>
          <w:r w:rsidRPr="0047217C">
            <w:rPr>
              <w:rFonts w:ascii="Arial" w:hAnsi="Arial" w:cs="Arial"/>
              <w:sz w:val="22"/>
              <w:szCs w:val="22"/>
              <w:lang w:val="en-US"/>
            </w:rPr>
            <w:t>1</w:t>
          </w:r>
          <w:r w:rsidR="007067A4" w:rsidRPr="0047217C">
            <w:rPr>
              <w:rFonts w:ascii="Arial" w:hAnsi="Arial" w:cs="Arial"/>
              <w:sz w:val="22"/>
              <w:szCs w:val="22"/>
              <w:lang w:val="en-US"/>
            </w:rPr>
            <w:t xml:space="preserve"> (2015)</w:t>
          </w:r>
          <w:r w:rsidRPr="0047217C">
            <w:rPr>
              <w:rFonts w:ascii="Arial" w:hAnsi="Arial" w:cs="Arial"/>
              <w:sz w:val="22"/>
              <w:szCs w:val="22"/>
              <w:lang w:val="en-US"/>
            </w:rPr>
            <w:t xml:space="preserve">:63-80. </w:t>
          </w:r>
        </w:p>
        <w:p w14:paraId="60EECB25" w14:textId="3D8BD650"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16. Quinlan AR, Hall IM. </w:t>
          </w:r>
          <w:r w:rsidR="007067A4" w:rsidRPr="0047217C">
            <w:rPr>
              <w:rFonts w:ascii="Arial" w:hAnsi="Arial" w:cs="Arial"/>
              <w:sz w:val="22"/>
              <w:szCs w:val="22"/>
              <w:lang w:val="en-US"/>
            </w:rPr>
            <w:t>“</w:t>
          </w:r>
          <w:proofErr w:type="spellStart"/>
          <w:r w:rsidRPr="0047217C">
            <w:rPr>
              <w:rFonts w:ascii="Arial" w:hAnsi="Arial" w:cs="Arial"/>
              <w:sz w:val="22"/>
              <w:szCs w:val="22"/>
              <w:lang w:val="en-US"/>
            </w:rPr>
            <w:t>BEDTools</w:t>
          </w:r>
          <w:proofErr w:type="spellEnd"/>
          <w:r w:rsidRPr="0047217C">
            <w:rPr>
              <w:rFonts w:ascii="Arial" w:hAnsi="Arial" w:cs="Arial"/>
              <w:sz w:val="22"/>
              <w:szCs w:val="22"/>
              <w:lang w:val="en-US"/>
            </w:rPr>
            <w:t>: a flexible suite of utilities for comparing genomic features</w:t>
          </w:r>
          <w:r w:rsidR="007067A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Bioinformatics</w:t>
          </w:r>
          <w:r w:rsidRPr="0047217C">
            <w:rPr>
              <w:rFonts w:ascii="Arial" w:hAnsi="Arial" w:cs="Arial"/>
              <w:sz w:val="22"/>
              <w:szCs w:val="22"/>
              <w:lang w:val="en-US"/>
            </w:rPr>
            <w:t xml:space="preserve"> 26</w:t>
          </w:r>
          <w:r w:rsidR="007067A4" w:rsidRPr="0047217C">
            <w:rPr>
              <w:rFonts w:ascii="Arial" w:hAnsi="Arial" w:cs="Arial"/>
              <w:sz w:val="22"/>
              <w:szCs w:val="22"/>
              <w:lang w:val="en-US"/>
            </w:rPr>
            <w:t xml:space="preserve">, no. </w:t>
          </w:r>
          <w:r w:rsidRPr="0047217C">
            <w:rPr>
              <w:rFonts w:ascii="Arial" w:hAnsi="Arial" w:cs="Arial"/>
              <w:sz w:val="22"/>
              <w:szCs w:val="22"/>
              <w:lang w:val="en-US"/>
            </w:rPr>
            <w:t>6</w:t>
          </w:r>
          <w:r w:rsidR="007067A4" w:rsidRPr="0047217C">
            <w:rPr>
              <w:rFonts w:ascii="Arial" w:hAnsi="Arial" w:cs="Arial"/>
              <w:sz w:val="22"/>
              <w:szCs w:val="22"/>
              <w:lang w:val="en-US"/>
            </w:rPr>
            <w:t xml:space="preserve"> (2010)</w:t>
          </w:r>
          <w:r w:rsidRPr="0047217C">
            <w:rPr>
              <w:rFonts w:ascii="Arial" w:hAnsi="Arial" w:cs="Arial"/>
              <w:sz w:val="22"/>
              <w:szCs w:val="22"/>
              <w:lang w:val="en-US"/>
            </w:rPr>
            <w:t>:</w:t>
          </w:r>
          <w:r w:rsidR="007067A4" w:rsidRPr="0047217C">
            <w:rPr>
              <w:rFonts w:ascii="Arial" w:hAnsi="Arial" w:cs="Arial"/>
              <w:sz w:val="22"/>
              <w:szCs w:val="22"/>
              <w:lang w:val="en-US"/>
            </w:rPr>
            <w:t xml:space="preserve"> </w:t>
          </w:r>
          <w:r w:rsidRPr="0047217C">
            <w:rPr>
              <w:rFonts w:ascii="Arial" w:hAnsi="Arial" w:cs="Arial"/>
              <w:sz w:val="22"/>
              <w:szCs w:val="22"/>
              <w:lang w:val="en-US"/>
            </w:rPr>
            <w:t>841-842.</w:t>
          </w:r>
        </w:p>
        <w:p w14:paraId="43F42E19" w14:textId="14A7C569"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17. Yates A, Akanni W, </w:t>
          </w:r>
          <w:proofErr w:type="spellStart"/>
          <w:r w:rsidRPr="0047217C">
            <w:rPr>
              <w:rFonts w:ascii="Arial" w:hAnsi="Arial" w:cs="Arial"/>
              <w:sz w:val="22"/>
              <w:szCs w:val="22"/>
              <w:lang w:val="en-US"/>
            </w:rPr>
            <w:t>Amode</w:t>
          </w:r>
          <w:proofErr w:type="spellEnd"/>
          <w:r w:rsidRPr="0047217C">
            <w:rPr>
              <w:rFonts w:ascii="Arial" w:hAnsi="Arial" w:cs="Arial"/>
              <w:sz w:val="22"/>
              <w:szCs w:val="22"/>
              <w:lang w:val="en-US"/>
            </w:rPr>
            <w:t xml:space="preserve"> MR, et al. </w:t>
          </w:r>
          <w:r w:rsidR="007067A4" w:rsidRPr="0047217C">
            <w:rPr>
              <w:rFonts w:ascii="Arial" w:hAnsi="Arial" w:cs="Arial"/>
              <w:sz w:val="22"/>
              <w:szCs w:val="22"/>
              <w:lang w:val="en-US"/>
            </w:rPr>
            <w:t>“</w:t>
          </w:r>
          <w:proofErr w:type="spellStart"/>
          <w:r w:rsidRPr="0047217C">
            <w:rPr>
              <w:rFonts w:ascii="Arial" w:hAnsi="Arial" w:cs="Arial"/>
              <w:sz w:val="22"/>
              <w:szCs w:val="22"/>
              <w:lang w:val="en-US"/>
            </w:rPr>
            <w:t>Ensembl</w:t>
          </w:r>
          <w:proofErr w:type="spellEnd"/>
          <w:r w:rsidRPr="0047217C">
            <w:rPr>
              <w:rFonts w:ascii="Arial" w:hAnsi="Arial" w:cs="Arial"/>
              <w:sz w:val="22"/>
              <w:szCs w:val="22"/>
              <w:lang w:val="en-US"/>
            </w:rPr>
            <w:t xml:space="preserve"> 2016</w:t>
          </w:r>
          <w:r w:rsidR="007067A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Nucleic Acids Res</w:t>
          </w:r>
          <w:r w:rsidRPr="0047217C">
            <w:rPr>
              <w:rFonts w:ascii="Arial" w:hAnsi="Arial" w:cs="Arial"/>
              <w:sz w:val="22"/>
              <w:szCs w:val="22"/>
              <w:lang w:val="en-US"/>
            </w:rPr>
            <w:t xml:space="preserve"> 44</w:t>
          </w:r>
          <w:r w:rsidR="007067A4" w:rsidRPr="0047217C">
            <w:rPr>
              <w:rFonts w:ascii="Arial" w:hAnsi="Arial" w:cs="Arial"/>
              <w:sz w:val="22"/>
              <w:szCs w:val="22"/>
              <w:lang w:val="en-US"/>
            </w:rPr>
            <w:t xml:space="preserve">, no. </w:t>
          </w:r>
          <w:r w:rsidRPr="0047217C">
            <w:rPr>
              <w:rFonts w:ascii="Arial" w:hAnsi="Arial" w:cs="Arial"/>
              <w:sz w:val="22"/>
              <w:szCs w:val="22"/>
              <w:lang w:val="en-US"/>
            </w:rPr>
            <w:t>D1</w:t>
          </w:r>
          <w:r w:rsidR="007067A4" w:rsidRPr="0047217C">
            <w:rPr>
              <w:rFonts w:ascii="Arial" w:hAnsi="Arial" w:cs="Arial"/>
              <w:sz w:val="22"/>
              <w:szCs w:val="22"/>
              <w:lang w:val="en-US"/>
            </w:rPr>
            <w:t xml:space="preserve"> (2016</w:t>
          </w:r>
          <w:proofErr w:type="gramStart"/>
          <w:r w:rsidR="007067A4" w:rsidRPr="0047217C">
            <w:rPr>
              <w:rFonts w:ascii="Arial" w:hAnsi="Arial" w:cs="Arial"/>
              <w:sz w:val="22"/>
              <w:szCs w:val="22"/>
              <w:lang w:val="en-US"/>
            </w:rPr>
            <w:t>)</w:t>
          </w:r>
          <w:r w:rsidRPr="0047217C">
            <w:rPr>
              <w:rFonts w:ascii="Arial" w:hAnsi="Arial" w:cs="Arial"/>
              <w:sz w:val="22"/>
              <w:szCs w:val="22"/>
              <w:lang w:val="en-US"/>
            </w:rPr>
            <w:t>:D</w:t>
          </w:r>
          <w:proofErr w:type="gramEnd"/>
          <w:r w:rsidRPr="0047217C">
            <w:rPr>
              <w:rFonts w:ascii="Arial" w:hAnsi="Arial" w:cs="Arial"/>
              <w:sz w:val="22"/>
              <w:szCs w:val="22"/>
              <w:lang w:val="en-US"/>
            </w:rPr>
            <w:t xml:space="preserve">710-D716. </w:t>
          </w:r>
        </w:p>
        <w:p w14:paraId="09993EE4" w14:textId="79867733"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18. Harrow J, Frankish A, Gonzalez JM, et al. </w:t>
          </w:r>
          <w:r w:rsidR="007067A4" w:rsidRPr="0047217C">
            <w:rPr>
              <w:rFonts w:ascii="Arial" w:hAnsi="Arial" w:cs="Arial"/>
              <w:sz w:val="22"/>
              <w:szCs w:val="22"/>
              <w:lang w:val="en-US"/>
            </w:rPr>
            <w:t>“</w:t>
          </w:r>
          <w:r w:rsidRPr="0047217C">
            <w:rPr>
              <w:rFonts w:ascii="Arial" w:hAnsi="Arial" w:cs="Arial"/>
              <w:sz w:val="22"/>
              <w:szCs w:val="22"/>
              <w:lang w:val="en-US"/>
            </w:rPr>
            <w:t>GENCODE: The reference human genome annotation for The ENCODE Project</w:t>
          </w:r>
          <w:r w:rsidR="007067A4"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Genome Res</w:t>
          </w:r>
          <w:r w:rsidRPr="0047217C">
            <w:rPr>
              <w:rFonts w:ascii="Arial" w:hAnsi="Arial" w:cs="Arial"/>
              <w:sz w:val="22"/>
              <w:szCs w:val="22"/>
              <w:lang w:val="en-US"/>
            </w:rPr>
            <w:t xml:space="preserve"> 22</w:t>
          </w:r>
          <w:r w:rsidR="007067A4" w:rsidRPr="0047217C">
            <w:rPr>
              <w:rFonts w:ascii="Arial" w:hAnsi="Arial" w:cs="Arial"/>
              <w:sz w:val="22"/>
              <w:szCs w:val="22"/>
              <w:lang w:val="en-US"/>
            </w:rPr>
            <w:t xml:space="preserve">, no. </w:t>
          </w:r>
          <w:r w:rsidRPr="0047217C">
            <w:rPr>
              <w:rFonts w:ascii="Arial" w:hAnsi="Arial" w:cs="Arial"/>
              <w:sz w:val="22"/>
              <w:szCs w:val="22"/>
              <w:lang w:val="en-US"/>
            </w:rPr>
            <w:t>9</w:t>
          </w:r>
          <w:r w:rsidR="007067A4" w:rsidRPr="0047217C">
            <w:rPr>
              <w:rFonts w:ascii="Arial" w:hAnsi="Arial" w:cs="Arial"/>
              <w:sz w:val="22"/>
              <w:szCs w:val="22"/>
              <w:lang w:val="en-US"/>
            </w:rPr>
            <w:t xml:space="preserve"> (2012)</w:t>
          </w:r>
          <w:r w:rsidRPr="0047217C">
            <w:rPr>
              <w:rFonts w:ascii="Arial" w:hAnsi="Arial" w:cs="Arial"/>
              <w:sz w:val="22"/>
              <w:szCs w:val="22"/>
              <w:lang w:val="en-US"/>
            </w:rPr>
            <w:t xml:space="preserve">:1760-1774. </w:t>
          </w:r>
        </w:p>
        <w:p w14:paraId="570E6115" w14:textId="608A6C3E"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19. Anders S, Huber W. </w:t>
          </w:r>
          <w:r w:rsidR="00675079" w:rsidRPr="0047217C">
            <w:rPr>
              <w:rFonts w:ascii="Arial" w:hAnsi="Arial" w:cs="Arial"/>
              <w:sz w:val="22"/>
              <w:szCs w:val="22"/>
              <w:lang w:val="en-US"/>
            </w:rPr>
            <w:t>“</w:t>
          </w:r>
          <w:r w:rsidRPr="0047217C">
            <w:rPr>
              <w:rFonts w:ascii="Arial" w:hAnsi="Arial" w:cs="Arial"/>
              <w:sz w:val="22"/>
              <w:szCs w:val="22"/>
              <w:lang w:val="en-US"/>
            </w:rPr>
            <w:t>Differential expression analysis for sequence count data</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Genome Biol</w:t>
          </w:r>
          <w:r w:rsidRPr="0047217C">
            <w:rPr>
              <w:rFonts w:ascii="Arial" w:hAnsi="Arial" w:cs="Arial"/>
              <w:sz w:val="22"/>
              <w:szCs w:val="22"/>
              <w:lang w:val="en-US"/>
            </w:rPr>
            <w:t xml:space="preserve"> 11</w:t>
          </w:r>
          <w:r w:rsidR="00675079" w:rsidRPr="0047217C">
            <w:rPr>
              <w:rFonts w:ascii="Arial" w:hAnsi="Arial" w:cs="Arial"/>
              <w:sz w:val="22"/>
              <w:szCs w:val="22"/>
              <w:lang w:val="en-US"/>
            </w:rPr>
            <w:t xml:space="preserve">, no. </w:t>
          </w:r>
          <w:r w:rsidRPr="0047217C">
            <w:rPr>
              <w:rFonts w:ascii="Arial" w:hAnsi="Arial" w:cs="Arial"/>
              <w:sz w:val="22"/>
              <w:szCs w:val="22"/>
              <w:lang w:val="en-US"/>
            </w:rPr>
            <w:t>10</w:t>
          </w:r>
          <w:r w:rsidR="00675079" w:rsidRPr="0047217C">
            <w:rPr>
              <w:rFonts w:ascii="Arial" w:hAnsi="Arial" w:cs="Arial"/>
              <w:sz w:val="22"/>
              <w:szCs w:val="22"/>
              <w:lang w:val="en-US"/>
            </w:rPr>
            <w:t xml:space="preserve"> (2010</w:t>
          </w:r>
          <w:proofErr w:type="gramStart"/>
          <w:r w:rsidR="00675079" w:rsidRPr="0047217C">
            <w:rPr>
              <w:rFonts w:ascii="Arial" w:hAnsi="Arial" w:cs="Arial"/>
              <w:sz w:val="22"/>
              <w:szCs w:val="22"/>
              <w:lang w:val="en-US"/>
            </w:rPr>
            <w:t>)</w:t>
          </w:r>
          <w:r w:rsidRPr="0047217C">
            <w:rPr>
              <w:rFonts w:ascii="Arial" w:hAnsi="Arial" w:cs="Arial"/>
              <w:sz w:val="22"/>
              <w:szCs w:val="22"/>
              <w:lang w:val="en-US"/>
            </w:rPr>
            <w:t>:R</w:t>
          </w:r>
          <w:proofErr w:type="gramEnd"/>
          <w:r w:rsidRPr="0047217C">
            <w:rPr>
              <w:rFonts w:ascii="Arial" w:hAnsi="Arial" w:cs="Arial"/>
              <w:sz w:val="22"/>
              <w:szCs w:val="22"/>
              <w:lang w:val="en-US"/>
            </w:rPr>
            <w:t xml:space="preserve">106. </w:t>
          </w:r>
        </w:p>
        <w:p w14:paraId="5DAF3B91" w14:textId="465A1128"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20. Anders S, Reyes A, Huber W. </w:t>
          </w:r>
          <w:r w:rsidR="00675079" w:rsidRPr="0047217C">
            <w:rPr>
              <w:rFonts w:ascii="Arial" w:hAnsi="Arial" w:cs="Arial"/>
              <w:sz w:val="22"/>
              <w:szCs w:val="22"/>
              <w:lang w:val="en-US"/>
            </w:rPr>
            <w:t>“</w:t>
          </w:r>
          <w:r w:rsidRPr="0047217C">
            <w:rPr>
              <w:rFonts w:ascii="Arial" w:hAnsi="Arial" w:cs="Arial"/>
              <w:sz w:val="22"/>
              <w:szCs w:val="22"/>
              <w:lang w:val="en-US"/>
            </w:rPr>
            <w:t>Detecting differential usage of exons from RNA-seq data</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Genome Res</w:t>
          </w:r>
          <w:r w:rsidRPr="0047217C">
            <w:rPr>
              <w:rFonts w:ascii="Arial" w:hAnsi="Arial" w:cs="Arial"/>
              <w:sz w:val="22"/>
              <w:szCs w:val="22"/>
              <w:lang w:val="en-US"/>
            </w:rPr>
            <w:t xml:space="preserve"> 22</w:t>
          </w:r>
          <w:r w:rsidR="00675079" w:rsidRPr="0047217C">
            <w:rPr>
              <w:rFonts w:ascii="Arial" w:hAnsi="Arial" w:cs="Arial"/>
              <w:sz w:val="22"/>
              <w:szCs w:val="22"/>
              <w:lang w:val="en-US"/>
            </w:rPr>
            <w:t xml:space="preserve">, no. </w:t>
          </w:r>
          <w:r w:rsidRPr="0047217C">
            <w:rPr>
              <w:rFonts w:ascii="Arial" w:hAnsi="Arial" w:cs="Arial"/>
              <w:sz w:val="22"/>
              <w:szCs w:val="22"/>
              <w:lang w:val="en-US"/>
            </w:rPr>
            <w:t>10</w:t>
          </w:r>
          <w:r w:rsidR="00675079" w:rsidRPr="0047217C">
            <w:rPr>
              <w:rFonts w:ascii="Arial" w:hAnsi="Arial" w:cs="Arial"/>
              <w:sz w:val="22"/>
              <w:szCs w:val="22"/>
              <w:lang w:val="en-US"/>
            </w:rPr>
            <w:t xml:space="preserve"> (2012)</w:t>
          </w:r>
          <w:r w:rsidRPr="0047217C">
            <w:rPr>
              <w:rFonts w:ascii="Arial" w:hAnsi="Arial" w:cs="Arial"/>
              <w:sz w:val="22"/>
              <w:szCs w:val="22"/>
              <w:lang w:val="en-US"/>
            </w:rPr>
            <w:t>:2008-2017.</w:t>
          </w:r>
        </w:p>
        <w:p w14:paraId="268D1AD2" w14:textId="69D60692"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21. Park JW, Tokheim C, Shen S, Xing Y. </w:t>
          </w:r>
          <w:r w:rsidR="00675079" w:rsidRPr="0047217C">
            <w:rPr>
              <w:rFonts w:ascii="Arial" w:hAnsi="Arial" w:cs="Arial"/>
              <w:sz w:val="22"/>
              <w:szCs w:val="22"/>
              <w:lang w:val="en-US"/>
            </w:rPr>
            <w:t>“</w:t>
          </w:r>
          <w:r w:rsidRPr="0047217C">
            <w:rPr>
              <w:rFonts w:ascii="Arial" w:hAnsi="Arial" w:cs="Arial"/>
              <w:sz w:val="22"/>
              <w:szCs w:val="22"/>
              <w:lang w:val="en-US"/>
            </w:rPr>
            <w:t>Deep Sequencing Data Analysis</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Methods Mol Biology</w:t>
          </w:r>
          <w:r w:rsidRPr="0047217C">
            <w:rPr>
              <w:rFonts w:ascii="Arial" w:hAnsi="Arial" w:cs="Arial"/>
              <w:sz w:val="22"/>
              <w:szCs w:val="22"/>
              <w:lang w:val="en-US"/>
            </w:rPr>
            <w:t xml:space="preserve"> 1038</w:t>
          </w:r>
          <w:r w:rsidR="00675079" w:rsidRPr="0047217C">
            <w:rPr>
              <w:rFonts w:ascii="Arial" w:hAnsi="Arial" w:cs="Arial"/>
              <w:sz w:val="22"/>
              <w:szCs w:val="22"/>
              <w:lang w:val="en-US"/>
            </w:rPr>
            <w:t>, (2013)</w:t>
          </w:r>
          <w:r w:rsidRPr="0047217C">
            <w:rPr>
              <w:rFonts w:ascii="Arial" w:hAnsi="Arial" w:cs="Arial"/>
              <w:sz w:val="22"/>
              <w:szCs w:val="22"/>
              <w:lang w:val="en-US"/>
            </w:rPr>
            <w:t xml:space="preserve">:171-179. </w:t>
          </w:r>
        </w:p>
        <w:p w14:paraId="0E4AA868" w14:textId="3515C9D4"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22. Liao Y, Smyth GK, Shi W. </w:t>
          </w:r>
          <w:r w:rsidR="00675079" w:rsidRPr="0047217C">
            <w:rPr>
              <w:rFonts w:ascii="Arial" w:hAnsi="Arial" w:cs="Arial"/>
              <w:sz w:val="22"/>
              <w:szCs w:val="22"/>
              <w:lang w:val="en-US"/>
            </w:rPr>
            <w:t>“</w:t>
          </w:r>
          <w:r w:rsidRPr="0047217C">
            <w:rPr>
              <w:rFonts w:ascii="Arial" w:hAnsi="Arial" w:cs="Arial"/>
              <w:sz w:val="22"/>
              <w:szCs w:val="22"/>
              <w:lang w:val="en-US"/>
            </w:rPr>
            <w:t>The Subread aligner: fast, accurate and scalable read mapping by seed-and-vote</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Nucleic Acids Res</w:t>
          </w:r>
          <w:r w:rsidRPr="0047217C">
            <w:rPr>
              <w:rFonts w:ascii="Arial" w:hAnsi="Arial" w:cs="Arial"/>
              <w:sz w:val="22"/>
              <w:szCs w:val="22"/>
              <w:lang w:val="en-US"/>
            </w:rPr>
            <w:t xml:space="preserve"> 41</w:t>
          </w:r>
          <w:r w:rsidR="00675079" w:rsidRPr="0047217C">
            <w:rPr>
              <w:rFonts w:ascii="Arial" w:hAnsi="Arial" w:cs="Arial"/>
              <w:sz w:val="22"/>
              <w:szCs w:val="22"/>
              <w:lang w:val="en-US"/>
            </w:rPr>
            <w:t>, no.</w:t>
          </w:r>
          <w:r w:rsidRPr="0047217C">
            <w:rPr>
              <w:rFonts w:ascii="Arial" w:hAnsi="Arial" w:cs="Arial"/>
              <w:sz w:val="22"/>
              <w:szCs w:val="22"/>
              <w:lang w:val="en-US"/>
            </w:rPr>
            <w:t>10</w:t>
          </w:r>
          <w:r w:rsidR="00675079" w:rsidRPr="0047217C">
            <w:rPr>
              <w:rFonts w:ascii="Arial" w:hAnsi="Arial" w:cs="Arial"/>
              <w:sz w:val="22"/>
              <w:szCs w:val="22"/>
              <w:lang w:val="en-US"/>
            </w:rPr>
            <w:t xml:space="preserve"> (2013</w:t>
          </w:r>
          <w:proofErr w:type="gramStart"/>
          <w:r w:rsidR="00675079" w:rsidRPr="0047217C">
            <w:rPr>
              <w:rFonts w:ascii="Arial" w:hAnsi="Arial" w:cs="Arial"/>
              <w:sz w:val="22"/>
              <w:szCs w:val="22"/>
              <w:lang w:val="en-US"/>
            </w:rPr>
            <w:t>)</w:t>
          </w:r>
          <w:r w:rsidRPr="0047217C">
            <w:rPr>
              <w:rFonts w:ascii="Arial" w:hAnsi="Arial" w:cs="Arial"/>
              <w:sz w:val="22"/>
              <w:szCs w:val="22"/>
              <w:lang w:val="en-US"/>
            </w:rPr>
            <w:t>:e</w:t>
          </w:r>
          <w:proofErr w:type="gramEnd"/>
          <w:r w:rsidRPr="0047217C">
            <w:rPr>
              <w:rFonts w:ascii="Arial" w:hAnsi="Arial" w:cs="Arial"/>
              <w:sz w:val="22"/>
              <w:szCs w:val="22"/>
              <w:lang w:val="en-US"/>
            </w:rPr>
            <w:t>108-e108.</w:t>
          </w:r>
        </w:p>
        <w:p w14:paraId="612B6782" w14:textId="40607FBC"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lastRenderedPageBreak/>
            <w:t xml:space="preserve">23. Madsen JGS, Schmidt SF, Larsen BD, Loft A, Nielsen R, Mandrup S. </w:t>
          </w:r>
          <w:r w:rsidR="00675079" w:rsidRPr="0047217C">
            <w:rPr>
              <w:rFonts w:ascii="Arial" w:hAnsi="Arial" w:cs="Arial"/>
              <w:sz w:val="22"/>
              <w:szCs w:val="22"/>
              <w:lang w:val="en-US"/>
            </w:rPr>
            <w:t>“</w:t>
          </w:r>
          <w:proofErr w:type="spellStart"/>
          <w:r w:rsidRPr="0047217C">
            <w:rPr>
              <w:rFonts w:ascii="Arial" w:hAnsi="Arial" w:cs="Arial"/>
              <w:sz w:val="22"/>
              <w:szCs w:val="22"/>
              <w:lang w:val="en-US"/>
            </w:rPr>
            <w:t>iRNA</w:t>
          </w:r>
          <w:proofErr w:type="spellEnd"/>
          <w:r w:rsidRPr="0047217C">
            <w:rPr>
              <w:rFonts w:ascii="Arial" w:hAnsi="Arial" w:cs="Arial"/>
              <w:sz w:val="22"/>
              <w:szCs w:val="22"/>
              <w:lang w:val="en-US"/>
            </w:rPr>
            <w:t>-seq: computational method for genome-wide assessment of acute transcriptional regulation from total RNA-seq data</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Nucleic Acids Res</w:t>
          </w:r>
          <w:r w:rsidRPr="0047217C">
            <w:rPr>
              <w:rFonts w:ascii="Arial" w:hAnsi="Arial" w:cs="Arial"/>
              <w:sz w:val="22"/>
              <w:szCs w:val="22"/>
              <w:lang w:val="en-US"/>
            </w:rPr>
            <w:t xml:space="preserve"> 43</w:t>
          </w:r>
          <w:r w:rsidR="00675079" w:rsidRPr="0047217C">
            <w:rPr>
              <w:rFonts w:ascii="Arial" w:hAnsi="Arial" w:cs="Arial"/>
              <w:sz w:val="22"/>
              <w:szCs w:val="22"/>
              <w:lang w:val="en-US"/>
            </w:rPr>
            <w:t xml:space="preserve">, no. </w:t>
          </w:r>
          <w:r w:rsidRPr="0047217C">
            <w:rPr>
              <w:rFonts w:ascii="Arial" w:hAnsi="Arial" w:cs="Arial"/>
              <w:sz w:val="22"/>
              <w:szCs w:val="22"/>
              <w:lang w:val="en-US"/>
            </w:rPr>
            <w:t>6</w:t>
          </w:r>
          <w:r w:rsidR="00675079" w:rsidRPr="0047217C">
            <w:rPr>
              <w:rFonts w:ascii="Arial" w:hAnsi="Arial" w:cs="Arial"/>
              <w:sz w:val="22"/>
              <w:szCs w:val="22"/>
              <w:lang w:val="en-US"/>
            </w:rPr>
            <w:t xml:space="preserve"> (2015)</w:t>
          </w:r>
          <w:r w:rsidRPr="0047217C">
            <w:rPr>
              <w:rFonts w:ascii="Arial" w:hAnsi="Arial" w:cs="Arial"/>
              <w:sz w:val="22"/>
              <w:szCs w:val="22"/>
              <w:lang w:val="en-US"/>
            </w:rPr>
            <w:t>:</w:t>
          </w:r>
          <w:r w:rsidR="00675079" w:rsidRPr="0047217C">
            <w:rPr>
              <w:rFonts w:ascii="Arial" w:hAnsi="Arial" w:cs="Arial"/>
              <w:sz w:val="22"/>
              <w:szCs w:val="22"/>
              <w:lang w:val="en-US"/>
            </w:rPr>
            <w:t xml:space="preserve"> </w:t>
          </w:r>
          <w:r w:rsidRPr="0047217C">
            <w:rPr>
              <w:rFonts w:ascii="Arial" w:hAnsi="Arial" w:cs="Arial"/>
              <w:sz w:val="22"/>
              <w:szCs w:val="22"/>
              <w:lang w:val="en-US"/>
            </w:rPr>
            <w:t xml:space="preserve">e40-e40. </w:t>
          </w:r>
        </w:p>
        <w:p w14:paraId="592EDC3D" w14:textId="08223FA3"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24. Huang KL, Jee D, Stein CB, et al. </w:t>
          </w:r>
          <w:r w:rsidR="00675079" w:rsidRPr="0047217C">
            <w:rPr>
              <w:rFonts w:ascii="Arial" w:hAnsi="Arial" w:cs="Arial"/>
              <w:sz w:val="22"/>
              <w:szCs w:val="22"/>
              <w:lang w:val="en-US"/>
            </w:rPr>
            <w:t>“</w:t>
          </w:r>
          <w:r w:rsidRPr="0047217C">
            <w:rPr>
              <w:rFonts w:ascii="Arial" w:hAnsi="Arial" w:cs="Arial"/>
              <w:sz w:val="22"/>
              <w:szCs w:val="22"/>
              <w:lang w:val="en-US"/>
            </w:rPr>
            <w:t>Integrator Recruits Protein Phosphatase 2A to Prevent Pause Release and Facilitate Transcription Termination</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Mol Cell</w:t>
          </w:r>
          <w:r w:rsidRPr="0047217C">
            <w:rPr>
              <w:rFonts w:ascii="Arial" w:hAnsi="Arial" w:cs="Arial"/>
              <w:sz w:val="22"/>
              <w:szCs w:val="22"/>
              <w:lang w:val="en-US"/>
            </w:rPr>
            <w:t xml:space="preserve"> 80</w:t>
          </w:r>
          <w:r w:rsidR="00675079" w:rsidRPr="0047217C">
            <w:rPr>
              <w:rFonts w:ascii="Arial" w:hAnsi="Arial" w:cs="Arial"/>
              <w:sz w:val="22"/>
              <w:szCs w:val="22"/>
              <w:lang w:val="en-US"/>
            </w:rPr>
            <w:t xml:space="preserve">, no. </w:t>
          </w:r>
          <w:r w:rsidRPr="0047217C">
            <w:rPr>
              <w:rFonts w:ascii="Arial" w:hAnsi="Arial" w:cs="Arial"/>
              <w:sz w:val="22"/>
              <w:szCs w:val="22"/>
              <w:lang w:val="en-US"/>
            </w:rPr>
            <w:t>2</w:t>
          </w:r>
          <w:r w:rsidR="00675079" w:rsidRPr="0047217C">
            <w:rPr>
              <w:rFonts w:ascii="Arial" w:hAnsi="Arial" w:cs="Arial"/>
              <w:sz w:val="22"/>
              <w:szCs w:val="22"/>
              <w:lang w:val="en-US"/>
            </w:rPr>
            <w:t xml:space="preserve"> (2020)</w:t>
          </w:r>
          <w:r w:rsidRPr="0047217C">
            <w:rPr>
              <w:rFonts w:ascii="Arial" w:hAnsi="Arial" w:cs="Arial"/>
              <w:sz w:val="22"/>
              <w:szCs w:val="22"/>
              <w:lang w:val="en-US"/>
            </w:rPr>
            <w:t>:</w:t>
          </w:r>
          <w:r w:rsidR="00675079" w:rsidRPr="0047217C">
            <w:rPr>
              <w:rFonts w:ascii="Arial" w:hAnsi="Arial" w:cs="Arial"/>
              <w:sz w:val="22"/>
              <w:szCs w:val="22"/>
              <w:lang w:val="en-US"/>
            </w:rPr>
            <w:t xml:space="preserve"> </w:t>
          </w:r>
          <w:r w:rsidRPr="0047217C">
            <w:rPr>
              <w:rFonts w:ascii="Arial" w:hAnsi="Arial" w:cs="Arial"/>
              <w:sz w:val="22"/>
              <w:szCs w:val="22"/>
              <w:lang w:val="en-US"/>
            </w:rPr>
            <w:t>345-358.e9.</w:t>
          </w:r>
        </w:p>
        <w:p w14:paraId="75C3ED38" w14:textId="77FF0054"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25. Schneeweis C, </w:t>
          </w:r>
          <w:proofErr w:type="spellStart"/>
          <w:r w:rsidRPr="0047217C">
            <w:rPr>
              <w:rFonts w:ascii="Arial" w:hAnsi="Arial" w:cs="Arial"/>
              <w:sz w:val="22"/>
              <w:szCs w:val="22"/>
              <w:lang w:val="en-US"/>
            </w:rPr>
            <w:t>Diersch</w:t>
          </w:r>
          <w:proofErr w:type="spellEnd"/>
          <w:r w:rsidRPr="0047217C">
            <w:rPr>
              <w:rFonts w:ascii="Arial" w:hAnsi="Arial" w:cs="Arial"/>
              <w:sz w:val="22"/>
              <w:szCs w:val="22"/>
              <w:lang w:val="en-US"/>
            </w:rPr>
            <w:t xml:space="preserve"> S, Hassan Z, et al. </w:t>
          </w:r>
          <w:r w:rsidR="00675079" w:rsidRPr="0047217C">
            <w:rPr>
              <w:rFonts w:ascii="Arial" w:hAnsi="Arial" w:cs="Arial"/>
              <w:sz w:val="22"/>
              <w:szCs w:val="22"/>
              <w:lang w:val="en-US"/>
            </w:rPr>
            <w:t>“</w:t>
          </w:r>
          <w:r w:rsidRPr="0047217C">
            <w:rPr>
              <w:rFonts w:ascii="Arial" w:hAnsi="Arial" w:cs="Arial"/>
              <w:sz w:val="22"/>
              <w:szCs w:val="22"/>
              <w:lang w:val="en-US"/>
            </w:rPr>
            <w:t>AP1/Fra1 confers resistance to MAPK cascade inhibition in pancreatic cancer</w:t>
          </w:r>
          <w:r w:rsidR="00675079" w:rsidRPr="0047217C">
            <w:rPr>
              <w:rFonts w:ascii="Arial" w:hAnsi="Arial" w:cs="Arial"/>
              <w:sz w:val="22"/>
              <w:szCs w:val="22"/>
              <w:lang w:val="en-US"/>
            </w:rPr>
            <w:t xml:space="preserve">,” </w:t>
          </w:r>
          <w:r w:rsidRPr="0047217C">
            <w:rPr>
              <w:rFonts w:ascii="Arial" w:hAnsi="Arial" w:cs="Arial"/>
              <w:i/>
              <w:iCs/>
              <w:sz w:val="22"/>
              <w:szCs w:val="22"/>
              <w:lang w:val="en-US"/>
            </w:rPr>
            <w:t>Cell Mol Life Sci</w:t>
          </w:r>
          <w:r w:rsidRPr="0047217C">
            <w:rPr>
              <w:rFonts w:ascii="Arial" w:hAnsi="Arial" w:cs="Arial"/>
              <w:sz w:val="22"/>
              <w:szCs w:val="22"/>
              <w:lang w:val="en-US"/>
            </w:rPr>
            <w:t xml:space="preserve"> 80</w:t>
          </w:r>
          <w:r w:rsidR="00675079" w:rsidRPr="0047217C">
            <w:rPr>
              <w:rFonts w:ascii="Arial" w:hAnsi="Arial" w:cs="Arial"/>
              <w:sz w:val="22"/>
              <w:szCs w:val="22"/>
              <w:lang w:val="en-US"/>
            </w:rPr>
            <w:t xml:space="preserve">, no. </w:t>
          </w:r>
          <w:r w:rsidRPr="0047217C">
            <w:rPr>
              <w:rFonts w:ascii="Arial" w:hAnsi="Arial" w:cs="Arial"/>
              <w:sz w:val="22"/>
              <w:szCs w:val="22"/>
              <w:lang w:val="en-US"/>
            </w:rPr>
            <w:t>1</w:t>
          </w:r>
          <w:r w:rsidR="00675079" w:rsidRPr="0047217C">
            <w:rPr>
              <w:rFonts w:ascii="Arial" w:hAnsi="Arial" w:cs="Arial"/>
              <w:sz w:val="22"/>
              <w:szCs w:val="22"/>
              <w:lang w:val="en-US"/>
            </w:rPr>
            <w:t xml:space="preserve"> (2023)</w:t>
          </w:r>
          <w:r w:rsidRPr="0047217C">
            <w:rPr>
              <w:rFonts w:ascii="Arial" w:hAnsi="Arial" w:cs="Arial"/>
              <w:sz w:val="22"/>
              <w:szCs w:val="22"/>
              <w:lang w:val="en-US"/>
            </w:rPr>
            <w:t xml:space="preserve">:12. </w:t>
          </w:r>
        </w:p>
        <w:p w14:paraId="78706E1C" w14:textId="50FF1CDC"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26. Schneider CA, Rasband WS, </w:t>
          </w:r>
          <w:proofErr w:type="spellStart"/>
          <w:r w:rsidRPr="0047217C">
            <w:rPr>
              <w:rFonts w:ascii="Arial" w:hAnsi="Arial" w:cs="Arial"/>
              <w:sz w:val="22"/>
              <w:szCs w:val="22"/>
              <w:lang w:val="en-US"/>
            </w:rPr>
            <w:t>Eliceiri</w:t>
          </w:r>
          <w:proofErr w:type="spellEnd"/>
          <w:r w:rsidRPr="0047217C">
            <w:rPr>
              <w:rFonts w:ascii="Arial" w:hAnsi="Arial" w:cs="Arial"/>
              <w:sz w:val="22"/>
              <w:szCs w:val="22"/>
              <w:lang w:val="en-US"/>
            </w:rPr>
            <w:t xml:space="preserve"> KW. </w:t>
          </w:r>
          <w:r w:rsidR="00675079" w:rsidRPr="0047217C">
            <w:rPr>
              <w:rFonts w:ascii="Arial" w:hAnsi="Arial" w:cs="Arial"/>
              <w:sz w:val="22"/>
              <w:szCs w:val="22"/>
              <w:lang w:val="en-US"/>
            </w:rPr>
            <w:t>“</w:t>
          </w:r>
          <w:r w:rsidRPr="0047217C">
            <w:rPr>
              <w:rFonts w:ascii="Arial" w:hAnsi="Arial" w:cs="Arial"/>
              <w:sz w:val="22"/>
              <w:szCs w:val="22"/>
              <w:lang w:val="en-US"/>
            </w:rPr>
            <w:t>NIH Image to ImageJ: 25 years of image analysis</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Nat Methods</w:t>
          </w:r>
          <w:r w:rsidR="00675079" w:rsidRPr="0047217C">
            <w:rPr>
              <w:rFonts w:ascii="Arial" w:hAnsi="Arial" w:cs="Arial"/>
              <w:sz w:val="22"/>
              <w:szCs w:val="22"/>
              <w:lang w:val="en-US"/>
            </w:rPr>
            <w:t xml:space="preserve"> </w:t>
          </w:r>
          <w:r w:rsidRPr="0047217C">
            <w:rPr>
              <w:rFonts w:ascii="Arial" w:hAnsi="Arial" w:cs="Arial"/>
              <w:sz w:val="22"/>
              <w:szCs w:val="22"/>
              <w:lang w:val="en-US"/>
            </w:rPr>
            <w:t>9</w:t>
          </w:r>
          <w:r w:rsidR="00675079" w:rsidRPr="0047217C">
            <w:rPr>
              <w:rFonts w:ascii="Arial" w:hAnsi="Arial" w:cs="Arial"/>
              <w:sz w:val="22"/>
              <w:szCs w:val="22"/>
              <w:lang w:val="en-US"/>
            </w:rPr>
            <w:t xml:space="preserve">, no. </w:t>
          </w:r>
          <w:r w:rsidRPr="0047217C">
            <w:rPr>
              <w:rFonts w:ascii="Arial" w:hAnsi="Arial" w:cs="Arial"/>
              <w:sz w:val="22"/>
              <w:szCs w:val="22"/>
              <w:lang w:val="en-US"/>
            </w:rPr>
            <w:t>7</w:t>
          </w:r>
          <w:r w:rsidR="00675079" w:rsidRPr="0047217C">
            <w:rPr>
              <w:rFonts w:ascii="Arial" w:hAnsi="Arial" w:cs="Arial"/>
              <w:sz w:val="22"/>
              <w:szCs w:val="22"/>
              <w:lang w:val="en-US"/>
            </w:rPr>
            <w:t xml:space="preserve"> (2012)</w:t>
          </w:r>
          <w:r w:rsidRPr="0047217C">
            <w:rPr>
              <w:rFonts w:ascii="Arial" w:hAnsi="Arial" w:cs="Arial"/>
              <w:sz w:val="22"/>
              <w:szCs w:val="22"/>
              <w:lang w:val="en-US"/>
            </w:rPr>
            <w:t xml:space="preserve">:671-675. </w:t>
          </w:r>
        </w:p>
        <w:p w14:paraId="0C3D1040" w14:textId="1A3EB641"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27. Behan FM, Iorio F, Picco G, et al. </w:t>
          </w:r>
          <w:r w:rsidR="00675079" w:rsidRPr="0047217C">
            <w:rPr>
              <w:rFonts w:ascii="Arial" w:hAnsi="Arial" w:cs="Arial"/>
              <w:sz w:val="22"/>
              <w:szCs w:val="22"/>
              <w:lang w:val="en-US"/>
            </w:rPr>
            <w:t>“</w:t>
          </w:r>
          <w:r w:rsidRPr="0047217C">
            <w:rPr>
              <w:rFonts w:ascii="Arial" w:hAnsi="Arial" w:cs="Arial"/>
              <w:sz w:val="22"/>
              <w:szCs w:val="22"/>
              <w:lang w:val="en-US"/>
            </w:rPr>
            <w:t>Prioritization of cancer therapeutic targets using CRISPR–Cas9 screens</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Nature</w:t>
          </w:r>
          <w:r w:rsidRPr="0047217C">
            <w:rPr>
              <w:rFonts w:ascii="Arial" w:hAnsi="Arial" w:cs="Arial"/>
              <w:sz w:val="22"/>
              <w:szCs w:val="22"/>
              <w:lang w:val="en-US"/>
            </w:rPr>
            <w:t>. 568</w:t>
          </w:r>
          <w:r w:rsidR="00675079" w:rsidRPr="0047217C">
            <w:rPr>
              <w:rFonts w:ascii="Arial" w:hAnsi="Arial" w:cs="Arial"/>
              <w:sz w:val="22"/>
              <w:szCs w:val="22"/>
              <w:lang w:val="en-US"/>
            </w:rPr>
            <w:t xml:space="preserve">, no. </w:t>
          </w:r>
          <w:r w:rsidRPr="0047217C">
            <w:rPr>
              <w:rFonts w:ascii="Arial" w:hAnsi="Arial" w:cs="Arial"/>
              <w:sz w:val="22"/>
              <w:szCs w:val="22"/>
              <w:lang w:val="en-US"/>
            </w:rPr>
            <w:t>7753</w:t>
          </w:r>
          <w:r w:rsidR="00675079" w:rsidRPr="0047217C">
            <w:rPr>
              <w:rFonts w:ascii="Arial" w:hAnsi="Arial" w:cs="Arial"/>
              <w:sz w:val="22"/>
              <w:szCs w:val="22"/>
              <w:lang w:val="en-US"/>
            </w:rPr>
            <w:t xml:space="preserve"> (2019)</w:t>
          </w:r>
          <w:r w:rsidRPr="0047217C">
            <w:rPr>
              <w:rFonts w:ascii="Arial" w:hAnsi="Arial" w:cs="Arial"/>
              <w:sz w:val="22"/>
              <w:szCs w:val="22"/>
              <w:lang w:val="en-US"/>
            </w:rPr>
            <w:t>:</w:t>
          </w:r>
          <w:r w:rsidR="00675079" w:rsidRPr="0047217C">
            <w:rPr>
              <w:rFonts w:ascii="Arial" w:hAnsi="Arial" w:cs="Arial"/>
              <w:sz w:val="22"/>
              <w:szCs w:val="22"/>
              <w:lang w:val="en-US"/>
            </w:rPr>
            <w:t xml:space="preserve"> </w:t>
          </w:r>
          <w:r w:rsidRPr="0047217C">
            <w:rPr>
              <w:rFonts w:ascii="Arial" w:hAnsi="Arial" w:cs="Arial"/>
              <w:sz w:val="22"/>
              <w:szCs w:val="22"/>
              <w:lang w:val="en-US"/>
            </w:rPr>
            <w:t xml:space="preserve">511-516. </w:t>
          </w:r>
        </w:p>
        <w:p w14:paraId="1DA52644" w14:textId="7CBF45F1"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28. Pacini C, Duncan E, Gonçalves E, et al. </w:t>
          </w:r>
          <w:r w:rsidR="00675079" w:rsidRPr="0047217C">
            <w:rPr>
              <w:rFonts w:ascii="Arial" w:hAnsi="Arial" w:cs="Arial"/>
              <w:sz w:val="22"/>
              <w:szCs w:val="22"/>
              <w:lang w:val="en-US"/>
            </w:rPr>
            <w:t>“</w:t>
          </w:r>
          <w:r w:rsidRPr="0047217C">
            <w:rPr>
              <w:rFonts w:ascii="Arial" w:hAnsi="Arial" w:cs="Arial"/>
              <w:sz w:val="22"/>
              <w:szCs w:val="22"/>
              <w:lang w:val="en-US"/>
            </w:rPr>
            <w:t>A comprehensive clinically informed map of dependencies in cancer cells and framework for target prioritization</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Cancer Cell</w:t>
          </w:r>
          <w:r w:rsidR="00675079" w:rsidRPr="0047217C">
            <w:rPr>
              <w:rFonts w:ascii="Arial" w:hAnsi="Arial" w:cs="Arial"/>
              <w:sz w:val="22"/>
              <w:szCs w:val="22"/>
              <w:lang w:val="en-US"/>
            </w:rPr>
            <w:t xml:space="preserve"> 43, no. 2 (2024):301-316.</w:t>
          </w:r>
        </w:p>
        <w:p w14:paraId="63B9CF53" w14:textId="50F87B30"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29. Dempster JM, Boyle I, Vazquez F, et al. </w:t>
          </w:r>
          <w:r w:rsidR="00675079" w:rsidRPr="0047217C">
            <w:rPr>
              <w:rFonts w:ascii="Arial" w:hAnsi="Arial" w:cs="Arial"/>
              <w:sz w:val="22"/>
              <w:szCs w:val="22"/>
              <w:lang w:val="en-US"/>
            </w:rPr>
            <w:t>“</w:t>
          </w:r>
          <w:r w:rsidRPr="0047217C">
            <w:rPr>
              <w:rFonts w:ascii="Arial" w:hAnsi="Arial" w:cs="Arial"/>
              <w:sz w:val="22"/>
              <w:szCs w:val="22"/>
              <w:lang w:val="en-US"/>
            </w:rPr>
            <w:t>Chronos: a cell population dynamics model of CRISPR experiments that improves inference of gene fitness effects</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Genome Biol</w:t>
          </w:r>
          <w:r w:rsidRPr="0047217C">
            <w:rPr>
              <w:rFonts w:ascii="Arial" w:hAnsi="Arial" w:cs="Arial"/>
              <w:sz w:val="22"/>
              <w:szCs w:val="22"/>
              <w:lang w:val="en-US"/>
            </w:rPr>
            <w:t xml:space="preserve"> 22</w:t>
          </w:r>
          <w:r w:rsidR="00675079" w:rsidRPr="0047217C">
            <w:rPr>
              <w:rFonts w:ascii="Arial" w:hAnsi="Arial" w:cs="Arial"/>
              <w:sz w:val="22"/>
              <w:szCs w:val="22"/>
              <w:lang w:val="en-US"/>
            </w:rPr>
            <w:t>, no. 1 (2021)</w:t>
          </w:r>
          <w:r w:rsidRPr="0047217C">
            <w:rPr>
              <w:rFonts w:ascii="Arial" w:hAnsi="Arial" w:cs="Arial"/>
              <w:sz w:val="22"/>
              <w:szCs w:val="22"/>
              <w:lang w:val="en-US"/>
            </w:rPr>
            <w:t>:</w:t>
          </w:r>
          <w:r w:rsidR="00675079" w:rsidRPr="0047217C">
            <w:rPr>
              <w:rFonts w:ascii="Arial" w:hAnsi="Arial" w:cs="Arial"/>
              <w:sz w:val="22"/>
              <w:szCs w:val="22"/>
              <w:lang w:val="en-US"/>
            </w:rPr>
            <w:t xml:space="preserve"> </w:t>
          </w:r>
          <w:r w:rsidRPr="0047217C">
            <w:rPr>
              <w:rFonts w:ascii="Arial" w:hAnsi="Arial" w:cs="Arial"/>
              <w:sz w:val="22"/>
              <w:szCs w:val="22"/>
              <w:lang w:val="en-US"/>
            </w:rPr>
            <w:t xml:space="preserve">343. </w:t>
          </w:r>
        </w:p>
        <w:p w14:paraId="6A538E13" w14:textId="214A9119"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30. Lier S, Sellmer A, Orben F, et al. </w:t>
          </w:r>
          <w:r w:rsidR="00675079" w:rsidRPr="0047217C">
            <w:rPr>
              <w:rFonts w:ascii="Arial" w:hAnsi="Arial" w:cs="Arial"/>
              <w:sz w:val="22"/>
              <w:szCs w:val="22"/>
              <w:lang w:val="en-US"/>
            </w:rPr>
            <w:t>“</w:t>
          </w:r>
          <w:r w:rsidRPr="0047217C">
            <w:rPr>
              <w:rFonts w:ascii="Arial" w:hAnsi="Arial" w:cs="Arial"/>
              <w:sz w:val="22"/>
              <w:szCs w:val="22"/>
              <w:lang w:val="en-US"/>
            </w:rPr>
            <w:t xml:space="preserve">A novel </w:t>
          </w:r>
          <w:proofErr w:type="spellStart"/>
          <w:r w:rsidRPr="0047217C">
            <w:rPr>
              <w:rFonts w:ascii="Arial" w:hAnsi="Arial" w:cs="Arial"/>
              <w:sz w:val="22"/>
              <w:szCs w:val="22"/>
              <w:lang w:val="en-US"/>
            </w:rPr>
            <w:t>Cereblon</w:t>
          </w:r>
          <w:proofErr w:type="spellEnd"/>
          <w:r w:rsidRPr="0047217C">
            <w:rPr>
              <w:rFonts w:ascii="Arial" w:hAnsi="Arial" w:cs="Arial"/>
              <w:sz w:val="22"/>
              <w:szCs w:val="22"/>
              <w:lang w:val="en-US"/>
            </w:rPr>
            <w:t xml:space="preserve"> E3 ligase modulator with antitumor activity in gastrointestinal cancer</w:t>
          </w:r>
          <w:r w:rsidR="00675079" w:rsidRPr="0047217C">
            <w:rPr>
              <w:rFonts w:ascii="Arial" w:hAnsi="Arial" w:cs="Arial"/>
              <w:sz w:val="22"/>
              <w:szCs w:val="22"/>
              <w:lang w:val="en-US"/>
            </w:rPr>
            <w:t>,”</w:t>
          </w:r>
          <w:r w:rsidRPr="0047217C">
            <w:rPr>
              <w:rFonts w:ascii="Arial" w:hAnsi="Arial" w:cs="Arial"/>
              <w:sz w:val="22"/>
              <w:szCs w:val="22"/>
              <w:lang w:val="en-US"/>
            </w:rPr>
            <w:t xml:space="preserve"> </w:t>
          </w:r>
          <w:proofErr w:type="spellStart"/>
          <w:r w:rsidRPr="0047217C">
            <w:rPr>
              <w:rFonts w:ascii="Arial" w:hAnsi="Arial" w:cs="Arial"/>
              <w:i/>
              <w:iCs/>
              <w:sz w:val="22"/>
              <w:szCs w:val="22"/>
              <w:lang w:val="en-US"/>
            </w:rPr>
            <w:t>Bioorg</w:t>
          </w:r>
          <w:proofErr w:type="spellEnd"/>
          <w:r w:rsidRPr="0047217C">
            <w:rPr>
              <w:rFonts w:ascii="Arial" w:hAnsi="Arial" w:cs="Arial"/>
              <w:i/>
              <w:iCs/>
              <w:sz w:val="22"/>
              <w:szCs w:val="22"/>
              <w:lang w:val="en-US"/>
            </w:rPr>
            <w:t xml:space="preserve"> Chem</w:t>
          </w:r>
          <w:r w:rsidR="00675079" w:rsidRPr="0047217C">
            <w:rPr>
              <w:rFonts w:ascii="Arial" w:hAnsi="Arial" w:cs="Arial"/>
              <w:sz w:val="22"/>
              <w:szCs w:val="22"/>
              <w:lang w:val="en-US"/>
            </w:rPr>
            <w:t xml:space="preserve"> 119, (2022): </w:t>
          </w:r>
          <w:r w:rsidRPr="0047217C">
            <w:rPr>
              <w:rFonts w:ascii="Arial" w:hAnsi="Arial" w:cs="Arial"/>
              <w:sz w:val="22"/>
              <w:szCs w:val="22"/>
              <w:lang w:val="en-US"/>
            </w:rPr>
            <w:t xml:space="preserve">105505. </w:t>
          </w:r>
        </w:p>
        <w:p w14:paraId="227E5076" w14:textId="4FA24145"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31. Subramanian A, Tamayo P, Mootha VK, et al. </w:t>
          </w:r>
          <w:r w:rsidR="00675079" w:rsidRPr="0047217C">
            <w:rPr>
              <w:rFonts w:ascii="Arial" w:hAnsi="Arial" w:cs="Arial"/>
              <w:sz w:val="22"/>
              <w:szCs w:val="22"/>
              <w:lang w:val="en-US"/>
            </w:rPr>
            <w:t>“</w:t>
          </w:r>
          <w:r w:rsidRPr="0047217C">
            <w:rPr>
              <w:rFonts w:ascii="Arial" w:hAnsi="Arial" w:cs="Arial"/>
              <w:sz w:val="22"/>
              <w:szCs w:val="22"/>
              <w:lang w:val="en-US"/>
            </w:rPr>
            <w:t>Gene set enrichment analysis: a knowledge-based approach for interpreting genome-wide expression profiles</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P Natl Acad Sci Usa</w:t>
          </w:r>
          <w:r w:rsidRPr="0047217C">
            <w:rPr>
              <w:rFonts w:ascii="Arial" w:hAnsi="Arial" w:cs="Arial"/>
              <w:sz w:val="22"/>
              <w:szCs w:val="22"/>
              <w:lang w:val="en-US"/>
            </w:rPr>
            <w:t>. 102</w:t>
          </w:r>
          <w:r w:rsidR="00675079" w:rsidRPr="0047217C">
            <w:rPr>
              <w:rFonts w:ascii="Arial" w:hAnsi="Arial" w:cs="Arial"/>
              <w:sz w:val="22"/>
              <w:szCs w:val="22"/>
              <w:lang w:val="en-US"/>
            </w:rPr>
            <w:t xml:space="preserve">, no. </w:t>
          </w:r>
          <w:r w:rsidRPr="0047217C">
            <w:rPr>
              <w:rFonts w:ascii="Arial" w:hAnsi="Arial" w:cs="Arial"/>
              <w:sz w:val="22"/>
              <w:szCs w:val="22"/>
              <w:lang w:val="en-US"/>
            </w:rPr>
            <w:t>43</w:t>
          </w:r>
          <w:r w:rsidR="00675079" w:rsidRPr="0047217C">
            <w:rPr>
              <w:rFonts w:ascii="Arial" w:hAnsi="Arial" w:cs="Arial"/>
              <w:sz w:val="22"/>
              <w:szCs w:val="22"/>
              <w:lang w:val="en-US"/>
            </w:rPr>
            <w:t xml:space="preserve"> (2005)</w:t>
          </w:r>
          <w:r w:rsidRPr="0047217C">
            <w:rPr>
              <w:rFonts w:ascii="Arial" w:hAnsi="Arial" w:cs="Arial"/>
              <w:sz w:val="22"/>
              <w:szCs w:val="22"/>
              <w:lang w:val="en-US"/>
            </w:rPr>
            <w:t>:15545-15550</w:t>
          </w:r>
          <w:r w:rsidR="00675079" w:rsidRPr="0047217C">
            <w:rPr>
              <w:rFonts w:ascii="Arial" w:hAnsi="Arial" w:cs="Arial"/>
              <w:sz w:val="22"/>
              <w:szCs w:val="22"/>
              <w:lang w:val="en-US"/>
            </w:rPr>
            <w:t xml:space="preserve">. </w:t>
          </w:r>
        </w:p>
        <w:p w14:paraId="62E1855F" w14:textId="5A80C0BC"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lastRenderedPageBreak/>
            <w:t xml:space="preserve">32. Peschke K, </w:t>
          </w:r>
          <w:proofErr w:type="spellStart"/>
          <w:r w:rsidRPr="0047217C">
            <w:rPr>
              <w:rFonts w:ascii="Arial" w:hAnsi="Arial" w:cs="Arial"/>
              <w:sz w:val="22"/>
              <w:szCs w:val="22"/>
              <w:lang w:val="en-US"/>
            </w:rPr>
            <w:t>Jakubowsky</w:t>
          </w:r>
          <w:proofErr w:type="spellEnd"/>
          <w:r w:rsidRPr="0047217C">
            <w:rPr>
              <w:rFonts w:ascii="Arial" w:hAnsi="Arial" w:cs="Arial"/>
              <w:sz w:val="22"/>
              <w:szCs w:val="22"/>
              <w:lang w:val="en-US"/>
            </w:rPr>
            <w:t xml:space="preserve"> H, Schäfer A, et al. </w:t>
          </w:r>
          <w:r w:rsidR="00675079" w:rsidRPr="0047217C">
            <w:rPr>
              <w:rFonts w:ascii="Arial" w:hAnsi="Arial" w:cs="Arial"/>
              <w:sz w:val="22"/>
              <w:szCs w:val="22"/>
              <w:lang w:val="en-US"/>
            </w:rPr>
            <w:t>“</w:t>
          </w:r>
          <w:r w:rsidRPr="0047217C">
            <w:rPr>
              <w:rFonts w:ascii="Arial" w:hAnsi="Arial" w:cs="Arial"/>
              <w:sz w:val="22"/>
              <w:szCs w:val="22"/>
              <w:lang w:val="en-US"/>
            </w:rPr>
            <w:t>Identification of treatment</w:t>
          </w:r>
          <w:r w:rsidRPr="0047217C">
            <w:rPr>
              <w:rFonts w:ascii="Cambria Math" w:hAnsi="Cambria Math" w:cs="Cambria Math"/>
              <w:sz w:val="22"/>
              <w:szCs w:val="22"/>
              <w:lang w:val="en-US"/>
            </w:rPr>
            <w:t>‐</w:t>
          </w:r>
          <w:r w:rsidRPr="0047217C">
            <w:rPr>
              <w:rFonts w:ascii="Arial" w:hAnsi="Arial" w:cs="Arial"/>
              <w:sz w:val="22"/>
              <w:szCs w:val="22"/>
              <w:lang w:val="en-US"/>
            </w:rPr>
            <w:t>induced vulnerabilities in pancreatic cancer patients using functional model systems</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Embo Mol Med</w:t>
          </w:r>
          <w:r w:rsidR="00675079" w:rsidRPr="0047217C">
            <w:rPr>
              <w:rFonts w:ascii="Arial" w:hAnsi="Arial" w:cs="Arial"/>
              <w:sz w:val="22"/>
              <w:szCs w:val="22"/>
              <w:lang w:val="en-US"/>
            </w:rPr>
            <w:t xml:space="preserve"> 14, no. 4 (2022): e14876.</w:t>
          </w:r>
        </w:p>
        <w:p w14:paraId="00C68ACC" w14:textId="0D68312A"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33. Reich M, Liefeld T, Gould J, Lerner J, Tamayo P, </w:t>
          </w:r>
          <w:proofErr w:type="spellStart"/>
          <w:r w:rsidRPr="0047217C">
            <w:rPr>
              <w:rFonts w:ascii="Arial" w:hAnsi="Arial" w:cs="Arial"/>
              <w:sz w:val="22"/>
              <w:szCs w:val="22"/>
              <w:lang w:val="en-US"/>
            </w:rPr>
            <w:t>Mesirov</w:t>
          </w:r>
          <w:proofErr w:type="spellEnd"/>
          <w:r w:rsidRPr="0047217C">
            <w:rPr>
              <w:rFonts w:ascii="Arial" w:hAnsi="Arial" w:cs="Arial"/>
              <w:sz w:val="22"/>
              <w:szCs w:val="22"/>
              <w:lang w:val="en-US"/>
            </w:rPr>
            <w:t xml:space="preserve"> JP. </w:t>
          </w:r>
          <w:r w:rsidR="00675079" w:rsidRPr="0047217C">
            <w:rPr>
              <w:rFonts w:ascii="Arial" w:hAnsi="Arial" w:cs="Arial"/>
              <w:sz w:val="22"/>
              <w:szCs w:val="22"/>
              <w:lang w:val="en-US"/>
            </w:rPr>
            <w:t>“</w:t>
          </w:r>
          <w:proofErr w:type="spellStart"/>
          <w:r w:rsidRPr="0047217C">
            <w:rPr>
              <w:rFonts w:ascii="Arial" w:hAnsi="Arial" w:cs="Arial"/>
              <w:sz w:val="22"/>
              <w:szCs w:val="22"/>
              <w:lang w:val="en-US"/>
            </w:rPr>
            <w:t>GenePattern</w:t>
          </w:r>
          <w:proofErr w:type="spellEnd"/>
          <w:r w:rsidRPr="0047217C">
            <w:rPr>
              <w:rFonts w:ascii="Arial" w:hAnsi="Arial" w:cs="Arial"/>
              <w:sz w:val="22"/>
              <w:szCs w:val="22"/>
              <w:lang w:val="en-US"/>
            </w:rPr>
            <w:t xml:space="preserve"> 2.0.</w:t>
          </w:r>
          <w:r w:rsidR="00675079" w:rsidRPr="0047217C">
            <w:rPr>
              <w:rFonts w:ascii="Arial" w:hAnsi="Arial" w:cs="Arial"/>
              <w:sz w:val="22"/>
              <w:szCs w:val="22"/>
              <w:lang w:val="en-US"/>
            </w:rPr>
            <w:t xml:space="preserve">,” </w:t>
          </w:r>
          <w:r w:rsidRPr="0047217C">
            <w:rPr>
              <w:rFonts w:ascii="Arial" w:hAnsi="Arial" w:cs="Arial"/>
              <w:i/>
              <w:iCs/>
              <w:sz w:val="22"/>
              <w:szCs w:val="22"/>
              <w:lang w:val="en-US"/>
            </w:rPr>
            <w:t>Nat Genet</w:t>
          </w:r>
          <w:r w:rsidR="00675079" w:rsidRPr="0047217C">
            <w:rPr>
              <w:rFonts w:ascii="Arial" w:hAnsi="Arial" w:cs="Arial"/>
              <w:i/>
              <w:iCs/>
              <w:sz w:val="22"/>
              <w:szCs w:val="22"/>
              <w:lang w:val="en-US"/>
            </w:rPr>
            <w:t>ics</w:t>
          </w:r>
          <w:r w:rsidRPr="0047217C">
            <w:rPr>
              <w:rFonts w:ascii="Arial" w:hAnsi="Arial" w:cs="Arial"/>
              <w:sz w:val="22"/>
              <w:szCs w:val="22"/>
              <w:lang w:val="en-US"/>
            </w:rPr>
            <w:t xml:space="preserve"> 38</w:t>
          </w:r>
          <w:r w:rsidR="00675079" w:rsidRPr="0047217C">
            <w:rPr>
              <w:rFonts w:ascii="Arial" w:hAnsi="Arial" w:cs="Arial"/>
              <w:sz w:val="22"/>
              <w:szCs w:val="22"/>
              <w:lang w:val="en-US"/>
            </w:rPr>
            <w:t xml:space="preserve">, no. </w:t>
          </w:r>
          <w:r w:rsidRPr="0047217C">
            <w:rPr>
              <w:rFonts w:ascii="Arial" w:hAnsi="Arial" w:cs="Arial"/>
              <w:sz w:val="22"/>
              <w:szCs w:val="22"/>
              <w:lang w:val="en-US"/>
            </w:rPr>
            <w:t>5</w:t>
          </w:r>
          <w:r w:rsidR="00675079" w:rsidRPr="0047217C">
            <w:rPr>
              <w:rFonts w:ascii="Arial" w:hAnsi="Arial" w:cs="Arial"/>
              <w:sz w:val="22"/>
              <w:szCs w:val="22"/>
              <w:lang w:val="en-US"/>
            </w:rPr>
            <w:t xml:space="preserve"> (2006)</w:t>
          </w:r>
          <w:r w:rsidRPr="0047217C">
            <w:rPr>
              <w:rFonts w:ascii="Arial" w:hAnsi="Arial" w:cs="Arial"/>
              <w:sz w:val="22"/>
              <w:szCs w:val="22"/>
              <w:lang w:val="en-US"/>
            </w:rPr>
            <w:t xml:space="preserve">:500-501. </w:t>
          </w:r>
        </w:p>
        <w:p w14:paraId="5BC75C32" w14:textId="66409CE2"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34. Yue J, Lai F, </w:t>
          </w:r>
          <w:proofErr w:type="spellStart"/>
          <w:r w:rsidRPr="0047217C">
            <w:rPr>
              <w:rFonts w:ascii="Arial" w:hAnsi="Arial" w:cs="Arial"/>
              <w:sz w:val="22"/>
              <w:szCs w:val="22"/>
              <w:lang w:val="en-US"/>
            </w:rPr>
            <w:t>Beckedorff</w:t>
          </w:r>
          <w:proofErr w:type="spellEnd"/>
          <w:r w:rsidRPr="0047217C">
            <w:rPr>
              <w:rFonts w:ascii="Arial" w:hAnsi="Arial" w:cs="Arial"/>
              <w:sz w:val="22"/>
              <w:szCs w:val="22"/>
              <w:lang w:val="en-US"/>
            </w:rPr>
            <w:t xml:space="preserve"> F, Zhang A, Pastori C, </w:t>
          </w:r>
          <w:proofErr w:type="spellStart"/>
          <w:r w:rsidRPr="0047217C">
            <w:rPr>
              <w:rFonts w:ascii="Arial" w:hAnsi="Arial" w:cs="Arial"/>
              <w:sz w:val="22"/>
              <w:szCs w:val="22"/>
              <w:lang w:val="en-US"/>
            </w:rPr>
            <w:t>Shiekhattar</w:t>
          </w:r>
          <w:proofErr w:type="spellEnd"/>
          <w:r w:rsidRPr="0047217C">
            <w:rPr>
              <w:rFonts w:ascii="Arial" w:hAnsi="Arial" w:cs="Arial"/>
              <w:sz w:val="22"/>
              <w:szCs w:val="22"/>
              <w:lang w:val="en-US"/>
            </w:rPr>
            <w:t xml:space="preserve"> R. </w:t>
          </w:r>
          <w:r w:rsidR="00675079" w:rsidRPr="0047217C">
            <w:rPr>
              <w:rFonts w:ascii="Arial" w:hAnsi="Arial" w:cs="Arial"/>
              <w:sz w:val="22"/>
              <w:szCs w:val="22"/>
              <w:lang w:val="en-US"/>
            </w:rPr>
            <w:t>“</w:t>
          </w:r>
          <w:r w:rsidRPr="0047217C">
            <w:rPr>
              <w:rFonts w:ascii="Arial" w:hAnsi="Arial" w:cs="Arial"/>
              <w:sz w:val="22"/>
              <w:szCs w:val="22"/>
              <w:lang w:val="en-US"/>
            </w:rPr>
            <w:t>Integrator orchestrates RAS/ERK1/2 signaling transcriptional programs</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Gene Dev</w:t>
          </w:r>
          <w:r w:rsidRPr="0047217C">
            <w:rPr>
              <w:rFonts w:ascii="Arial" w:hAnsi="Arial" w:cs="Arial"/>
              <w:sz w:val="22"/>
              <w:szCs w:val="22"/>
              <w:lang w:val="en-US"/>
            </w:rPr>
            <w:t xml:space="preserve"> 31</w:t>
          </w:r>
          <w:r w:rsidR="00675079" w:rsidRPr="0047217C">
            <w:rPr>
              <w:rFonts w:ascii="Arial" w:hAnsi="Arial" w:cs="Arial"/>
              <w:sz w:val="22"/>
              <w:szCs w:val="22"/>
              <w:lang w:val="en-US"/>
            </w:rPr>
            <w:t xml:space="preserve">, no. </w:t>
          </w:r>
          <w:r w:rsidRPr="0047217C">
            <w:rPr>
              <w:rFonts w:ascii="Arial" w:hAnsi="Arial" w:cs="Arial"/>
              <w:sz w:val="22"/>
              <w:szCs w:val="22"/>
              <w:lang w:val="en-US"/>
            </w:rPr>
            <w:t>17</w:t>
          </w:r>
          <w:r w:rsidR="00675079" w:rsidRPr="0047217C">
            <w:rPr>
              <w:rFonts w:ascii="Arial" w:hAnsi="Arial" w:cs="Arial"/>
              <w:sz w:val="22"/>
              <w:szCs w:val="22"/>
              <w:lang w:val="en-US"/>
            </w:rPr>
            <w:t xml:space="preserve"> (2017)</w:t>
          </w:r>
          <w:r w:rsidRPr="0047217C">
            <w:rPr>
              <w:rFonts w:ascii="Arial" w:hAnsi="Arial" w:cs="Arial"/>
              <w:sz w:val="22"/>
              <w:szCs w:val="22"/>
              <w:lang w:val="en-US"/>
            </w:rPr>
            <w:t xml:space="preserve">:1809-1820. </w:t>
          </w:r>
        </w:p>
        <w:p w14:paraId="0A28CAD4" w14:textId="2963F60C"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35. Cao L, Huang C, Zhou DC, et al. </w:t>
          </w:r>
          <w:r w:rsidR="00675079" w:rsidRPr="0047217C">
            <w:rPr>
              <w:rFonts w:ascii="Arial" w:hAnsi="Arial" w:cs="Arial"/>
              <w:sz w:val="22"/>
              <w:szCs w:val="22"/>
              <w:lang w:val="en-US"/>
            </w:rPr>
            <w:t>“</w:t>
          </w:r>
          <w:r w:rsidRPr="0047217C">
            <w:rPr>
              <w:rFonts w:ascii="Arial" w:hAnsi="Arial" w:cs="Arial"/>
              <w:sz w:val="22"/>
              <w:szCs w:val="22"/>
              <w:lang w:val="en-US"/>
            </w:rPr>
            <w:t>Proteogenomic characterization of pancreatic ductal adenocarcinoma</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Cell</w:t>
          </w:r>
          <w:r w:rsidRPr="0047217C">
            <w:rPr>
              <w:rFonts w:ascii="Arial" w:hAnsi="Arial" w:cs="Arial"/>
              <w:sz w:val="22"/>
              <w:szCs w:val="22"/>
              <w:lang w:val="en-US"/>
            </w:rPr>
            <w:t xml:space="preserve"> 184</w:t>
          </w:r>
          <w:r w:rsidR="00675079" w:rsidRPr="0047217C">
            <w:rPr>
              <w:rFonts w:ascii="Arial" w:hAnsi="Arial" w:cs="Arial"/>
              <w:sz w:val="22"/>
              <w:szCs w:val="22"/>
              <w:lang w:val="en-US"/>
            </w:rPr>
            <w:t xml:space="preserve">, no. </w:t>
          </w:r>
          <w:r w:rsidRPr="0047217C">
            <w:rPr>
              <w:rFonts w:ascii="Arial" w:hAnsi="Arial" w:cs="Arial"/>
              <w:sz w:val="22"/>
              <w:szCs w:val="22"/>
              <w:lang w:val="en-US"/>
            </w:rPr>
            <w:t>19</w:t>
          </w:r>
          <w:r w:rsidR="00675079" w:rsidRPr="0047217C">
            <w:rPr>
              <w:rFonts w:ascii="Arial" w:hAnsi="Arial" w:cs="Arial"/>
              <w:sz w:val="22"/>
              <w:szCs w:val="22"/>
              <w:lang w:val="en-US"/>
            </w:rPr>
            <w:t xml:space="preserve"> (2021)</w:t>
          </w:r>
          <w:r w:rsidRPr="0047217C">
            <w:rPr>
              <w:rFonts w:ascii="Arial" w:hAnsi="Arial" w:cs="Arial"/>
              <w:sz w:val="22"/>
              <w:szCs w:val="22"/>
              <w:lang w:val="en-US"/>
            </w:rPr>
            <w:t>:5031-5052.e26</w:t>
          </w:r>
        </w:p>
        <w:p w14:paraId="59F9CBBB" w14:textId="6DDD9E54"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36. Liang WW, Lu RJH, Jayasinghe RG, et al. </w:t>
          </w:r>
          <w:r w:rsidR="00675079" w:rsidRPr="0047217C">
            <w:rPr>
              <w:rFonts w:ascii="Arial" w:hAnsi="Arial" w:cs="Arial"/>
              <w:sz w:val="22"/>
              <w:szCs w:val="22"/>
              <w:lang w:val="en-US"/>
            </w:rPr>
            <w:t>“</w:t>
          </w:r>
          <w:r w:rsidRPr="0047217C">
            <w:rPr>
              <w:rFonts w:ascii="Arial" w:hAnsi="Arial" w:cs="Arial"/>
              <w:sz w:val="22"/>
              <w:szCs w:val="22"/>
              <w:lang w:val="en-US"/>
            </w:rPr>
            <w:t>Integrative multi-</w:t>
          </w:r>
          <w:proofErr w:type="spellStart"/>
          <w:r w:rsidRPr="0047217C">
            <w:rPr>
              <w:rFonts w:ascii="Arial" w:hAnsi="Arial" w:cs="Arial"/>
              <w:sz w:val="22"/>
              <w:szCs w:val="22"/>
              <w:lang w:val="en-US"/>
            </w:rPr>
            <w:t>omic</w:t>
          </w:r>
          <w:proofErr w:type="spellEnd"/>
          <w:r w:rsidRPr="0047217C">
            <w:rPr>
              <w:rFonts w:ascii="Arial" w:hAnsi="Arial" w:cs="Arial"/>
              <w:sz w:val="22"/>
              <w:szCs w:val="22"/>
              <w:lang w:val="en-US"/>
            </w:rPr>
            <w:t xml:space="preserve"> cancer profiling reveals DNA methylation patterns associated with therapeutic vulnerability and cell-of-origin</w:t>
          </w:r>
          <w:r w:rsidR="00675079"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 xml:space="preserve">Cancer </w:t>
          </w:r>
          <w:r w:rsidR="00675079" w:rsidRPr="0047217C">
            <w:rPr>
              <w:rFonts w:ascii="Arial" w:hAnsi="Arial" w:cs="Arial"/>
              <w:i/>
              <w:iCs/>
              <w:sz w:val="22"/>
              <w:szCs w:val="22"/>
              <w:lang w:val="en-US"/>
            </w:rPr>
            <w:t>Cell</w:t>
          </w:r>
          <w:r w:rsidR="00675079" w:rsidRPr="0047217C">
            <w:rPr>
              <w:rFonts w:ascii="Arial" w:hAnsi="Arial" w:cs="Arial"/>
              <w:sz w:val="22"/>
              <w:szCs w:val="22"/>
              <w:lang w:val="en-US"/>
            </w:rPr>
            <w:t xml:space="preserve"> </w:t>
          </w:r>
          <w:r w:rsidR="00C01B7A" w:rsidRPr="0047217C">
            <w:rPr>
              <w:rFonts w:ascii="Arial" w:hAnsi="Arial" w:cs="Arial"/>
              <w:sz w:val="22"/>
              <w:szCs w:val="22"/>
              <w:lang w:val="en-US"/>
            </w:rPr>
            <w:t>41, no. 9, (2023): 1567-1585.</w:t>
          </w:r>
        </w:p>
        <w:p w14:paraId="5F099EEC" w14:textId="536A8958"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37. Gao J, Aksoy BA, </w:t>
          </w:r>
          <w:proofErr w:type="spellStart"/>
          <w:r w:rsidRPr="0047217C">
            <w:rPr>
              <w:rFonts w:ascii="Arial" w:hAnsi="Arial" w:cs="Arial"/>
              <w:sz w:val="22"/>
              <w:szCs w:val="22"/>
              <w:lang w:val="en-US"/>
            </w:rPr>
            <w:t>Dogrusoz</w:t>
          </w:r>
          <w:proofErr w:type="spellEnd"/>
          <w:r w:rsidRPr="0047217C">
            <w:rPr>
              <w:rFonts w:ascii="Arial" w:hAnsi="Arial" w:cs="Arial"/>
              <w:sz w:val="22"/>
              <w:szCs w:val="22"/>
              <w:lang w:val="en-US"/>
            </w:rPr>
            <w:t xml:space="preserve"> U, et al. </w:t>
          </w:r>
          <w:r w:rsidR="00C01B7A" w:rsidRPr="0047217C">
            <w:rPr>
              <w:rFonts w:ascii="Arial" w:hAnsi="Arial" w:cs="Arial"/>
              <w:sz w:val="22"/>
              <w:szCs w:val="22"/>
              <w:lang w:val="en-US"/>
            </w:rPr>
            <w:t>“</w:t>
          </w:r>
          <w:r w:rsidRPr="0047217C">
            <w:rPr>
              <w:rFonts w:ascii="Arial" w:hAnsi="Arial" w:cs="Arial"/>
              <w:sz w:val="22"/>
              <w:szCs w:val="22"/>
              <w:lang w:val="en-US"/>
            </w:rPr>
            <w:t xml:space="preserve">Integrative Analysis of Complex Cancer Genomics and Clinical Profiles Using the </w:t>
          </w:r>
          <w:proofErr w:type="spellStart"/>
          <w:r w:rsidRPr="0047217C">
            <w:rPr>
              <w:rFonts w:ascii="Arial" w:hAnsi="Arial" w:cs="Arial"/>
              <w:sz w:val="22"/>
              <w:szCs w:val="22"/>
              <w:lang w:val="en-US"/>
            </w:rPr>
            <w:t>cBioPortal</w:t>
          </w:r>
          <w:proofErr w:type="spellEnd"/>
          <w:r w:rsidR="00C01B7A"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Sci Signal</w:t>
          </w:r>
          <w:r w:rsidRPr="0047217C">
            <w:rPr>
              <w:rFonts w:ascii="Arial" w:hAnsi="Arial" w:cs="Arial"/>
              <w:sz w:val="22"/>
              <w:szCs w:val="22"/>
              <w:lang w:val="en-US"/>
            </w:rPr>
            <w:t xml:space="preserve"> 6</w:t>
          </w:r>
          <w:r w:rsidR="00C01B7A" w:rsidRPr="0047217C">
            <w:rPr>
              <w:rFonts w:ascii="Arial" w:hAnsi="Arial" w:cs="Arial"/>
              <w:sz w:val="22"/>
              <w:szCs w:val="22"/>
              <w:lang w:val="en-US"/>
            </w:rPr>
            <w:t xml:space="preserve">, no. </w:t>
          </w:r>
          <w:r w:rsidRPr="0047217C">
            <w:rPr>
              <w:rFonts w:ascii="Arial" w:hAnsi="Arial" w:cs="Arial"/>
              <w:sz w:val="22"/>
              <w:szCs w:val="22"/>
              <w:lang w:val="en-US"/>
            </w:rPr>
            <w:t>269</w:t>
          </w:r>
          <w:r w:rsidR="00C01B7A" w:rsidRPr="0047217C">
            <w:rPr>
              <w:rFonts w:ascii="Arial" w:hAnsi="Arial" w:cs="Arial"/>
              <w:sz w:val="22"/>
              <w:szCs w:val="22"/>
              <w:lang w:val="en-US"/>
            </w:rPr>
            <w:t xml:space="preserve"> (2013)</w:t>
          </w:r>
          <w:r w:rsidRPr="0047217C">
            <w:rPr>
              <w:rFonts w:ascii="Arial" w:hAnsi="Arial" w:cs="Arial"/>
              <w:sz w:val="22"/>
              <w:szCs w:val="22"/>
              <w:lang w:val="en-US"/>
            </w:rPr>
            <w:t xml:space="preserve">:pl1. </w:t>
          </w:r>
        </w:p>
        <w:p w14:paraId="0F22A359" w14:textId="4191D6F8"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38. Cerami E, Gao J, </w:t>
          </w:r>
          <w:proofErr w:type="spellStart"/>
          <w:r w:rsidRPr="0047217C">
            <w:rPr>
              <w:rFonts w:ascii="Arial" w:hAnsi="Arial" w:cs="Arial"/>
              <w:sz w:val="22"/>
              <w:szCs w:val="22"/>
              <w:lang w:val="en-US"/>
            </w:rPr>
            <w:t>Dogrusoz</w:t>
          </w:r>
          <w:proofErr w:type="spellEnd"/>
          <w:r w:rsidRPr="0047217C">
            <w:rPr>
              <w:rFonts w:ascii="Arial" w:hAnsi="Arial" w:cs="Arial"/>
              <w:sz w:val="22"/>
              <w:szCs w:val="22"/>
              <w:lang w:val="en-US"/>
            </w:rPr>
            <w:t xml:space="preserve"> U, et al. </w:t>
          </w:r>
          <w:r w:rsidR="00C01B7A" w:rsidRPr="0047217C">
            <w:rPr>
              <w:rFonts w:ascii="Arial" w:hAnsi="Arial" w:cs="Arial"/>
              <w:sz w:val="22"/>
              <w:szCs w:val="22"/>
              <w:lang w:val="en-US"/>
            </w:rPr>
            <w:t>“</w:t>
          </w:r>
          <w:r w:rsidRPr="0047217C">
            <w:rPr>
              <w:rFonts w:ascii="Arial" w:hAnsi="Arial" w:cs="Arial"/>
              <w:sz w:val="22"/>
              <w:szCs w:val="22"/>
              <w:lang w:val="en-US"/>
            </w:rPr>
            <w:t xml:space="preserve">The </w:t>
          </w:r>
          <w:proofErr w:type="spellStart"/>
          <w:r w:rsidRPr="0047217C">
            <w:rPr>
              <w:rFonts w:ascii="Arial" w:hAnsi="Arial" w:cs="Arial"/>
              <w:sz w:val="22"/>
              <w:szCs w:val="22"/>
              <w:lang w:val="en-US"/>
            </w:rPr>
            <w:t>cBio</w:t>
          </w:r>
          <w:proofErr w:type="spellEnd"/>
          <w:r w:rsidRPr="0047217C">
            <w:rPr>
              <w:rFonts w:ascii="Arial" w:hAnsi="Arial" w:cs="Arial"/>
              <w:sz w:val="22"/>
              <w:szCs w:val="22"/>
              <w:lang w:val="en-US"/>
            </w:rPr>
            <w:t xml:space="preserve"> Cancer Genomics Portal: An Open Platform for Exploring Multidimensional Cancer Genomics Data</w:t>
          </w:r>
          <w:r w:rsidR="00C01B7A"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 xml:space="preserve">Cancer </w:t>
          </w:r>
          <w:proofErr w:type="spellStart"/>
          <w:r w:rsidRPr="0047217C">
            <w:rPr>
              <w:rFonts w:ascii="Arial" w:hAnsi="Arial" w:cs="Arial"/>
              <w:i/>
              <w:iCs/>
              <w:sz w:val="22"/>
              <w:szCs w:val="22"/>
              <w:lang w:val="en-US"/>
            </w:rPr>
            <w:t>Discov</w:t>
          </w:r>
          <w:proofErr w:type="spellEnd"/>
          <w:r w:rsidRPr="0047217C">
            <w:rPr>
              <w:rFonts w:ascii="Arial" w:hAnsi="Arial" w:cs="Arial"/>
              <w:sz w:val="22"/>
              <w:szCs w:val="22"/>
              <w:lang w:val="en-US"/>
            </w:rPr>
            <w:t xml:space="preserve"> 2</w:t>
          </w:r>
          <w:r w:rsidR="00C01B7A" w:rsidRPr="0047217C">
            <w:rPr>
              <w:rFonts w:ascii="Arial" w:hAnsi="Arial" w:cs="Arial"/>
              <w:sz w:val="22"/>
              <w:szCs w:val="22"/>
              <w:lang w:val="en-US"/>
            </w:rPr>
            <w:t xml:space="preserve">, no. </w:t>
          </w:r>
          <w:r w:rsidRPr="0047217C">
            <w:rPr>
              <w:rFonts w:ascii="Arial" w:hAnsi="Arial" w:cs="Arial"/>
              <w:sz w:val="22"/>
              <w:szCs w:val="22"/>
              <w:lang w:val="en-US"/>
            </w:rPr>
            <w:t>5</w:t>
          </w:r>
          <w:r w:rsidR="00C01B7A" w:rsidRPr="0047217C">
            <w:rPr>
              <w:rFonts w:ascii="Arial" w:hAnsi="Arial" w:cs="Arial"/>
              <w:sz w:val="22"/>
              <w:szCs w:val="22"/>
              <w:lang w:val="en-US"/>
            </w:rPr>
            <w:t xml:space="preserve"> (2012)</w:t>
          </w:r>
          <w:r w:rsidRPr="0047217C">
            <w:rPr>
              <w:rFonts w:ascii="Arial" w:hAnsi="Arial" w:cs="Arial"/>
              <w:sz w:val="22"/>
              <w:szCs w:val="22"/>
              <w:lang w:val="en-US"/>
            </w:rPr>
            <w:t xml:space="preserve">:401-404. </w:t>
          </w:r>
        </w:p>
        <w:p w14:paraId="3EE1381E" w14:textId="25E765BF"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39. </w:t>
          </w:r>
          <w:proofErr w:type="spellStart"/>
          <w:r w:rsidRPr="0047217C">
            <w:rPr>
              <w:rFonts w:ascii="Arial" w:hAnsi="Arial" w:cs="Arial"/>
              <w:sz w:val="22"/>
              <w:szCs w:val="22"/>
              <w:lang w:val="en-US"/>
            </w:rPr>
            <w:t>Vasaikar</w:t>
          </w:r>
          <w:proofErr w:type="spellEnd"/>
          <w:r w:rsidRPr="0047217C">
            <w:rPr>
              <w:rFonts w:ascii="Arial" w:hAnsi="Arial" w:cs="Arial"/>
              <w:sz w:val="22"/>
              <w:szCs w:val="22"/>
              <w:lang w:val="en-US"/>
            </w:rPr>
            <w:t xml:space="preserve"> SV, Straub P, Wang J, Zhang B. </w:t>
          </w:r>
          <w:r w:rsidR="00C01B7A" w:rsidRPr="0047217C">
            <w:rPr>
              <w:rFonts w:ascii="Arial" w:hAnsi="Arial" w:cs="Arial"/>
              <w:sz w:val="22"/>
              <w:szCs w:val="22"/>
              <w:lang w:val="en-US"/>
            </w:rPr>
            <w:t>“</w:t>
          </w:r>
          <w:proofErr w:type="spellStart"/>
          <w:r w:rsidRPr="0047217C">
            <w:rPr>
              <w:rFonts w:ascii="Arial" w:hAnsi="Arial" w:cs="Arial"/>
              <w:sz w:val="22"/>
              <w:szCs w:val="22"/>
              <w:lang w:val="en-US"/>
            </w:rPr>
            <w:t>LinkedOmics</w:t>
          </w:r>
          <w:proofErr w:type="spellEnd"/>
          <w:r w:rsidRPr="0047217C">
            <w:rPr>
              <w:rFonts w:ascii="Arial" w:hAnsi="Arial" w:cs="Arial"/>
              <w:sz w:val="22"/>
              <w:szCs w:val="22"/>
              <w:lang w:val="en-US"/>
            </w:rPr>
            <w:t>: analyzing multi-omics data within and across 32 cancer types</w:t>
          </w:r>
          <w:r w:rsidR="00C01B7A"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Nucleic Acids Res</w:t>
          </w:r>
          <w:r w:rsidR="00C01B7A" w:rsidRPr="0047217C">
            <w:rPr>
              <w:rFonts w:ascii="Arial" w:hAnsi="Arial" w:cs="Arial"/>
              <w:sz w:val="22"/>
              <w:szCs w:val="22"/>
              <w:lang w:val="en-US"/>
            </w:rPr>
            <w:t xml:space="preserve"> </w:t>
          </w:r>
          <w:r w:rsidRPr="0047217C">
            <w:rPr>
              <w:rFonts w:ascii="Arial" w:hAnsi="Arial" w:cs="Arial"/>
              <w:sz w:val="22"/>
              <w:szCs w:val="22"/>
              <w:lang w:val="en-US"/>
            </w:rPr>
            <w:t>46</w:t>
          </w:r>
          <w:r w:rsidR="00C01B7A" w:rsidRPr="0047217C">
            <w:rPr>
              <w:rFonts w:ascii="Arial" w:hAnsi="Arial" w:cs="Arial"/>
              <w:sz w:val="22"/>
              <w:szCs w:val="22"/>
              <w:lang w:val="en-US"/>
            </w:rPr>
            <w:t xml:space="preserve">, </w:t>
          </w:r>
          <w:r w:rsidRPr="0047217C">
            <w:rPr>
              <w:rFonts w:ascii="Arial" w:hAnsi="Arial" w:cs="Arial"/>
              <w:sz w:val="22"/>
              <w:szCs w:val="22"/>
              <w:lang w:val="en-US"/>
            </w:rPr>
            <w:t>(Database issue)</w:t>
          </w:r>
          <w:r w:rsidR="00C01B7A" w:rsidRPr="0047217C">
            <w:rPr>
              <w:rFonts w:ascii="Arial" w:hAnsi="Arial" w:cs="Arial"/>
              <w:sz w:val="22"/>
              <w:szCs w:val="22"/>
              <w:lang w:val="en-US"/>
            </w:rPr>
            <w:t xml:space="preserve"> (2017</w:t>
          </w:r>
          <w:proofErr w:type="gramStart"/>
          <w:r w:rsidR="00C01B7A" w:rsidRPr="0047217C">
            <w:rPr>
              <w:rFonts w:ascii="Arial" w:hAnsi="Arial" w:cs="Arial"/>
              <w:sz w:val="22"/>
              <w:szCs w:val="22"/>
              <w:lang w:val="en-US"/>
            </w:rPr>
            <w:t>)</w:t>
          </w:r>
          <w:r w:rsidRPr="0047217C">
            <w:rPr>
              <w:rFonts w:ascii="Arial" w:hAnsi="Arial" w:cs="Arial"/>
              <w:sz w:val="22"/>
              <w:szCs w:val="22"/>
              <w:lang w:val="en-US"/>
            </w:rPr>
            <w:t>:gkx</w:t>
          </w:r>
          <w:proofErr w:type="gramEnd"/>
          <w:r w:rsidRPr="0047217C">
            <w:rPr>
              <w:rFonts w:ascii="Arial" w:hAnsi="Arial" w:cs="Arial"/>
              <w:sz w:val="22"/>
              <w:szCs w:val="22"/>
              <w:lang w:val="en-US"/>
            </w:rPr>
            <w:t xml:space="preserve">1090-. </w:t>
          </w:r>
        </w:p>
        <w:p w14:paraId="6132A5DF" w14:textId="1BD471A4" w:rsidR="00F329CF" w:rsidRPr="0047217C" w:rsidRDefault="00F329CF" w:rsidP="00F329CF">
          <w:pPr>
            <w:pStyle w:val="Literaturverzeichnis2"/>
            <w:spacing w:line="480" w:lineRule="auto"/>
            <w:jc w:val="both"/>
            <w:rPr>
              <w:rFonts w:ascii="Arial" w:hAnsi="Arial" w:cs="Arial"/>
              <w:sz w:val="22"/>
              <w:szCs w:val="22"/>
              <w:lang w:val="en-US"/>
            </w:rPr>
          </w:pPr>
          <w:r w:rsidRPr="0047217C">
            <w:rPr>
              <w:rFonts w:ascii="Arial" w:hAnsi="Arial" w:cs="Arial"/>
              <w:sz w:val="22"/>
              <w:szCs w:val="22"/>
              <w:lang w:val="en-US"/>
            </w:rPr>
            <w:t xml:space="preserve">40. Metsalu T, Vilo J. </w:t>
          </w:r>
          <w:r w:rsidR="00C01B7A" w:rsidRPr="0047217C">
            <w:rPr>
              <w:rFonts w:ascii="Arial" w:hAnsi="Arial" w:cs="Arial"/>
              <w:sz w:val="22"/>
              <w:szCs w:val="22"/>
              <w:lang w:val="en-US"/>
            </w:rPr>
            <w:t>“</w:t>
          </w:r>
          <w:proofErr w:type="spellStart"/>
          <w:r w:rsidRPr="0047217C">
            <w:rPr>
              <w:rFonts w:ascii="Arial" w:hAnsi="Arial" w:cs="Arial"/>
              <w:sz w:val="22"/>
              <w:szCs w:val="22"/>
              <w:lang w:val="en-US"/>
            </w:rPr>
            <w:t>ClustVis</w:t>
          </w:r>
          <w:proofErr w:type="spellEnd"/>
          <w:r w:rsidRPr="0047217C">
            <w:rPr>
              <w:rFonts w:ascii="Arial" w:hAnsi="Arial" w:cs="Arial"/>
              <w:sz w:val="22"/>
              <w:szCs w:val="22"/>
              <w:lang w:val="en-US"/>
            </w:rPr>
            <w:t>: a web tool for visualizing clustering of multivariate data using Principal Component Analysis and heatmap</w:t>
          </w:r>
          <w:r w:rsidR="00C01B7A" w:rsidRPr="0047217C">
            <w:rPr>
              <w:rFonts w:ascii="Arial" w:hAnsi="Arial" w:cs="Arial"/>
              <w:sz w:val="22"/>
              <w:szCs w:val="22"/>
              <w:lang w:val="en-US"/>
            </w:rPr>
            <w:t>,”</w:t>
          </w:r>
          <w:r w:rsidRPr="0047217C">
            <w:rPr>
              <w:rFonts w:ascii="Arial" w:hAnsi="Arial" w:cs="Arial"/>
              <w:sz w:val="22"/>
              <w:szCs w:val="22"/>
              <w:lang w:val="en-US"/>
            </w:rPr>
            <w:t xml:space="preserve"> </w:t>
          </w:r>
          <w:r w:rsidRPr="0047217C">
            <w:rPr>
              <w:rFonts w:ascii="Arial" w:hAnsi="Arial" w:cs="Arial"/>
              <w:i/>
              <w:iCs/>
              <w:sz w:val="22"/>
              <w:szCs w:val="22"/>
              <w:lang w:val="en-US"/>
            </w:rPr>
            <w:t>Nucleic Acids Res</w:t>
          </w:r>
          <w:r w:rsidRPr="0047217C">
            <w:rPr>
              <w:rFonts w:ascii="Arial" w:hAnsi="Arial" w:cs="Arial"/>
              <w:sz w:val="22"/>
              <w:szCs w:val="22"/>
              <w:lang w:val="en-US"/>
            </w:rPr>
            <w:t xml:space="preserve"> 43</w:t>
          </w:r>
          <w:r w:rsidR="00C01B7A" w:rsidRPr="0047217C">
            <w:rPr>
              <w:rFonts w:ascii="Arial" w:hAnsi="Arial" w:cs="Arial"/>
              <w:sz w:val="22"/>
              <w:szCs w:val="22"/>
              <w:lang w:val="en-US"/>
            </w:rPr>
            <w:t xml:space="preserve">, no. </w:t>
          </w:r>
          <w:r w:rsidRPr="0047217C">
            <w:rPr>
              <w:rFonts w:ascii="Arial" w:hAnsi="Arial" w:cs="Arial"/>
              <w:sz w:val="22"/>
              <w:szCs w:val="22"/>
              <w:lang w:val="en-US"/>
            </w:rPr>
            <w:t>W1</w:t>
          </w:r>
          <w:r w:rsidR="00C01B7A" w:rsidRPr="0047217C">
            <w:rPr>
              <w:rFonts w:ascii="Arial" w:hAnsi="Arial" w:cs="Arial"/>
              <w:sz w:val="22"/>
              <w:szCs w:val="22"/>
              <w:lang w:val="en-US"/>
            </w:rPr>
            <w:t xml:space="preserve"> (2015)</w:t>
          </w:r>
          <w:r w:rsidRPr="0047217C">
            <w:rPr>
              <w:rFonts w:ascii="Arial" w:hAnsi="Arial" w:cs="Arial"/>
              <w:sz w:val="22"/>
              <w:szCs w:val="22"/>
              <w:lang w:val="en-US"/>
            </w:rPr>
            <w:t>:</w:t>
          </w:r>
          <w:r w:rsidR="00C01B7A" w:rsidRPr="0047217C">
            <w:rPr>
              <w:rFonts w:ascii="Arial" w:hAnsi="Arial" w:cs="Arial"/>
              <w:sz w:val="22"/>
              <w:szCs w:val="22"/>
              <w:lang w:val="en-US"/>
            </w:rPr>
            <w:t xml:space="preserve"> </w:t>
          </w:r>
          <w:r w:rsidRPr="0047217C">
            <w:rPr>
              <w:rFonts w:ascii="Arial" w:hAnsi="Arial" w:cs="Arial"/>
              <w:sz w:val="22"/>
              <w:szCs w:val="22"/>
              <w:lang w:val="en-US"/>
            </w:rPr>
            <w:t>W566-W570. doi:10.1093/</w:t>
          </w:r>
          <w:proofErr w:type="spellStart"/>
          <w:r w:rsidRPr="0047217C">
            <w:rPr>
              <w:rFonts w:ascii="Arial" w:hAnsi="Arial" w:cs="Arial"/>
              <w:sz w:val="22"/>
              <w:szCs w:val="22"/>
              <w:lang w:val="en-US"/>
            </w:rPr>
            <w:t>nar</w:t>
          </w:r>
          <w:proofErr w:type="spellEnd"/>
          <w:r w:rsidRPr="0047217C">
            <w:rPr>
              <w:rFonts w:ascii="Arial" w:hAnsi="Arial" w:cs="Arial"/>
              <w:sz w:val="22"/>
              <w:szCs w:val="22"/>
              <w:lang w:val="en-US"/>
            </w:rPr>
            <w:t>/gkv468</w:t>
          </w:r>
        </w:p>
        <w:p w14:paraId="3E205745" w14:textId="4AB7E777" w:rsidR="006279C2" w:rsidRPr="00F329CF" w:rsidRDefault="00F329CF" w:rsidP="000648E5">
          <w:pPr>
            <w:pStyle w:val="Literaturverzeichnis1"/>
            <w:spacing w:line="480" w:lineRule="auto"/>
            <w:jc w:val="both"/>
          </w:pPr>
          <w:r w:rsidRPr="0047217C">
            <w:rPr>
              <w:rFonts w:ascii="Arial" w:eastAsia="Times New Roman" w:hAnsi="Arial" w:cs="Arial"/>
              <w:sz w:val="22"/>
              <w:szCs w:val="22"/>
              <w:lang w:val="en-US"/>
            </w:rPr>
            <w:t> </w:t>
          </w:r>
        </w:p>
      </w:sdtContent>
    </w:sdt>
    <w:sectPr w:rsidR="006279C2" w:rsidRPr="00F329CF">
      <w:footerReference w:type="even" r:id="rId22"/>
      <w:footerReference w:type="default" r:id="rId2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7103F9" w14:textId="77777777" w:rsidR="00010C2B" w:rsidRDefault="00010C2B" w:rsidP="00AD2A62">
      <w:r>
        <w:separator/>
      </w:r>
    </w:p>
  </w:endnote>
  <w:endnote w:type="continuationSeparator" w:id="0">
    <w:p w14:paraId="45076EBC" w14:textId="77777777" w:rsidR="00010C2B" w:rsidRDefault="00010C2B" w:rsidP="00AD2A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577720560"/>
      <w:docPartObj>
        <w:docPartGallery w:val="Page Numbers (Bottom of Page)"/>
        <w:docPartUnique/>
      </w:docPartObj>
    </w:sdtPr>
    <w:sdtContent>
      <w:p w14:paraId="75E27059" w14:textId="26C594F8" w:rsidR="00AD2A62" w:rsidRDefault="00AD2A62" w:rsidP="009D7413">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34CD70A" w14:textId="77777777" w:rsidR="00AD2A62" w:rsidRDefault="00AD2A62" w:rsidP="00AD2A6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334336342"/>
      <w:docPartObj>
        <w:docPartGallery w:val="Page Numbers (Bottom of Page)"/>
        <w:docPartUnique/>
      </w:docPartObj>
    </w:sdtPr>
    <w:sdtEndPr>
      <w:rPr>
        <w:rStyle w:val="Seitenzahl"/>
        <w:rFonts w:ascii="Arial" w:hAnsi="Arial" w:cs="Arial"/>
        <w:sz w:val="22"/>
        <w:szCs w:val="22"/>
      </w:rPr>
    </w:sdtEndPr>
    <w:sdtContent>
      <w:p w14:paraId="5B9EDE52" w14:textId="22870C53" w:rsidR="00AD2A62" w:rsidRPr="00AD2A62" w:rsidRDefault="00AD2A62" w:rsidP="009D7413">
        <w:pPr>
          <w:pStyle w:val="Fuzeile"/>
          <w:framePr w:wrap="none" w:vAnchor="text" w:hAnchor="margin" w:xAlign="right" w:y="1"/>
          <w:rPr>
            <w:rStyle w:val="Seitenzahl"/>
            <w:rFonts w:ascii="Arial" w:hAnsi="Arial" w:cs="Arial"/>
            <w:sz w:val="22"/>
            <w:szCs w:val="22"/>
          </w:rPr>
        </w:pPr>
        <w:r w:rsidRPr="00AD2A62">
          <w:rPr>
            <w:rStyle w:val="Seitenzahl"/>
            <w:rFonts w:ascii="Arial" w:hAnsi="Arial" w:cs="Arial"/>
            <w:sz w:val="22"/>
            <w:szCs w:val="22"/>
          </w:rPr>
          <w:fldChar w:fldCharType="begin"/>
        </w:r>
        <w:r w:rsidRPr="00AD2A62">
          <w:rPr>
            <w:rStyle w:val="Seitenzahl"/>
            <w:rFonts w:ascii="Arial" w:hAnsi="Arial" w:cs="Arial"/>
            <w:sz w:val="22"/>
            <w:szCs w:val="22"/>
          </w:rPr>
          <w:instrText xml:space="preserve"> PAGE </w:instrText>
        </w:r>
        <w:r w:rsidRPr="00AD2A62">
          <w:rPr>
            <w:rStyle w:val="Seitenzahl"/>
            <w:rFonts w:ascii="Arial" w:hAnsi="Arial" w:cs="Arial"/>
            <w:sz w:val="22"/>
            <w:szCs w:val="22"/>
          </w:rPr>
          <w:fldChar w:fldCharType="separate"/>
        </w:r>
        <w:r w:rsidRPr="00AD2A62">
          <w:rPr>
            <w:rStyle w:val="Seitenzahl"/>
            <w:rFonts w:ascii="Arial" w:hAnsi="Arial" w:cs="Arial"/>
            <w:noProof/>
            <w:sz w:val="22"/>
            <w:szCs w:val="22"/>
          </w:rPr>
          <w:t>19</w:t>
        </w:r>
        <w:r w:rsidRPr="00AD2A62">
          <w:rPr>
            <w:rStyle w:val="Seitenzahl"/>
            <w:rFonts w:ascii="Arial" w:hAnsi="Arial" w:cs="Arial"/>
            <w:sz w:val="22"/>
            <w:szCs w:val="22"/>
          </w:rPr>
          <w:fldChar w:fldCharType="end"/>
        </w:r>
      </w:p>
    </w:sdtContent>
  </w:sdt>
  <w:p w14:paraId="3B58E03A" w14:textId="77777777" w:rsidR="00AD2A62" w:rsidRDefault="00AD2A62" w:rsidP="00AD2A62">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999CB1" w14:textId="77777777" w:rsidR="00010C2B" w:rsidRDefault="00010C2B" w:rsidP="00AD2A62">
      <w:r>
        <w:separator/>
      </w:r>
    </w:p>
  </w:footnote>
  <w:footnote w:type="continuationSeparator" w:id="0">
    <w:p w14:paraId="339EDE55" w14:textId="77777777" w:rsidR="00010C2B" w:rsidRDefault="00010C2B" w:rsidP="00AD2A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425A4"/>
    <w:multiLevelType w:val="hybridMultilevel"/>
    <w:tmpl w:val="20B874F4"/>
    <w:lvl w:ilvl="0" w:tplc="50C4DE56">
      <w:start w:val="1"/>
      <w:numFmt w:val="lowerLetter"/>
      <w:lvlText w:val="%1)"/>
      <w:lvlJc w:val="left"/>
      <w:pPr>
        <w:ind w:left="720" w:hanging="360"/>
      </w:pPr>
      <w:rPr>
        <w:rFonts w:hint="default"/>
        <w:color w:val="000000" w:themeColor="text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7F44AF2"/>
    <w:multiLevelType w:val="hybridMultilevel"/>
    <w:tmpl w:val="B874E7C8"/>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45B5790"/>
    <w:multiLevelType w:val="hybridMultilevel"/>
    <w:tmpl w:val="3DC8B1E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DD82D38"/>
    <w:multiLevelType w:val="hybridMultilevel"/>
    <w:tmpl w:val="FCF85A22"/>
    <w:lvl w:ilvl="0" w:tplc="04070017">
      <w:start w:val="1"/>
      <w:numFmt w:val="lowerLetter"/>
      <w:lvlText w:val="%1)"/>
      <w:lvlJc w:val="left"/>
      <w:pPr>
        <w:ind w:left="720" w:hanging="360"/>
      </w:pPr>
      <w:rPr>
        <w:rFonts w:hint="default"/>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748A32B2"/>
    <w:multiLevelType w:val="hybridMultilevel"/>
    <w:tmpl w:val="9BE88E26"/>
    <w:lvl w:ilvl="0" w:tplc="10ECA99E">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64968238">
    <w:abstractNumId w:val="4"/>
  </w:num>
  <w:num w:numId="2" w16cid:durableId="349532791">
    <w:abstractNumId w:val="2"/>
  </w:num>
  <w:num w:numId="3" w16cid:durableId="779177527">
    <w:abstractNumId w:val="1"/>
  </w:num>
  <w:num w:numId="4" w16cid:durableId="1956868064">
    <w:abstractNumId w:val="0"/>
  </w:num>
  <w:num w:numId="5" w16cid:durableId="12763264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79C2"/>
    <w:rsid w:val="00002B63"/>
    <w:rsid w:val="0000739B"/>
    <w:rsid w:val="00010C2B"/>
    <w:rsid w:val="0003427F"/>
    <w:rsid w:val="00036DC2"/>
    <w:rsid w:val="00041EC3"/>
    <w:rsid w:val="000424AC"/>
    <w:rsid w:val="00051A3C"/>
    <w:rsid w:val="000648E5"/>
    <w:rsid w:val="00067406"/>
    <w:rsid w:val="00076C23"/>
    <w:rsid w:val="00087F46"/>
    <w:rsid w:val="000968C6"/>
    <w:rsid w:val="000A2E8A"/>
    <w:rsid w:val="000A31F0"/>
    <w:rsid w:val="000A6AAB"/>
    <w:rsid w:val="000B14D9"/>
    <w:rsid w:val="000B508C"/>
    <w:rsid w:val="000B7D78"/>
    <w:rsid w:val="000C5748"/>
    <w:rsid w:val="000D2EA1"/>
    <w:rsid w:val="000F331F"/>
    <w:rsid w:val="000F68B7"/>
    <w:rsid w:val="000F6E76"/>
    <w:rsid w:val="001008D4"/>
    <w:rsid w:val="0011083A"/>
    <w:rsid w:val="00111C09"/>
    <w:rsid w:val="001138C7"/>
    <w:rsid w:val="0012789E"/>
    <w:rsid w:val="00137F4C"/>
    <w:rsid w:val="00142D71"/>
    <w:rsid w:val="00151FEB"/>
    <w:rsid w:val="00163A41"/>
    <w:rsid w:val="0017553E"/>
    <w:rsid w:val="00175A66"/>
    <w:rsid w:val="00177C39"/>
    <w:rsid w:val="00182338"/>
    <w:rsid w:val="0018769B"/>
    <w:rsid w:val="00190782"/>
    <w:rsid w:val="001A6688"/>
    <w:rsid w:val="001B1D32"/>
    <w:rsid w:val="001C2E8E"/>
    <w:rsid w:val="001D1984"/>
    <w:rsid w:val="001D3BF4"/>
    <w:rsid w:val="001D5082"/>
    <w:rsid w:val="001E1C03"/>
    <w:rsid w:val="001E7128"/>
    <w:rsid w:val="001E7FDC"/>
    <w:rsid w:val="001F63AC"/>
    <w:rsid w:val="00200DC8"/>
    <w:rsid w:val="00200EAC"/>
    <w:rsid w:val="00210B92"/>
    <w:rsid w:val="002111CB"/>
    <w:rsid w:val="00212ADD"/>
    <w:rsid w:val="00222311"/>
    <w:rsid w:val="00225225"/>
    <w:rsid w:val="00240AD8"/>
    <w:rsid w:val="002548D5"/>
    <w:rsid w:val="002606C0"/>
    <w:rsid w:val="00266BFC"/>
    <w:rsid w:val="0028294B"/>
    <w:rsid w:val="00284BB2"/>
    <w:rsid w:val="00287B21"/>
    <w:rsid w:val="002A0D1B"/>
    <w:rsid w:val="002A41EB"/>
    <w:rsid w:val="002C068C"/>
    <w:rsid w:val="002C23FE"/>
    <w:rsid w:val="002D6317"/>
    <w:rsid w:val="002D68C1"/>
    <w:rsid w:val="002E195E"/>
    <w:rsid w:val="002E3906"/>
    <w:rsid w:val="002E6F22"/>
    <w:rsid w:val="00325EFB"/>
    <w:rsid w:val="00334B70"/>
    <w:rsid w:val="00336E2F"/>
    <w:rsid w:val="00343827"/>
    <w:rsid w:val="00344C2C"/>
    <w:rsid w:val="00374D03"/>
    <w:rsid w:val="00375BE3"/>
    <w:rsid w:val="003761D9"/>
    <w:rsid w:val="00382F30"/>
    <w:rsid w:val="00384629"/>
    <w:rsid w:val="0039251D"/>
    <w:rsid w:val="00393DF8"/>
    <w:rsid w:val="003A5760"/>
    <w:rsid w:val="003B07AE"/>
    <w:rsid w:val="003B3008"/>
    <w:rsid w:val="003C4606"/>
    <w:rsid w:val="003C4AC2"/>
    <w:rsid w:val="003D2C53"/>
    <w:rsid w:val="003E14E5"/>
    <w:rsid w:val="003E40CB"/>
    <w:rsid w:val="0040379C"/>
    <w:rsid w:val="00405AE1"/>
    <w:rsid w:val="00406DAB"/>
    <w:rsid w:val="00412D85"/>
    <w:rsid w:val="00414459"/>
    <w:rsid w:val="0041745B"/>
    <w:rsid w:val="004201E4"/>
    <w:rsid w:val="00426EBE"/>
    <w:rsid w:val="00427280"/>
    <w:rsid w:val="00431779"/>
    <w:rsid w:val="00446869"/>
    <w:rsid w:val="004626AC"/>
    <w:rsid w:val="004658E0"/>
    <w:rsid w:val="00466B23"/>
    <w:rsid w:val="00470B4F"/>
    <w:rsid w:val="004711E7"/>
    <w:rsid w:val="0047217C"/>
    <w:rsid w:val="00474955"/>
    <w:rsid w:val="0049230D"/>
    <w:rsid w:val="00497FEE"/>
    <w:rsid w:val="004A7A4B"/>
    <w:rsid w:val="004B12A9"/>
    <w:rsid w:val="004B47B7"/>
    <w:rsid w:val="004D0A81"/>
    <w:rsid w:val="004D43E1"/>
    <w:rsid w:val="004D542C"/>
    <w:rsid w:val="004D66D4"/>
    <w:rsid w:val="004E3F3E"/>
    <w:rsid w:val="00500F62"/>
    <w:rsid w:val="00510CF4"/>
    <w:rsid w:val="00524974"/>
    <w:rsid w:val="00531D9B"/>
    <w:rsid w:val="00537290"/>
    <w:rsid w:val="00550D85"/>
    <w:rsid w:val="00553175"/>
    <w:rsid w:val="00557932"/>
    <w:rsid w:val="00571AD3"/>
    <w:rsid w:val="00574B5C"/>
    <w:rsid w:val="005966A6"/>
    <w:rsid w:val="00597C96"/>
    <w:rsid w:val="005A6419"/>
    <w:rsid w:val="005B2DA0"/>
    <w:rsid w:val="005B2E91"/>
    <w:rsid w:val="005C2E14"/>
    <w:rsid w:val="005D084F"/>
    <w:rsid w:val="005D3FC7"/>
    <w:rsid w:val="00604F43"/>
    <w:rsid w:val="00612C9E"/>
    <w:rsid w:val="0061546B"/>
    <w:rsid w:val="006247B2"/>
    <w:rsid w:val="006279C2"/>
    <w:rsid w:val="00627C09"/>
    <w:rsid w:val="00631D07"/>
    <w:rsid w:val="00636862"/>
    <w:rsid w:val="00655BF6"/>
    <w:rsid w:val="00664DCB"/>
    <w:rsid w:val="00675079"/>
    <w:rsid w:val="00677BD4"/>
    <w:rsid w:val="00682A76"/>
    <w:rsid w:val="0069557F"/>
    <w:rsid w:val="006B0EA0"/>
    <w:rsid w:val="006C19E5"/>
    <w:rsid w:val="006C4960"/>
    <w:rsid w:val="006D15EA"/>
    <w:rsid w:val="006D3854"/>
    <w:rsid w:val="006E6B19"/>
    <w:rsid w:val="006F063E"/>
    <w:rsid w:val="00702396"/>
    <w:rsid w:val="007067A4"/>
    <w:rsid w:val="007143A3"/>
    <w:rsid w:val="00720E3F"/>
    <w:rsid w:val="007211DF"/>
    <w:rsid w:val="00743B1D"/>
    <w:rsid w:val="00744CB2"/>
    <w:rsid w:val="007547E4"/>
    <w:rsid w:val="0076297E"/>
    <w:rsid w:val="00774070"/>
    <w:rsid w:val="00787291"/>
    <w:rsid w:val="00787361"/>
    <w:rsid w:val="00797812"/>
    <w:rsid w:val="007A559C"/>
    <w:rsid w:val="007A56E4"/>
    <w:rsid w:val="007A596D"/>
    <w:rsid w:val="007B4023"/>
    <w:rsid w:val="007C2F43"/>
    <w:rsid w:val="007D5418"/>
    <w:rsid w:val="00813604"/>
    <w:rsid w:val="00823BDD"/>
    <w:rsid w:val="00833503"/>
    <w:rsid w:val="008419C3"/>
    <w:rsid w:val="00843BEC"/>
    <w:rsid w:val="00846CC0"/>
    <w:rsid w:val="008802E5"/>
    <w:rsid w:val="00890C44"/>
    <w:rsid w:val="0089215D"/>
    <w:rsid w:val="00892CFC"/>
    <w:rsid w:val="00897DF7"/>
    <w:rsid w:val="008A6A3F"/>
    <w:rsid w:val="008D27FE"/>
    <w:rsid w:val="008F051A"/>
    <w:rsid w:val="00900062"/>
    <w:rsid w:val="0090207C"/>
    <w:rsid w:val="00912113"/>
    <w:rsid w:val="00915D5B"/>
    <w:rsid w:val="00916885"/>
    <w:rsid w:val="00923843"/>
    <w:rsid w:val="00931DE8"/>
    <w:rsid w:val="0093352B"/>
    <w:rsid w:val="009363E3"/>
    <w:rsid w:val="00936D86"/>
    <w:rsid w:val="009402C9"/>
    <w:rsid w:val="00942E07"/>
    <w:rsid w:val="00945DAE"/>
    <w:rsid w:val="00952ECB"/>
    <w:rsid w:val="009672AA"/>
    <w:rsid w:val="009913E9"/>
    <w:rsid w:val="009A1983"/>
    <w:rsid w:val="009A3782"/>
    <w:rsid w:val="009E2875"/>
    <w:rsid w:val="009E2991"/>
    <w:rsid w:val="00A20748"/>
    <w:rsid w:val="00A243A9"/>
    <w:rsid w:val="00A30CA6"/>
    <w:rsid w:val="00A616E6"/>
    <w:rsid w:val="00A621FF"/>
    <w:rsid w:val="00A6662C"/>
    <w:rsid w:val="00A725C5"/>
    <w:rsid w:val="00A8531D"/>
    <w:rsid w:val="00AB10A9"/>
    <w:rsid w:val="00AB7C68"/>
    <w:rsid w:val="00AD2A62"/>
    <w:rsid w:val="00AD55AF"/>
    <w:rsid w:val="00AE69BD"/>
    <w:rsid w:val="00B2355E"/>
    <w:rsid w:val="00B2608F"/>
    <w:rsid w:val="00B3144C"/>
    <w:rsid w:val="00B32928"/>
    <w:rsid w:val="00B40835"/>
    <w:rsid w:val="00B62785"/>
    <w:rsid w:val="00B9192E"/>
    <w:rsid w:val="00B91E5E"/>
    <w:rsid w:val="00B9309A"/>
    <w:rsid w:val="00B93E79"/>
    <w:rsid w:val="00B95A53"/>
    <w:rsid w:val="00BB3D0F"/>
    <w:rsid w:val="00BB5C68"/>
    <w:rsid w:val="00BB6927"/>
    <w:rsid w:val="00BE174D"/>
    <w:rsid w:val="00BF259C"/>
    <w:rsid w:val="00BF3171"/>
    <w:rsid w:val="00BF31CD"/>
    <w:rsid w:val="00BF7504"/>
    <w:rsid w:val="00C01B7A"/>
    <w:rsid w:val="00C01ECB"/>
    <w:rsid w:val="00C02B86"/>
    <w:rsid w:val="00C114E3"/>
    <w:rsid w:val="00C30A66"/>
    <w:rsid w:val="00C32033"/>
    <w:rsid w:val="00C607B0"/>
    <w:rsid w:val="00C6247E"/>
    <w:rsid w:val="00C65D0E"/>
    <w:rsid w:val="00C820A2"/>
    <w:rsid w:val="00CB1932"/>
    <w:rsid w:val="00CB6576"/>
    <w:rsid w:val="00CD516A"/>
    <w:rsid w:val="00CE43B5"/>
    <w:rsid w:val="00D12313"/>
    <w:rsid w:val="00D133D5"/>
    <w:rsid w:val="00D24AAA"/>
    <w:rsid w:val="00D354EC"/>
    <w:rsid w:val="00D50539"/>
    <w:rsid w:val="00D55AE3"/>
    <w:rsid w:val="00D5627E"/>
    <w:rsid w:val="00D647C3"/>
    <w:rsid w:val="00D65D10"/>
    <w:rsid w:val="00D73945"/>
    <w:rsid w:val="00DA14EA"/>
    <w:rsid w:val="00DA736C"/>
    <w:rsid w:val="00DD4E12"/>
    <w:rsid w:val="00DE4C81"/>
    <w:rsid w:val="00DE6118"/>
    <w:rsid w:val="00DE7B1B"/>
    <w:rsid w:val="00DF0030"/>
    <w:rsid w:val="00DF0F64"/>
    <w:rsid w:val="00DF1AC1"/>
    <w:rsid w:val="00E05EC6"/>
    <w:rsid w:val="00E06ED6"/>
    <w:rsid w:val="00E17346"/>
    <w:rsid w:val="00E23097"/>
    <w:rsid w:val="00E243FC"/>
    <w:rsid w:val="00E24F36"/>
    <w:rsid w:val="00E32605"/>
    <w:rsid w:val="00E36F6E"/>
    <w:rsid w:val="00E45522"/>
    <w:rsid w:val="00E57674"/>
    <w:rsid w:val="00E62DC9"/>
    <w:rsid w:val="00E64898"/>
    <w:rsid w:val="00E7481B"/>
    <w:rsid w:val="00E8624F"/>
    <w:rsid w:val="00E94DEC"/>
    <w:rsid w:val="00EB3FB5"/>
    <w:rsid w:val="00EC1D08"/>
    <w:rsid w:val="00ED0E9E"/>
    <w:rsid w:val="00ED6F70"/>
    <w:rsid w:val="00EE4494"/>
    <w:rsid w:val="00EE6252"/>
    <w:rsid w:val="00F071E4"/>
    <w:rsid w:val="00F16537"/>
    <w:rsid w:val="00F329CF"/>
    <w:rsid w:val="00F36965"/>
    <w:rsid w:val="00F4074C"/>
    <w:rsid w:val="00F42A26"/>
    <w:rsid w:val="00F52255"/>
    <w:rsid w:val="00F571C2"/>
    <w:rsid w:val="00F64FCB"/>
    <w:rsid w:val="00F6710A"/>
    <w:rsid w:val="00F675B3"/>
    <w:rsid w:val="00F71BBD"/>
    <w:rsid w:val="00F7237B"/>
    <w:rsid w:val="00FB5A24"/>
    <w:rsid w:val="00FD10D0"/>
    <w:rsid w:val="00FD2738"/>
    <w:rsid w:val="00FF533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231EF7"/>
  <w15:chartTrackingRefBased/>
  <w15:docId w15:val="{7527CC36-70CF-2743-A21D-8C30C6483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279C2"/>
    <w:rPr>
      <w:rFonts w:ascii="Times New Roman" w:eastAsia="Times New Roman" w:hAnsi="Times New Roman" w:cs="Times New Roman"/>
      <w:kern w:val="0"/>
      <w:szCs w:val="20"/>
      <w:lang w:val="en-US"/>
      <w14:ligatures w14:val="none"/>
    </w:rPr>
  </w:style>
  <w:style w:type="paragraph" w:styleId="berschrift1">
    <w:name w:val="heading 1"/>
    <w:basedOn w:val="Standard"/>
    <w:next w:val="Standard"/>
    <w:link w:val="berschrift1Zchn"/>
    <w:uiPriority w:val="9"/>
    <w:qFormat/>
    <w:rsid w:val="006279C2"/>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SMHeading">
    <w:name w:val="SM Heading"/>
    <w:basedOn w:val="berschrift1"/>
    <w:qFormat/>
    <w:rsid w:val="006279C2"/>
    <w:pPr>
      <w:keepLines w:val="0"/>
      <w:spacing w:after="60"/>
    </w:pPr>
    <w:rPr>
      <w:rFonts w:ascii="Times New Roman" w:eastAsia="Times New Roman" w:hAnsi="Times New Roman" w:cs="Times New Roman"/>
      <w:b/>
      <w:bCs/>
      <w:color w:val="auto"/>
      <w:kern w:val="32"/>
      <w:sz w:val="24"/>
      <w:szCs w:val="24"/>
    </w:rPr>
  </w:style>
  <w:style w:type="paragraph" w:customStyle="1" w:styleId="SMcaption">
    <w:name w:val="SM caption"/>
    <w:basedOn w:val="Standard"/>
    <w:qFormat/>
    <w:rsid w:val="006279C2"/>
  </w:style>
  <w:style w:type="character" w:styleId="Hyperlink">
    <w:name w:val="Hyperlink"/>
    <w:uiPriority w:val="99"/>
    <w:rsid w:val="006279C2"/>
    <w:rPr>
      <w:color w:val="0000FF"/>
      <w:u w:val="single"/>
    </w:rPr>
  </w:style>
  <w:style w:type="character" w:customStyle="1" w:styleId="berschrift1Zchn">
    <w:name w:val="Überschrift 1 Zchn"/>
    <w:basedOn w:val="Absatz-Standardschriftart"/>
    <w:link w:val="berschrift1"/>
    <w:uiPriority w:val="9"/>
    <w:rsid w:val="006279C2"/>
    <w:rPr>
      <w:rFonts w:asciiTheme="majorHAnsi" w:eastAsiaTheme="majorEastAsia" w:hAnsiTheme="majorHAnsi" w:cstheme="majorBidi"/>
      <w:color w:val="2F5496" w:themeColor="accent1" w:themeShade="BF"/>
      <w:kern w:val="0"/>
      <w:sz w:val="32"/>
      <w:szCs w:val="32"/>
      <w:lang w:val="en-US"/>
      <w14:ligatures w14:val="none"/>
    </w:rPr>
  </w:style>
  <w:style w:type="paragraph" w:styleId="berarbeitung">
    <w:name w:val="Revision"/>
    <w:hidden/>
    <w:uiPriority w:val="99"/>
    <w:semiHidden/>
    <w:rsid w:val="0039251D"/>
    <w:rPr>
      <w:rFonts w:ascii="Times New Roman" w:eastAsia="Times New Roman" w:hAnsi="Times New Roman" w:cs="Times New Roman"/>
      <w:kern w:val="0"/>
      <w:szCs w:val="20"/>
      <w:lang w:val="en-US"/>
      <w14:ligatures w14:val="none"/>
    </w:rPr>
  </w:style>
  <w:style w:type="character" w:styleId="Kommentarzeichen">
    <w:name w:val="annotation reference"/>
    <w:basedOn w:val="Absatz-Standardschriftart"/>
    <w:uiPriority w:val="99"/>
    <w:semiHidden/>
    <w:unhideWhenUsed/>
    <w:rsid w:val="00D73945"/>
    <w:rPr>
      <w:sz w:val="16"/>
      <w:szCs w:val="16"/>
    </w:rPr>
  </w:style>
  <w:style w:type="paragraph" w:styleId="Kommentartext">
    <w:name w:val="annotation text"/>
    <w:basedOn w:val="Standard"/>
    <w:link w:val="KommentartextZchn"/>
    <w:uiPriority w:val="99"/>
    <w:semiHidden/>
    <w:unhideWhenUsed/>
    <w:rsid w:val="00D73945"/>
    <w:rPr>
      <w:sz w:val="20"/>
    </w:rPr>
  </w:style>
  <w:style w:type="character" w:customStyle="1" w:styleId="KommentartextZchn">
    <w:name w:val="Kommentartext Zchn"/>
    <w:basedOn w:val="Absatz-Standardschriftart"/>
    <w:link w:val="Kommentartext"/>
    <w:uiPriority w:val="99"/>
    <w:semiHidden/>
    <w:rsid w:val="00D73945"/>
    <w:rPr>
      <w:rFonts w:ascii="Times New Roman" w:eastAsia="Times New Roman" w:hAnsi="Times New Roman" w:cs="Times New Roman"/>
      <w:kern w:val="0"/>
      <w:sz w:val="20"/>
      <w:szCs w:val="20"/>
      <w:lang w:val="en-US"/>
      <w14:ligatures w14:val="none"/>
    </w:rPr>
  </w:style>
  <w:style w:type="paragraph" w:styleId="Kommentarthema">
    <w:name w:val="annotation subject"/>
    <w:basedOn w:val="Kommentartext"/>
    <w:next w:val="Kommentartext"/>
    <w:link w:val="KommentarthemaZchn"/>
    <w:uiPriority w:val="99"/>
    <w:semiHidden/>
    <w:unhideWhenUsed/>
    <w:rsid w:val="00D73945"/>
    <w:rPr>
      <w:b/>
      <w:bCs/>
    </w:rPr>
  </w:style>
  <w:style w:type="character" w:customStyle="1" w:styleId="KommentarthemaZchn">
    <w:name w:val="Kommentarthema Zchn"/>
    <w:basedOn w:val="KommentartextZchn"/>
    <w:link w:val="Kommentarthema"/>
    <w:uiPriority w:val="99"/>
    <w:semiHidden/>
    <w:rsid w:val="00D73945"/>
    <w:rPr>
      <w:rFonts w:ascii="Times New Roman" w:eastAsia="Times New Roman" w:hAnsi="Times New Roman" w:cs="Times New Roman"/>
      <w:b/>
      <w:bCs/>
      <w:kern w:val="0"/>
      <w:sz w:val="20"/>
      <w:szCs w:val="20"/>
      <w:lang w:val="en-US"/>
      <w14:ligatures w14:val="none"/>
    </w:rPr>
  </w:style>
  <w:style w:type="paragraph" w:styleId="Listenabsatz">
    <w:name w:val="List Paragraph"/>
    <w:basedOn w:val="Standard"/>
    <w:uiPriority w:val="34"/>
    <w:qFormat/>
    <w:rsid w:val="003E14E5"/>
    <w:pPr>
      <w:ind w:left="720"/>
      <w:contextualSpacing/>
    </w:pPr>
  </w:style>
  <w:style w:type="paragraph" w:customStyle="1" w:styleId="p1">
    <w:name w:val="p1"/>
    <w:basedOn w:val="Standard"/>
    <w:rsid w:val="00952ECB"/>
    <w:pPr>
      <w:spacing w:before="100" w:beforeAutospacing="1" w:after="100" w:afterAutospacing="1"/>
    </w:pPr>
    <w:rPr>
      <w:szCs w:val="24"/>
      <w:lang w:val="de-DE" w:eastAsia="de-DE"/>
    </w:rPr>
  </w:style>
  <w:style w:type="character" w:customStyle="1" w:styleId="s1">
    <w:name w:val="s1"/>
    <w:basedOn w:val="Absatz-Standardschriftart"/>
    <w:rsid w:val="00952ECB"/>
  </w:style>
  <w:style w:type="character" w:styleId="Fett">
    <w:name w:val="Strong"/>
    <w:basedOn w:val="Absatz-Standardschriftart"/>
    <w:uiPriority w:val="22"/>
    <w:qFormat/>
    <w:rsid w:val="00574B5C"/>
    <w:rPr>
      <w:rFonts w:cs="Times New Roman"/>
      <w:b/>
    </w:rPr>
  </w:style>
  <w:style w:type="character" w:customStyle="1" w:styleId="affiliationdepartment">
    <w:name w:val="affiliation__department"/>
    <w:basedOn w:val="Absatz-Standardschriftart"/>
    <w:rsid w:val="00574B5C"/>
    <w:rPr>
      <w:rFonts w:cs="Times New Roman"/>
    </w:rPr>
  </w:style>
  <w:style w:type="paragraph" w:styleId="KeinLeerraum">
    <w:name w:val="No Spacing"/>
    <w:uiPriority w:val="1"/>
    <w:qFormat/>
    <w:rsid w:val="00574B5C"/>
    <w:rPr>
      <w:rFonts w:eastAsiaTheme="minorEastAsia" w:cs="Times New Roman"/>
      <w:kern w:val="0"/>
      <w:sz w:val="22"/>
      <w:szCs w:val="22"/>
      <w14:ligatures w14:val="none"/>
    </w:rPr>
  </w:style>
  <w:style w:type="paragraph" w:customStyle="1" w:styleId="Paragraph">
    <w:name w:val="Paragraph"/>
    <w:basedOn w:val="Standard"/>
    <w:rsid w:val="00F4074C"/>
    <w:pPr>
      <w:spacing w:before="120"/>
      <w:ind w:firstLine="720"/>
    </w:pPr>
    <w:rPr>
      <w:szCs w:val="24"/>
    </w:rPr>
  </w:style>
  <w:style w:type="character" w:customStyle="1" w:styleId="apple-converted-space">
    <w:name w:val="apple-converted-space"/>
    <w:basedOn w:val="Absatz-Standardschriftart"/>
    <w:rsid w:val="00F4074C"/>
    <w:rPr>
      <w:rFonts w:cs="Times New Roman"/>
    </w:rPr>
  </w:style>
  <w:style w:type="paragraph" w:customStyle="1" w:styleId="Literaturverzeichnis1">
    <w:name w:val="Literaturverzeichnis1"/>
    <w:basedOn w:val="Standard"/>
    <w:rsid w:val="00F4074C"/>
    <w:pPr>
      <w:spacing w:before="100" w:beforeAutospacing="1" w:after="100" w:afterAutospacing="1"/>
    </w:pPr>
    <w:rPr>
      <w:rFonts w:eastAsiaTheme="minorEastAsia"/>
      <w:szCs w:val="24"/>
      <w:lang w:val="de-DE" w:eastAsia="de-DE"/>
    </w:rPr>
  </w:style>
  <w:style w:type="paragraph" w:styleId="Fuzeile">
    <w:name w:val="footer"/>
    <w:basedOn w:val="Standard"/>
    <w:link w:val="FuzeileZchn"/>
    <w:uiPriority w:val="99"/>
    <w:unhideWhenUsed/>
    <w:rsid w:val="00AD2A62"/>
    <w:pPr>
      <w:tabs>
        <w:tab w:val="center" w:pos="4536"/>
        <w:tab w:val="right" w:pos="9072"/>
      </w:tabs>
    </w:pPr>
  </w:style>
  <w:style w:type="character" w:customStyle="1" w:styleId="FuzeileZchn">
    <w:name w:val="Fußzeile Zchn"/>
    <w:basedOn w:val="Absatz-Standardschriftart"/>
    <w:link w:val="Fuzeile"/>
    <w:uiPriority w:val="99"/>
    <w:rsid w:val="00AD2A62"/>
    <w:rPr>
      <w:rFonts w:ascii="Times New Roman" w:eastAsia="Times New Roman" w:hAnsi="Times New Roman" w:cs="Times New Roman"/>
      <w:kern w:val="0"/>
      <w:szCs w:val="20"/>
      <w:lang w:val="en-US"/>
      <w14:ligatures w14:val="none"/>
    </w:rPr>
  </w:style>
  <w:style w:type="character" w:styleId="Seitenzahl">
    <w:name w:val="page number"/>
    <w:basedOn w:val="Absatz-Standardschriftart"/>
    <w:uiPriority w:val="99"/>
    <w:semiHidden/>
    <w:unhideWhenUsed/>
    <w:rsid w:val="00AD2A62"/>
  </w:style>
  <w:style w:type="paragraph" w:styleId="Kopfzeile">
    <w:name w:val="header"/>
    <w:basedOn w:val="Standard"/>
    <w:link w:val="KopfzeileZchn"/>
    <w:uiPriority w:val="99"/>
    <w:unhideWhenUsed/>
    <w:rsid w:val="00AD2A62"/>
    <w:pPr>
      <w:tabs>
        <w:tab w:val="center" w:pos="4536"/>
        <w:tab w:val="right" w:pos="9072"/>
      </w:tabs>
    </w:pPr>
  </w:style>
  <w:style w:type="character" w:customStyle="1" w:styleId="KopfzeileZchn">
    <w:name w:val="Kopfzeile Zchn"/>
    <w:basedOn w:val="Absatz-Standardschriftart"/>
    <w:link w:val="Kopfzeile"/>
    <w:uiPriority w:val="99"/>
    <w:rsid w:val="00AD2A62"/>
    <w:rPr>
      <w:rFonts w:ascii="Times New Roman" w:eastAsia="Times New Roman" w:hAnsi="Times New Roman" w:cs="Times New Roman"/>
      <w:kern w:val="0"/>
      <w:szCs w:val="20"/>
      <w:lang w:val="en-US"/>
      <w14:ligatures w14:val="none"/>
    </w:rPr>
  </w:style>
  <w:style w:type="paragraph" w:customStyle="1" w:styleId="Literaturverzeichnis2">
    <w:name w:val="Literaturverzeichnis2"/>
    <w:basedOn w:val="Standard"/>
    <w:rsid w:val="00F329CF"/>
    <w:pPr>
      <w:spacing w:before="100" w:beforeAutospacing="1" w:after="100" w:afterAutospacing="1"/>
    </w:pPr>
    <w:rPr>
      <w:rFonts w:eastAsiaTheme="minorEastAsia"/>
      <w:szCs w:val="24"/>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guenter.schneider@med.uni-goettingen.de" TargetMode="External"/><Relationship Id="rId13" Type="http://schemas.openxmlformats.org/officeDocument/2006/relationships/image" Target="media/image5.tiff"/><Relationship Id="rId18" Type="http://schemas.openxmlformats.org/officeDocument/2006/relationships/hyperlink" Target="https://cellmodelpassports.sanger.ac.uk/"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www.linkedomics.org/login.php" TargetMode="External"/><Relationship Id="rId7" Type="http://schemas.openxmlformats.org/officeDocument/2006/relationships/endnotes" Target="endnotes.xml"/><Relationship Id="rId12" Type="http://schemas.openxmlformats.org/officeDocument/2006/relationships/image" Target="media/image4.tiff"/><Relationship Id="rId17" Type="http://schemas.openxmlformats.org/officeDocument/2006/relationships/hyperlink" Target="https://score.depmap.sanger.ac.uk/" TargetMode="External"/><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hyperlink" Target="https://biit.cs.ut.ee/gprofiler/orth" TargetMode="External"/><Relationship Id="rId20" Type="http://schemas.openxmlformats.org/officeDocument/2006/relationships/hyperlink" Target="http://pancan.cptac-data-view.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cas13design.nygenome.org" TargetMode="External"/><Relationship Id="rId23" Type="http://schemas.openxmlformats.org/officeDocument/2006/relationships/footer" Target="footer2.xml"/><Relationship Id="rId10" Type="http://schemas.openxmlformats.org/officeDocument/2006/relationships/image" Target="media/image2.tiff"/><Relationship Id="rId19" Type="http://schemas.openxmlformats.org/officeDocument/2006/relationships/hyperlink" Target="https://depmap.org" TargetMode="External"/><Relationship Id="rId4" Type="http://schemas.openxmlformats.org/officeDocument/2006/relationships/settings" Target="setting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B7FE1CBE7915F4EAAA6074315F7814A"/>
        <w:category>
          <w:name w:val="Allgemein"/>
          <w:gallery w:val="placeholder"/>
        </w:category>
        <w:types>
          <w:type w:val="bbPlcHdr"/>
        </w:types>
        <w:behaviors>
          <w:behavior w:val="content"/>
        </w:behaviors>
        <w:guid w:val="{EB4AA293-ECFD-4B41-81B6-4F1483B74B9D}"/>
      </w:docPartPr>
      <w:docPartBody>
        <w:p w:rsidR="00C34C04" w:rsidRDefault="00520F8D" w:rsidP="00520F8D">
          <w:pPr>
            <w:pStyle w:val="AB7FE1CBE7915F4EAAA6074315F7814A"/>
          </w:pPr>
          <w:r w:rsidRPr="00FA05AB">
            <w:rPr>
              <w:rStyle w:val="Platzhaltertext"/>
              <w:lang w:eastAsia="en-US"/>
            </w:rPr>
            <w:t>Klicken oder tippen Sie hier, um Text einzugeben.</w:t>
          </w:r>
        </w:p>
      </w:docPartBody>
    </w:docPart>
    <w:docPart>
      <w:docPartPr>
        <w:name w:val="90CA6DADBB3CB942B16D90E2960EAA6A"/>
        <w:category>
          <w:name w:val="Allgemein"/>
          <w:gallery w:val="placeholder"/>
        </w:category>
        <w:types>
          <w:type w:val="bbPlcHdr"/>
        </w:types>
        <w:behaviors>
          <w:behavior w:val="content"/>
        </w:behaviors>
        <w:guid w:val="{3F483F42-D9D1-F64F-BA77-8FBF5366DB98}"/>
      </w:docPartPr>
      <w:docPartBody>
        <w:p w:rsidR="00C34C04" w:rsidRDefault="00520F8D" w:rsidP="00520F8D">
          <w:pPr>
            <w:pStyle w:val="90CA6DADBB3CB942B16D90E2960EAA6A"/>
          </w:pPr>
          <w:r w:rsidRPr="0045364D">
            <w:rPr>
              <w:rStyle w:val="Platzhaltertext"/>
            </w:rPr>
            <w:t>Klicken oder tippen Sie hier, um Text einzugeben.</w:t>
          </w:r>
        </w:p>
      </w:docPartBody>
    </w:docPart>
    <w:docPart>
      <w:docPartPr>
        <w:name w:val="C9E73DC3BFCB9C4B9EE3A75BBF9F5F9C"/>
        <w:category>
          <w:name w:val="Allgemein"/>
          <w:gallery w:val="placeholder"/>
        </w:category>
        <w:types>
          <w:type w:val="bbPlcHdr"/>
        </w:types>
        <w:behaviors>
          <w:behavior w:val="content"/>
        </w:behaviors>
        <w:guid w:val="{6A80D552-0F29-0C4D-8153-97B2266CA92B}"/>
      </w:docPartPr>
      <w:docPartBody>
        <w:p w:rsidR="00C34C04" w:rsidRDefault="00520F8D" w:rsidP="00520F8D">
          <w:pPr>
            <w:pStyle w:val="C9E73DC3BFCB9C4B9EE3A75BBF9F5F9C"/>
          </w:pPr>
          <w:r w:rsidRPr="003411D8">
            <w:rPr>
              <w:rStyle w:val="Platzhaltertext"/>
            </w:rPr>
            <w:t>Klicken oder tippen Sie hier, um Text einzugeben.</w:t>
          </w:r>
        </w:p>
      </w:docPartBody>
    </w:docPart>
    <w:docPart>
      <w:docPartPr>
        <w:name w:val="8CD65BD32D01914C85B1B384A2589DB7"/>
        <w:category>
          <w:name w:val="Allgemein"/>
          <w:gallery w:val="placeholder"/>
        </w:category>
        <w:types>
          <w:type w:val="bbPlcHdr"/>
        </w:types>
        <w:behaviors>
          <w:behavior w:val="content"/>
        </w:behaviors>
        <w:guid w:val="{BB3E354D-74B0-4341-AC2C-5C086C72371B}"/>
      </w:docPartPr>
      <w:docPartBody>
        <w:p w:rsidR="00C34C04" w:rsidRDefault="00520F8D" w:rsidP="00520F8D">
          <w:pPr>
            <w:pStyle w:val="8CD65BD32D01914C85B1B384A2589DB7"/>
          </w:pPr>
          <w:r w:rsidRPr="00FA05AB">
            <w:rPr>
              <w:rStyle w:val="Platzhaltertext"/>
              <w:lang w:eastAsia="en-US"/>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0F8D"/>
    <w:rsid w:val="0010701C"/>
    <w:rsid w:val="001C06EF"/>
    <w:rsid w:val="001C2E8E"/>
    <w:rsid w:val="002A0D1B"/>
    <w:rsid w:val="002F7814"/>
    <w:rsid w:val="0037510F"/>
    <w:rsid w:val="003F5BBE"/>
    <w:rsid w:val="00497D1B"/>
    <w:rsid w:val="00520F8D"/>
    <w:rsid w:val="007B18D2"/>
    <w:rsid w:val="00847AD2"/>
    <w:rsid w:val="009363E3"/>
    <w:rsid w:val="009D5325"/>
    <w:rsid w:val="00C34C04"/>
    <w:rsid w:val="00C64B6C"/>
    <w:rsid w:val="00D975E9"/>
    <w:rsid w:val="00DF0030"/>
    <w:rsid w:val="00E2543C"/>
    <w:rsid w:val="00EF0ED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rsid w:val="00520F8D"/>
    <w:rPr>
      <w:color w:val="666666"/>
    </w:rPr>
  </w:style>
  <w:style w:type="paragraph" w:customStyle="1" w:styleId="AB7FE1CBE7915F4EAAA6074315F7814A">
    <w:name w:val="AB7FE1CBE7915F4EAAA6074315F7814A"/>
    <w:rsid w:val="00520F8D"/>
  </w:style>
  <w:style w:type="paragraph" w:customStyle="1" w:styleId="90CA6DADBB3CB942B16D90E2960EAA6A">
    <w:name w:val="90CA6DADBB3CB942B16D90E2960EAA6A"/>
    <w:rsid w:val="00520F8D"/>
  </w:style>
  <w:style w:type="paragraph" w:customStyle="1" w:styleId="C9E73DC3BFCB9C4B9EE3A75BBF9F5F9C">
    <w:name w:val="C9E73DC3BFCB9C4B9EE3A75BBF9F5F9C"/>
    <w:rsid w:val="00520F8D"/>
  </w:style>
  <w:style w:type="paragraph" w:customStyle="1" w:styleId="8CD65BD32D01914C85B1B384A2589DB7">
    <w:name w:val="8CD65BD32D01914C85B1B384A2589DB7"/>
    <w:rsid w:val="00520F8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B2E1C45-9F25-8845-B3A4-8ADB09695C35}">
  <we:reference id="wa104380917" version="1.0.1.0" store="de-DE" storeType="OMEX"/>
  <we:alternateReferences>
    <we:reference id="WA104380917" version="1.0.1.0" store="WA10438091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20AC96-6C97-4B16-8FD7-4FA03067CF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7110</Words>
  <Characters>44795</Characters>
  <Application>Microsoft Office Word</Application>
  <DocSecurity>0</DocSecurity>
  <Lines>373</Lines>
  <Paragraphs>103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51802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Günter Schneider</cp:lastModifiedBy>
  <cp:revision>4</cp:revision>
  <dcterms:created xsi:type="dcterms:W3CDTF">2026-05-07T13:13:00Z</dcterms:created>
  <dcterms:modified xsi:type="dcterms:W3CDTF">2026-05-08T07:08:00Z</dcterms:modified>
</cp:coreProperties>
</file>