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Supplementary Materials</w:t>
      </w:r>
    </w:p>
    <w:p w:rsidR="00000000" w:rsidDel="00000000" w:rsidP="00000000" w:rsidRDefault="00000000" w:rsidRPr="00000000" w14:paraId="00000002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bCs w:val="1"/>
          <w:rtl w:val="0"/>
        </w:rPr>
        <w:t xml:space="preserve">Supplementary Table S1.</w:t>
      </w:r>
      <w:r w:rsidDel="00000000" w:rsidR="00000000" w:rsidRPr="00000000">
        <w:rPr>
          <w:rtl w:val="0"/>
        </w:rPr>
        <w:t xml:space="preserve"> Landmark analysis of ECG-derived age acceleration and all-cause mortality in MIMIC-IV-ECG.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8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90"/>
        <w:gridCol w:w="1155"/>
        <w:gridCol w:w="975"/>
        <w:gridCol w:w="1350"/>
        <w:gridCol w:w="1395"/>
        <w:gridCol w:w="1200"/>
        <w:gridCol w:w="870"/>
        <w:tblGridChange w:id="0">
          <w:tblGrid>
            <w:gridCol w:w="1890"/>
            <w:gridCol w:w="1155"/>
            <w:gridCol w:w="975"/>
            <w:gridCol w:w="1350"/>
            <w:gridCol w:w="1395"/>
            <w:gridCol w:w="1200"/>
            <w:gridCol w:w="8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1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Landmark (days)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1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 patients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1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 events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1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HR per year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1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95% CI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1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p-value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1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C-index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160,493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26,902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1.005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1.004–1.006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1.88×10⁻¹⁷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0.746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156,477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22,886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1.007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1.006–1.008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2.02×10⁻²⁸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0.744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153,725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20,134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1.009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1.007–1.010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3.18×10⁻³⁶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0.741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180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151,428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17,837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1.009–1.011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6.78×10⁻⁴²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0.739</w:t>
            </w:r>
          </w:p>
        </w:tc>
      </w:tr>
    </w:tbl>
    <w:p w:rsidR="00000000" w:rsidDel="00000000" w:rsidP="00000000" w:rsidRDefault="00000000" w:rsidRPr="00000000" w14:paraId="00000028">
      <w:pPr>
        <w:spacing w:after="1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after="1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Supplementary Table S2.</w:t>
      </w:r>
      <w:r w:rsidDel="00000000" w:rsidR="00000000" w:rsidRPr="00000000">
        <w:rPr>
          <w:rtl w:val="0"/>
        </w:rPr>
        <w:t xml:space="preserve"> Concordance index comparison across nested Cox regression models. </w:t>
      </w:r>
    </w:p>
    <w:tbl>
      <w:tblPr>
        <w:tblStyle w:val="Table2"/>
        <w:tblW w:w="57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55"/>
        <w:gridCol w:w="3045"/>
        <w:tblGridChange w:id="0">
          <w:tblGrid>
            <w:gridCol w:w="2655"/>
            <w:gridCol w:w="3045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tcBorders>
              <w:top w:color="7f7f7f" w:space="0" w:sz="8" w:val="single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160" w:line="276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Model</w:t>
            </w:r>
          </w:p>
        </w:tc>
        <w:tc>
          <w:tcPr>
            <w:tcBorders>
              <w:top w:color="7f7f7f" w:space="0" w:sz="8" w:val="single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160" w:line="276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C-index</w:t>
            </w:r>
          </w:p>
        </w:tc>
      </w:tr>
      <w:tr>
        <w:trPr>
          <w:cantSplit w:val="0"/>
          <w:trHeight w:val="465.9252929687500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160" w:line="276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Age acceleration only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1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0.510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160" w:line="276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Chronological age only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1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0.743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7f7f7f" w:space="0" w:sz="8" w:val="single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160" w:line="276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Age + sex</w:t>
            </w:r>
          </w:p>
        </w:tc>
        <w:tc>
          <w:tcPr>
            <w:tcBorders>
              <w:top w:color="7f7f7f" w:space="0" w:sz="8" w:val="single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1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0.745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160" w:line="276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Full (accel + age + sex)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7f7f7f" w:space="0" w:sz="8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16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0.746 (95% CI: 0.744–0.748)</w:t>
            </w:r>
          </w:p>
        </w:tc>
      </w:tr>
    </w:tbl>
    <w:p w:rsidR="00000000" w:rsidDel="00000000" w:rsidP="00000000" w:rsidRDefault="00000000" w:rsidRPr="00000000" w14:paraId="00000035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60" w:line="278.00000000000006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Supplementary Table S3.</w:t>
      </w:r>
      <w:r w:rsidDel="00000000" w:rsidR="00000000" w:rsidRPr="00000000">
        <w:rPr>
          <w:rtl w:val="0"/>
        </w:rPr>
        <w:t xml:space="preserve"> SCP-ECG code descriptions. SCP-ECG diagnostic code abbreviations and descriptions used in the PTB-XL analysis. All codes and descriptions are from the PTB-XL dataset's official SCP-ECG annotation standard. </w:t>
      </w:r>
    </w:p>
    <w:tbl>
      <w:tblPr>
        <w:tblStyle w:val="Table3"/>
        <w:tblW w:w="6555.0" w:type="dxa"/>
        <w:jc w:val="left"/>
        <w:tblBorders>
          <w:top w:color="000000" w:space="0" w:sz="0" w:val="nil"/>
          <w:left w:color="000000" w:space="0" w:sz="0" w:val="nil"/>
          <w:bottom w:color="000000" w:space="0" w:sz="8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10"/>
        <w:gridCol w:w="5145"/>
        <w:tblGridChange w:id="0">
          <w:tblGrid>
            <w:gridCol w:w="1410"/>
            <w:gridCol w:w="514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160" w:line="278.00000000000006" w:lineRule="auto"/>
              <w:ind w:right="-20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SCP Code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160" w:line="278.00000000000006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SCP-ECG Statement Description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NORM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Normal ECG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Digitalis-effect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ISCAL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Ischemic in anterolateral leads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LNGQT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Long QT-interval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ISC_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Ischemic ST-T changes (non-specific)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ISCLA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Ischemic in lateral leads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NDT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Non-diagnostic T abnormalities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NST_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Non-specific ST changes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IMI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Inferior myocardial infarction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LVH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Left ventricular hypertrophy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INJAL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Subendocardial injury in anterolateral leads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CLBBB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Complete left bundle branch block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CRBBB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Complete right bundle branch block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IRBBB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Incomplete right bundle branch block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1AVB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First degree AV block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LAFB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Left anterior fascicular block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LPFB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Left posterior fascicular block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IVCD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Non-specific intraventricular conduction disturbance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AFIB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Atrial fibrillation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PVC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Ventricular premature complex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PACE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Normal functioning artificial pacemaker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RVH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Right ventricular hypertrophy</w:t>
            </w:r>
          </w:p>
        </w:tc>
      </w:tr>
    </w:tbl>
    <w:p w:rsidR="00000000" w:rsidDel="00000000" w:rsidP="00000000" w:rsidRDefault="00000000" w:rsidRPr="00000000" w14:paraId="00000066">
      <w:pPr>
        <w:spacing w:after="160" w:line="278.0000000000000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069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114300</wp:posOffset>
            </wp:positionV>
            <wp:extent cx="3538538" cy="3214172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32141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Fig. S1:</w:t>
      </w:r>
      <w:r w:rsidDel="00000000" w:rsidR="00000000" w:rsidRPr="00000000">
        <w:rPr>
          <w:rtl w:val="0"/>
        </w:rPr>
        <w:t xml:space="preserve"> Model comparison (Ridge/Lasso/GB/RF)</w:t>
      </w:r>
      <w:r w:rsidDel="00000000" w:rsidR="00000000" w:rsidRPr="00000000">
        <w:rPr>
          <w:rtl w:val="0"/>
        </w:rPr>
        <w:t xml:space="preserve">Age prediction performance across four regression models on the full PTB-XL dataset. Scatter plots of predicted versus chronological age for (A) Ridge regression (R²=0.600, MAE=8.33 years), (B) Lasso regression (R²=0.605, MAE=8.35 years), (C) Random Forest (R²=0.539, MAE=9.07 years), and (D) Gradient Boosting (R²=0.597, MAE=8.40 years). Dashed lines represent perfect prediction (y=x). All models were trained on the full dataset (healthy + diseased) for model selection purposes; the primary analysis used ElasticNetCV trained on healthy subjects only (R²=0.611, MAE=8.31 years). Linear models performed comparably to ensemble methods, supporting the use of ElasticNetCV for subsequent analyses.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121825</wp:posOffset>
            </wp:positionV>
            <wp:extent cx="6729413" cy="2562225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9413" cy="2562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Fig. S2: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Conduction 3-config sensitivity. Three feature configurations tested to determine whether the conduction bias is correctable: Configuration 1 (embedding only, d=−0.287), Configuration 2 (embedding + 150 task probabilities, d=−0.373), and Configuration 3 (embedding + 30 disease one-hot labels, d=−0.287). The 0% bias reduction from Configuration 1 to 3 indicates that the conduction bias is intrinsic to the ECGFounder embedding space. Configuration 2 amplified the bias, suggesting task probability outputs encode conduction-specific information that further separates conduction from aging signals.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  <w:bCs w:val="1"/>
        </w:rPr>
      </w:pPr>
      <w:r w:rsidDel="00000000" w:rsidR="00000000" w:rsidRPr="00000000">
        <w:rPr/>
        <w:drawing>
          <wp:inline distB="114300" distT="114300" distL="114300" distR="114300">
            <wp:extent cx="5943600" cy="40640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Figure S3. High-error patient analysis in the PTB-XL cohort </w:t>
      </w:r>
      <w:r w:rsidDel="00000000" w:rsidR="00000000" w:rsidRPr="00000000">
        <w:rPr>
          <w:rtl w:val="0"/>
        </w:rPr>
        <w:t xml:space="preserve">High-error patient analysis in PTB-XL. (a) Distribution of age deviation across all recordings. (b) Age distribution comparison between normal-error and high-error patients. (c) Disease enrichment ratios in the high-error group relative to normal-error, showing that complete left bundle branch block (CLBBB, 9.44×) and pacemaker rhythm (PACE, 5.82×) are the most over-represented conditions. (d) Sex distribution comparison between normal-error and high-error groups. 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Fig. S4:</w:t>
      </w:r>
      <w:r w:rsidDel="00000000" w:rsidR="00000000" w:rsidRPr="00000000">
        <w:rPr>
          <w:rtl w:val="0"/>
        </w:rPr>
        <w:t xml:space="preserve"> Sex-stratified lead comparison. Age prediction performance stratified by sex across all three lead configurations. Females consistently showed higher R² (12-lead: 0.643 vs 0.564; 6-lead: 0.532 vs 0.488; 1-lead: 0.526 vs 0.448), suggesting a more consistent aging signal in female ECG embeddings.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/>
        <w:drawing>
          <wp:inline distB="114300" distT="114300" distL="114300" distR="114300">
            <wp:extent cx="5262563" cy="294322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b w:val="1"/>
          <w:bCs w:val="1"/>
          <w:rtl w:val="0"/>
        </w:rPr>
        <w:t xml:space="preserve">Figure S5.</w:t>
      </w:r>
      <w:r w:rsidDel="00000000" w:rsidR="00000000" w:rsidRPr="00000000">
        <w:rPr>
          <w:rtl w:val="0"/>
        </w:rPr>
        <w:t xml:space="preserve"> Comparison of linear, quadratic, and spline age correction models in MIMIC-IV-ECG. Top row: predicted versus chronological age with fitted correction curves. Bottom row: residual plots after correction, showing near-zero slopes across all three methods (linear: 0.0001, quadratic: 0.0000, spline: 0.0000), confirming the sufficiency of linear OLS correction.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