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1726" w14:textId="77777777" w:rsidR="00871C81" w:rsidRPr="009D0202" w:rsidRDefault="00871C81" w:rsidP="00871C81">
      <w:pPr>
        <w:spacing w:after="0" w:line="480" w:lineRule="auto"/>
        <w:rPr>
          <w:rFonts w:ascii="Karla" w:hAnsi="Karla"/>
          <w:b/>
          <w:bCs/>
        </w:rPr>
      </w:pPr>
      <w:r w:rsidRPr="009D0202">
        <w:rPr>
          <w:rFonts w:ascii="Karla" w:hAnsi="Karla"/>
          <w:b/>
          <w:bCs/>
        </w:rPr>
        <w:t>SUPPLEMENTAL APPENDIX</w:t>
      </w:r>
    </w:p>
    <w:p w14:paraId="3481F34F" w14:textId="77777777" w:rsidR="00871C81" w:rsidRPr="009D0202" w:rsidRDefault="00871C81" w:rsidP="00871C81">
      <w:pPr>
        <w:spacing w:after="0" w:line="480" w:lineRule="auto"/>
        <w:rPr>
          <w:rFonts w:ascii="Karla" w:hAnsi="Karla"/>
          <w:b/>
          <w:bCs/>
        </w:rPr>
      </w:pPr>
      <w:r w:rsidRPr="009D0202">
        <w:rPr>
          <w:rFonts w:ascii="Karla" w:hAnsi="Karla"/>
          <w:b/>
          <w:bCs/>
        </w:rPr>
        <w:t>METHODS</w:t>
      </w:r>
    </w:p>
    <w:p w14:paraId="785FE3C1" w14:textId="77777777" w:rsidR="00871C81" w:rsidRPr="009D0202" w:rsidRDefault="00871C81" w:rsidP="00871C81">
      <w:pPr>
        <w:spacing w:after="0" w:line="480" w:lineRule="auto"/>
        <w:rPr>
          <w:rFonts w:ascii="Karla" w:hAnsi="Karla"/>
          <w:b/>
          <w:bCs/>
        </w:rPr>
      </w:pPr>
      <w:r w:rsidRPr="009D0202">
        <w:rPr>
          <w:rFonts w:ascii="Karla" w:hAnsi="Karla"/>
          <w:b/>
          <w:bCs/>
        </w:rPr>
        <w:t>Trial Design and Analysis</w:t>
      </w:r>
    </w:p>
    <w:p w14:paraId="11B15CF3" w14:textId="77777777" w:rsidR="00871C81" w:rsidRPr="009D0202" w:rsidRDefault="00871C81" w:rsidP="00871C81">
      <w:pPr>
        <w:spacing w:after="0" w:line="480" w:lineRule="auto"/>
        <w:rPr>
          <w:rFonts w:ascii="Karla" w:hAnsi="Karla"/>
        </w:rPr>
      </w:pPr>
      <w:r w:rsidRPr="009D0202">
        <w:rPr>
          <w:rFonts w:ascii="Karla" w:hAnsi="Karla"/>
        </w:rPr>
        <w:t>N-</w:t>
      </w:r>
      <w:proofErr w:type="spellStart"/>
      <w:r w:rsidRPr="009D0202">
        <w:rPr>
          <w:rFonts w:ascii="Karla" w:hAnsi="Karla"/>
        </w:rPr>
        <w:t>MOmentum</w:t>
      </w:r>
      <w:proofErr w:type="spellEnd"/>
      <w:r w:rsidRPr="009D0202">
        <w:rPr>
          <w:rFonts w:ascii="Karla" w:hAnsi="Karla"/>
        </w:rPr>
        <w:t xml:space="preserve"> was a double-blind, placebo-controlled, randomized, phase 2/3 clinical trial that assessed the efficacy and safety of inebilizumab (INEB) in adults with neuromyelitis </w:t>
      </w:r>
      <w:proofErr w:type="spellStart"/>
      <w:r w:rsidRPr="009D0202">
        <w:rPr>
          <w:rFonts w:ascii="Karla" w:hAnsi="Karla"/>
        </w:rPr>
        <w:t>optica</w:t>
      </w:r>
      <w:proofErr w:type="spellEnd"/>
      <w:r w:rsidRPr="009D0202">
        <w:rPr>
          <w:rFonts w:ascii="Karla" w:hAnsi="Karla"/>
        </w:rPr>
        <w:t xml:space="preserve"> spectrum disorder (NMOSD).</w:t>
      </w:r>
      <w:r w:rsidRPr="009D525A">
        <w:rPr>
          <w:rFonts w:ascii="Karla" w:hAnsi="Karla"/>
          <w:noProof/>
          <w:vertAlign w:val="superscript"/>
        </w:rPr>
        <w:t xml:space="preserve"> 1,2</w:t>
      </w:r>
      <w:r w:rsidRPr="009D0202">
        <w:rPr>
          <w:rFonts w:ascii="Karla" w:hAnsi="Karla"/>
        </w:rPr>
        <w:t xml:space="preserve"> Participants with a history of immunosuppressants (ISTs) were permitted to enroll in N-</w:t>
      </w:r>
      <w:proofErr w:type="spellStart"/>
      <w:r w:rsidRPr="009D0202">
        <w:rPr>
          <w:rFonts w:ascii="Karla" w:hAnsi="Karla"/>
        </w:rPr>
        <w:t>MOmentum</w:t>
      </w:r>
      <w:proofErr w:type="spellEnd"/>
      <w:r w:rsidRPr="009D0202">
        <w:rPr>
          <w:rFonts w:ascii="Karla" w:hAnsi="Karla"/>
        </w:rPr>
        <w:t>; those with rituximab or B-cell depletion within the 6 months prior to screening were excluded.</w:t>
      </w:r>
      <w:r w:rsidRPr="0052796D">
        <w:rPr>
          <w:rFonts w:ascii="Karla" w:hAnsi="Karla"/>
          <w:noProof/>
          <w:vertAlign w:val="superscript"/>
        </w:rPr>
        <w:t xml:space="preserve"> 1,2</w:t>
      </w:r>
      <w:r w:rsidRPr="009D0202">
        <w:rPr>
          <w:rFonts w:ascii="Karla" w:hAnsi="Karla"/>
        </w:rPr>
        <w:t xml:space="preserve"> Eligible participants were enrolled in the 28-week randomized, controlled period (RCP), where they received INEB (300 mg) or placebo intravenously on days 1 and 15. Participants who continued into the optional open-label period (OLP) received INEB on OLP day 1 (and OLP day 15 for participants who received placebo in the RCP) and then every 26 weeks for ≥2 years (</w:t>
      </w:r>
      <w:r w:rsidRPr="009D0202">
        <w:rPr>
          <w:rFonts w:ascii="Karla" w:hAnsi="Karla"/>
          <w:b/>
          <w:bCs/>
        </w:rPr>
        <w:t>Supplementary Figure 1</w:t>
      </w:r>
      <w:r w:rsidRPr="009D0202">
        <w:rPr>
          <w:rFonts w:ascii="Karla" w:hAnsi="Karla"/>
        </w:rPr>
        <w:t>). Participants could switch to the OLP whenever they experienced the first attack; therefore, the RCP duration varied among participants.</w:t>
      </w:r>
    </w:p>
    <w:p w14:paraId="5C47973D" w14:textId="77777777" w:rsidR="00871C81" w:rsidRPr="009D0202" w:rsidRDefault="00871C81" w:rsidP="00871C81">
      <w:pPr>
        <w:spacing w:after="0" w:line="480" w:lineRule="auto"/>
        <w:rPr>
          <w:rFonts w:ascii="Karla" w:hAnsi="Karla" w:cstheme="minorHAnsi"/>
          <w:b/>
          <w:bCs/>
        </w:rPr>
      </w:pPr>
    </w:p>
    <w:p w14:paraId="4181EB82" w14:textId="77777777" w:rsidR="00871C81" w:rsidRPr="009D0202" w:rsidRDefault="00871C81" w:rsidP="00871C81">
      <w:pPr>
        <w:spacing w:after="0" w:line="480" w:lineRule="auto"/>
        <w:rPr>
          <w:rFonts w:ascii="Karla" w:hAnsi="Karla" w:cstheme="minorHAnsi"/>
          <w:b/>
          <w:bCs/>
        </w:rPr>
      </w:pPr>
      <w:r w:rsidRPr="009D0202">
        <w:rPr>
          <w:rFonts w:ascii="Karla" w:hAnsi="Karla" w:cstheme="minorHAnsi"/>
          <w:b/>
          <w:bCs/>
        </w:rPr>
        <w:t>Statistical Analysis</w:t>
      </w:r>
    </w:p>
    <w:p w14:paraId="3034A6BB" w14:textId="77777777" w:rsidR="00871C81" w:rsidRPr="009D0202" w:rsidRDefault="00871C81" w:rsidP="00871C81">
      <w:pPr>
        <w:spacing w:after="0" w:line="480" w:lineRule="auto"/>
        <w:rPr>
          <w:rFonts w:ascii="Karla" w:hAnsi="Karla" w:cstheme="minorHAnsi"/>
        </w:rPr>
      </w:pPr>
      <w:r w:rsidRPr="009D0202">
        <w:rPr>
          <w:rFonts w:ascii="Karla" w:hAnsi="Karla" w:cstheme="minorHAnsi"/>
        </w:rPr>
        <w:t>Continuous variables were summarized using descriptive statistics (number of participants, mean, standard deviation, and 95% confidence interval). Categorical variables were summarized using frequencies and percentages.</w:t>
      </w:r>
    </w:p>
    <w:p w14:paraId="6EED18DD" w14:textId="77777777" w:rsidR="00871C81" w:rsidRPr="009D0202" w:rsidRDefault="00871C81" w:rsidP="00871C81">
      <w:pPr>
        <w:spacing w:after="0" w:line="480" w:lineRule="auto"/>
        <w:ind w:firstLine="720"/>
        <w:rPr>
          <w:rFonts w:ascii="Karla" w:hAnsi="Karla" w:cstheme="minorHAnsi"/>
        </w:rPr>
      </w:pPr>
      <w:r w:rsidRPr="009D0202">
        <w:rPr>
          <w:rFonts w:ascii="Karla" w:hAnsi="Karla"/>
        </w:rPr>
        <w:t xml:space="preserve">Data from the PREVENT study of eculizumab, the </w:t>
      </w:r>
      <w:proofErr w:type="spellStart"/>
      <w:r w:rsidRPr="009D0202">
        <w:rPr>
          <w:rFonts w:ascii="Karla" w:hAnsi="Karla"/>
        </w:rPr>
        <w:t>SAkuraStar</w:t>
      </w:r>
      <w:proofErr w:type="spellEnd"/>
      <w:r w:rsidRPr="009D0202">
        <w:rPr>
          <w:rFonts w:ascii="Karla" w:hAnsi="Karla"/>
        </w:rPr>
        <w:t xml:space="preserve"> and </w:t>
      </w:r>
      <w:proofErr w:type="spellStart"/>
      <w:r w:rsidRPr="009D0202">
        <w:rPr>
          <w:rFonts w:ascii="Karla" w:hAnsi="Karla"/>
        </w:rPr>
        <w:t>SAkuraSky</w:t>
      </w:r>
      <w:proofErr w:type="spellEnd"/>
      <w:r w:rsidRPr="009D0202">
        <w:rPr>
          <w:rFonts w:ascii="Karla" w:hAnsi="Karla"/>
        </w:rPr>
        <w:t xml:space="preserve"> studies of </w:t>
      </w:r>
      <w:proofErr w:type="spellStart"/>
      <w:r w:rsidRPr="009D0202">
        <w:rPr>
          <w:rFonts w:ascii="Karla" w:hAnsi="Karla"/>
        </w:rPr>
        <w:t>satralizumab</w:t>
      </w:r>
      <w:proofErr w:type="spellEnd"/>
      <w:r w:rsidRPr="009D0202">
        <w:rPr>
          <w:rFonts w:ascii="Karla" w:hAnsi="Karla"/>
        </w:rPr>
        <w:t>, and an observational study of azathioprine (AZA) were used to evaluate the long-term comparative efficacy of INEB.</w:t>
      </w:r>
      <w:r w:rsidRPr="009D525A">
        <w:rPr>
          <w:rStyle w:val="Heading3Char"/>
          <w:rFonts w:ascii="Karla" w:hAnsi="Karla" w:cstheme="minorBidi"/>
          <w:noProof/>
          <w:color w:val="auto"/>
          <w:sz w:val="22"/>
          <w:szCs w:val="22"/>
          <w:vertAlign w:val="superscript"/>
        </w:rPr>
        <w:t xml:space="preserve"> 3-6</w:t>
      </w:r>
      <w:r w:rsidRPr="009D0202">
        <w:rPr>
          <w:rFonts w:ascii="Karla" w:hAnsi="Karla"/>
        </w:rPr>
        <w:t xml:space="preserve"> Data from the observational study on AZA included longitudinal attack history data from disease onset up to initiation of treatment with AZA, and these data were extracted and used as part of the untreated or placebo-treated control group. Attack history data following treatment with AZA were used to model the longitudinal </w:t>
      </w:r>
      <w:r w:rsidRPr="009D0202">
        <w:rPr>
          <w:rFonts w:ascii="Karla" w:hAnsi="Karla"/>
        </w:rPr>
        <w:lastRenderedPageBreak/>
        <w:t xml:space="preserve">risk of attack while on AZA. </w:t>
      </w:r>
      <w:r w:rsidRPr="009D0202">
        <w:rPr>
          <w:rFonts w:ascii="Karla" w:hAnsi="Karla" w:cstheme="minorHAnsi"/>
        </w:rPr>
        <w:t xml:space="preserve">Hazard ratios (HRs) for the INEB group vs. the historical comparator groups were estimated </w:t>
      </w:r>
      <w:proofErr w:type="gramStart"/>
      <w:r w:rsidRPr="009D0202">
        <w:rPr>
          <w:rFonts w:ascii="Karla" w:hAnsi="Karla" w:cstheme="minorHAnsi"/>
        </w:rPr>
        <w:t>using</w:t>
      </w:r>
      <w:proofErr w:type="gramEnd"/>
      <w:r w:rsidRPr="009D0202">
        <w:rPr>
          <w:rFonts w:ascii="Karla" w:hAnsi="Karla" w:cstheme="minorHAnsi"/>
        </w:rPr>
        <w:t xml:space="preserve"> Cox proportional hazards (PHs) regression. Time to NMOSD attack was modeled using parametric and flexible survival (spline) models that were fit to the INEB group and the historical comparator groups. The model was previously described.</w:t>
      </w:r>
      <w:r w:rsidRPr="009D525A">
        <w:rPr>
          <w:rFonts w:ascii="Karla" w:hAnsi="Karla" w:cstheme="minorHAnsi"/>
          <w:noProof/>
          <w:vertAlign w:val="superscript"/>
        </w:rPr>
        <w:t xml:space="preserve"> 2</w:t>
      </w:r>
      <w:r w:rsidRPr="009D0202">
        <w:rPr>
          <w:rFonts w:ascii="Karla" w:hAnsi="Karla" w:cstheme="minorHAnsi"/>
        </w:rPr>
        <w:t xml:space="preserve"> In brief, </w:t>
      </w:r>
      <w:r w:rsidRPr="009D0202">
        <w:rPr>
          <w:rFonts w:ascii="Karla" w:hAnsi="Karla"/>
        </w:rPr>
        <w:t xml:space="preserve">the model compared the time to NMOSD attack in participants treated with INEB </w:t>
      </w:r>
      <w:r w:rsidRPr="001B75C2">
        <w:rPr>
          <w:rFonts w:ascii="Karla" w:hAnsi="Karla"/>
        </w:rPr>
        <w:t xml:space="preserve">in the OLP vs. a historical placebo group and a historical IST group from the studies described in </w:t>
      </w:r>
      <w:r w:rsidRPr="008875D9">
        <w:rPr>
          <w:rFonts w:ascii="Karla" w:hAnsi="Karla"/>
          <w:b/>
          <w:bCs/>
        </w:rPr>
        <w:t>Supplementary Table 1</w:t>
      </w:r>
      <w:r w:rsidRPr="001B75C2">
        <w:rPr>
          <w:rFonts w:ascii="Karla" w:hAnsi="Karla"/>
        </w:rPr>
        <w:t xml:space="preserve">. Digitized Kaplan-Meier data for the historical comparator groups were used for the comparisons. The time to NMOSD attack in the INEB treatment group vs. historical comparator groups was estimated using models fit to the Kaplan-Meier data. Diagnostics used for modeling included Akaike’s or Bayesian Information Criteria, visual fit inspection, estimated attack-free survival at 4 years, and clinical validation informed model selection. The appropriate modeling technique was established using PHs and accelerated failure time assumptions. </w:t>
      </w:r>
      <w:r w:rsidRPr="001B75C2">
        <w:rPr>
          <w:rFonts w:ascii="Karla" w:hAnsi="Karla" w:cstheme="minorHAnsi"/>
        </w:rPr>
        <w:t xml:space="preserve">A spline model was used to compare the efficacy of INEB vs. historical placebo and historical ISTs as the time-varying spline with two internal knots, and a normal linear predictor provided the best fit for the data. </w:t>
      </w:r>
      <w:r w:rsidRPr="008875D9">
        <w:rPr>
          <w:rFonts w:ascii="Karla" w:hAnsi="Karla"/>
        </w:rPr>
        <w:t xml:space="preserve">In the absence of long-term placebo or IST comparator data in the OLP, </w:t>
      </w:r>
      <w:r w:rsidRPr="008875D9">
        <w:rPr>
          <w:rFonts w:ascii="Karla" w:hAnsi="Karla"/>
          <w:color w:val="7030A0"/>
        </w:rPr>
        <w:t>t</w:t>
      </w:r>
      <w:r w:rsidRPr="008875D9">
        <w:rPr>
          <w:rFonts w:ascii="Karla" w:hAnsi="Karla" w:cstheme="minorHAnsi"/>
        </w:rPr>
        <w:t>hese synthetic historical comparator groups were used to evaluate the long-term efficacy of INEB. Although the N-</w:t>
      </w:r>
      <w:proofErr w:type="spellStart"/>
      <w:r w:rsidRPr="008875D9">
        <w:rPr>
          <w:rFonts w:ascii="Karla" w:hAnsi="Karla" w:cstheme="minorHAnsi"/>
        </w:rPr>
        <w:t>MOmentum</w:t>
      </w:r>
      <w:proofErr w:type="spellEnd"/>
      <w:r w:rsidRPr="008875D9">
        <w:rPr>
          <w:rFonts w:ascii="Karla" w:hAnsi="Karla" w:cstheme="minorHAnsi"/>
        </w:rPr>
        <w:t xml:space="preserve"> RCP included a placebo control group,</w:t>
      </w:r>
      <w:r w:rsidRPr="001B75C2">
        <w:rPr>
          <w:rFonts w:ascii="Karla" w:hAnsi="Karla" w:cstheme="minorHAnsi"/>
        </w:rPr>
        <w:t xml:space="preserve"> all</w:t>
      </w:r>
      <w:r w:rsidRPr="009D0202">
        <w:rPr>
          <w:rFonts w:ascii="Karla" w:hAnsi="Karla" w:cstheme="minorHAnsi"/>
        </w:rPr>
        <w:t xml:space="preserve"> participants in the OLP of N-</w:t>
      </w:r>
      <w:proofErr w:type="spellStart"/>
      <w:r w:rsidRPr="009D0202">
        <w:rPr>
          <w:rFonts w:ascii="Karla" w:hAnsi="Karla" w:cstheme="minorHAnsi"/>
        </w:rPr>
        <w:t>MOmentum</w:t>
      </w:r>
      <w:proofErr w:type="spellEnd"/>
      <w:r w:rsidRPr="009D0202">
        <w:rPr>
          <w:rFonts w:ascii="Karla" w:hAnsi="Karla" w:cstheme="minorHAnsi"/>
        </w:rPr>
        <w:t xml:space="preserve"> eventually switched to INEB treatment. </w:t>
      </w:r>
    </w:p>
    <w:p w14:paraId="18DFDAB0" w14:textId="77777777" w:rsidR="00871C81" w:rsidRPr="009D0202" w:rsidRDefault="00871C81" w:rsidP="00871C81">
      <w:pPr>
        <w:spacing w:after="0" w:line="480" w:lineRule="auto"/>
        <w:rPr>
          <w:rFonts w:ascii="Karla" w:hAnsi="Karla" w:cstheme="minorHAnsi"/>
        </w:rPr>
      </w:pPr>
      <w:r w:rsidRPr="009D0202">
        <w:rPr>
          <w:rFonts w:ascii="Karla" w:hAnsi="Karla" w:cstheme="minorHAnsi"/>
        </w:rPr>
        <w:br w:type="page"/>
      </w:r>
    </w:p>
    <w:p w14:paraId="5ED543EA" w14:textId="77777777" w:rsidR="00871C81" w:rsidRPr="009D0202" w:rsidRDefault="00871C81" w:rsidP="00871C81">
      <w:pPr>
        <w:spacing w:after="0" w:line="480" w:lineRule="auto"/>
        <w:rPr>
          <w:rFonts w:ascii="Karla" w:hAnsi="Karla"/>
          <w:b/>
          <w:bCs/>
        </w:rPr>
      </w:pPr>
      <w:r w:rsidRPr="009D0202">
        <w:rPr>
          <w:rFonts w:ascii="Karla" w:hAnsi="Karla"/>
          <w:b/>
          <w:bCs/>
        </w:rPr>
        <w:lastRenderedPageBreak/>
        <w:t>SUPPLEMENTARY FIGURES</w:t>
      </w:r>
    </w:p>
    <w:p w14:paraId="369B47C4" w14:textId="77777777" w:rsidR="00871C81" w:rsidRPr="009D0202" w:rsidRDefault="00871C81" w:rsidP="00871C81">
      <w:pPr>
        <w:spacing w:after="0" w:line="480" w:lineRule="auto"/>
        <w:rPr>
          <w:rFonts w:ascii="Karla" w:hAnsi="Karla"/>
          <w:b/>
          <w:bCs/>
        </w:rPr>
      </w:pPr>
    </w:p>
    <w:p w14:paraId="7E1D0949" w14:textId="77777777" w:rsidR="00871C81" w:rsidRPr="009D0202" w:rsidRDefault="00871C81" w:rsidP="00871C81">
      <w:pPr>
        <w:spacing w:after="0" w:line="480" w:lineRule="auto"/>
        <w:rPr>
          <w:rFonts w:ascii="Karla" w:hAnsi="Karla"/>
        </w:rPr>
      </w:pPr>
      <w:r w:rsidRPr="009D0202">
        <w:rPr>
          <w:rFonts w:ascii="Karla" w:hAnsi="Karla"/>
          <w:noProof/>
        </w:rPr>
        <w:drawing>
          <wp:inline distT="0" distB="0" distL="0" distR="0" wp14:anchorId="4E7DBCAA" wp14:editId="60CCA36B">
            <wp:extent cx="6145392" cy="2370078"/>
            <wp:effectExtent l="0" t="0" r="8255" b="0"/>
            <wp:docPr id="1575518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0932" cy="2379928"/>
                    </a:xfrm>
                    <a:prstGeom prst="rect">
                      <a:avLst/>
                    </a:prstGeom>
                    <a:noFill/>
                  </pic:spPr>
                </pic:pic>
              </a:graphicData>
            </a:graphic>
          </wp:inline>
        </w:drawing>
      </w:r>
    </w:p>
    <w:p w14:paraId="3AFA229E" w14:textId="77777777" w:rsidR="00871C81" w:rsidRPr="009D0202" w:rsidRDefault="00871C81" w:rsidP="00871C81">
      <w:pPr>
        <w:spacing w:after="0" w:line="480" w:lineRule="auto"/>
        <w:rPr>
          <w:rFonts w:ascii="Karla" w:hAnsi="Karla"/>
        </w:rPr>
      </w:pPr>
      <w:r w:rsidRPr="009D0202">
        <w:rPr>
          <w:rFonts w:ascii="Karla" w:hAnsi="Karla"/>
          <w:b/>
          <w:bCs/>
        </w:rPr>
        <w:t xml:space="preserve">Supplementary Figure 1. </w:t>
      </w:r>
      <w:r w:rsidRPr="009D0202">
        <w:rPr>
          <w:rFonts w:ascii="Karla" w:hAnsi="Karla"/>
        </w:rPr>
        <w:t>N-</w:t>
      </w:r>
      <w:proofErr w:type="spellStart"/>
      <w:r w:rsidRPr="009D0202">
        <w:rPr>
          <w:rFonts w:ascii="Karla" w:hAnsi="Karla"/>
        </w:rPr>
        <w:t>MOmentum</w:t>
      </w:r>
      <w:proofErr w:type="spellEnd"/>
      <w:r w:rsidRPr="009D0202">
        <w:rPr>
          <w:rFonts w:ascii="Karla" w:hAnsi="Karla"/>
        </w:rPr>
        <w:t xml:space="preserve"> trial design. </w:t>
      </w:r>
    </w:p>
    <w:p w14:paraId="290ECCDC" w14:textId="77777777" w:rsidR="00871C81" w:rsidRPr="009D525A" w:rsidRDefault="00871C81" w:rsidP="00871C81">
      <w:pPr>
        <w:spacing w:after="0" w:line="480" w:lineRule="auto"/>
        <w:rPr>
          <w:rFonts w:ascii="Karla" w:hAnsi="Karla"/>
        </w:rPr>
      </w:pPr>
      <w:r w:rsidRPr="009D0202">
        <w:rPr>
          <w:rFonts w:ascii="Karla" w:hAnsi="Karla"/>
        </w:rPr>
        <w:t xml:space="preserve">INEB, inebilizumab; IV, intravenous; NMOSD, neuromyelitis </w:t>
      </w:r>
      <w:proofErr w:type="spellStart"/>
      <w:r w:rsidRPr="009D0202">
        <w:rPr>
          <w:rFonts w:ascii="Karla" w:hAnsi="Karla"/>
        </w:rPr>
        <w:t>optica</w:t>
      </w:r>
      <w:proofErr w:type="spellEnd"/>
      <w:r w:rsidRPr="009D0202">
        <w:rPr>
          <w:rFonts w:ascii="Karla" w:hAnsi="Karla"/>
        </w:rPr>
        <w:t xml:space="preserve"> spectrum disorder.</w:t>
      </w:r>
    </w:p>
    <w:p w14:paraId="37D5D602" w14:textId="77777777" w:rsidR="00871C81" w:rsidRDefault="00871C81" w:rsidP="00871C81">
      <w:pPr>
        <w:rPr>
          <w:rFonts w:ascii="Karla" w:hAnsi="Karla"/>
          <w:b/>
          <w:bCs/>
        </w:rPr>
      </w:pPr>
      <w:r>
        <w:rPr>
          <w:rFonts w:ascii="Karla" w:hAnsi="Karla"/>
          <w:b/>
          <w:bCs/>
        </w:rPr>
        <w:br w:type="page"/>
      </w:r>
    </w:p>
    <w:p w14:paraId="217FEC83" w14:textId="77777777" w:rsidR="00871C81" w:rsidRPr="008875D9" w:rsidRDefault="00871C81" w:rsidP="00871C81">
      <w:pPr>
        <w:spacing w:after="0" w:line="480" w:lineRule="auto"/>
        <w:rPr>
          <w:rFonts w:ascii="Karla" w:hAnsi="Karla" w:cstheme="minorHAnsi"/>
          <w:b/>
          <w:bCs/>
        </w:rPr>
      </w:pPr>
      <w:r w:rsidRPr="008875D9">
        <w:rPr>
          <w:rFonts w:ascii="Karla" w:hAnsi="Karla" w:cstheme="minorHAnsi"/>
          <w:b/>
          <w:bCs/>
        </w:rPr>
        <w:lastRenderedPageBreak/>
        <w:t>SUPPLEMENTARY TABLES</w:t>
      </w:r>
    </w:p>
    <w:p w14:paraId="43A112A4" w14:textId="77777777" w:rsidR="00871C81" w:rsidRPr="009D0202" w:rsidRDefault="00871C81" w:rsidP="00871C81">
      <w:pPr>
        <w:spacing w:after="0" w:line="480" w:lineRule="auto"/>
        <w:rPr>
          <w:rFonts w:ascii="Karla" w:hAnsi="Karla" w:cstheme="minorHAnsi"/>
        </w:rPr>
      </w:pPr>
      <w:r w:rsidRPr="008875D9">
        <w:rPr>
          <w:rFonts w:ascii="Karla" w:hAnsi="Karla" w:cstheme="minorHAnsi"/>
          <w:b/>
          <w:bCs/>
        </w:rPr>
        <w:t>Supplementary Table 1.</w:t>
      </w:r>
      <w:r w:rsidRPr="001B75C2">
        <w:rPr>
          <w:rFonts w:ascii="Karla" w:hAnsi="Karla" w:cstheme="minorHAnsi"/>
          <w:b/>
          <w:bCs/>
        </w:rPr>
        <w:t xml:space="preserve"> </w:t>
      </w:r>
      <w:r w:rsidRPr="001B75C2">
        <w:rPr>
          <w:rFonts w:ascii="Karla" w:hAnsi="Karla" w:cstheme="minorHAnsi"/>
        </w:rPr>
        <w:t>NMO</w:t>
      </w:r>
      <w:r w:rsidRPr="009D0202">
        <w:rPr>
          <w:rFonts w:ascii="Karla" w:hAnsi="Karla" w:cstheme="minorHAnsi"/>
        </w:rPr>
        <w:t xml:space="preserve">-related inpatient hospitalization rates among participants treated with INEB </w:t>
      </w:r>
      <w:r>
        <w:rPr>
          <w:rFonts w:ascii="Karla" w:hAnsi="Karla"/>
        </w:rPr>
        <w:t>during</w:t>
      </w:r>
      <w:r w:rsidRPr="009D0202">
        <w:rPr>
          <w:rFonts w:ascii="Karla" w:hAnsi="Karla"/>
        </w:rPr>
        <w:t xml:space="preserve"> the N-</w:t>
      </w:r>
      <w:proofErr w:type="spellStart"/>
      <w:r w:rsidRPr="009D0202">
        <w:rPr>
          <w:rFonts w:ascii="Karla" w:hAnsi="Karla"/>
        </w:rPr>
        <w:t>MOmentum</w:t>
      </w:r>
      <w:proofErr w:type="spellEnd"/>
      <w:r w:rsidRPr="009D0202">
        <w:rPr>
          <w:rFonts w:ascii="Karla" w:hAnsi="Karla"/>
        </w:rPr>
        <w:t xml:space="preserve"> trial</w:t>
      </w:r>
      <w:r w:rsidRPr="009D0202">
        <w:rPr>
          <w:rFonts w:ascii="Karla" w:hAnsi="Karla" w:cstheme="minorHAnsi"/>
        </w:rPr>
        <w:t>.</w:t>
      </w:r>
    </w:p>
    <w:tbl>
      <w:tblPr>
        <w:tblStyle w:val="TableGrid"/>
        <w:tblW w:w="0" w:type="auto"/>
        <w:tblLayout w:type="fixed"/>
        <w:tblLook w:val="04A0" w:firstRow="1" w:lastRow="0" w:firstColumn="1" w:lastColumn="0" w:noHBand="0" w:noVBand="1"/>
      </w:tblPr>
      <w:tblGrid>
        <w:gridCol w:w="3685"/>
        <w:gridCol w:w="2832"/>
        <w:gridCol w:w="2833"/>
      </w:tblGrid>
      <w:tr w:rsidR="00871C81" w:rsidRPr="009D0202" w14:paraId="1FED6D31" w14:textId="77777777" w:rsidTr="00294BF7">
        <w:tc>
          <w:tcPr>
            <w:tcW w:w="3685" w:type="dxa"/>
            <w:vMerge w:val="restart"/>
            <w:shd w:val="clear" w:color="auto" w:fill="D9D9D9" w:themeFill="background1" w:themeFillShade="D9"/>
            <w:vAlign w:val="bottom"/>
          </w:tcPr>
          <w:p w14:paraId="1554E822" w14:textId="77777777" w:rsidR="00871C81" w:rsidRPr="009D0202" w:rsidRDefault="00871C81" w:rsidP="00294BF7">
            <w:pPr>
              <w:spacing w:line="480" w:lineRule="auto"/>
              <w:rPr>
                <w:rFonts w:ascii="Karla" w:hAnsi="Karla" w:cstheme="minorHAnsi"/>
                <w:b/>
                <w:bCs/>
              </w:rPr>
            </w:pPr>
          </w:p>
        </w:tc>
        <w:tc>
          <w:tcPr>
            <w:tcW w:w="5665" w:type="dxa"/>
            <w:gridSpan w:val="2"/>
            <w:shd w:val="clear" w:color="auto" w:fill="D9D9D9" w:themeFill="background1" w:themeFillShade="D9"/>
            <w:vAlign w:val="bottom"/>
          </w:tcPr>
          <w:p w14:paraId="755A2FEC" w14:textId="77777777" w:rsidR="00871C81" w:rsidRPr="009D0202" w:rsidRDefault="00871C81" w:rsidP="00294BF7">
            <w:pPr>
              <w:spacing w:line="480" w:lineRule="auto"/>
              <w:jc w:val="center"/>
              <w:rPr>
                <w:rFonts w:ascii="Karla" w:hAnsi="Karla" w:cstheme="minorHAnsi"/>
                <w:b/>
                <w:bCs/>
              </w:rPr>
            </w:pPr>
            <w:r w:rsidRPr="009D0202">
              <w:rPr>
                <w:rFonts w:ascii="Karla" w:hAnsi="Karla" w:cstheme="minorHAnsi"/>
                <w:b/>
                <w:bCs/>
              </w:rPr>
              <w:t>AQP4</w:t>
            </w:r>
            <w:r w:rsidRPr="009D0202">
              <w:rPr>
                <w:rFonts w:ascii="Karla" w:hAnsi="Karla" w:cstheme="minorHAnsi"/>
                <w:b/>
                <w:bCs/>
                <w:vertAlign w:val="superscript"/>
              </w:rPr>
              <w:t>+</w:t>
            </w:r>
          </w:p>
        </w:tc>
      </w:tr>
      <w:tr w:rsidR="00871C81" w:rsidRPr="009D0202" w14:paraId="60CECADD" w14:textId="77777777" w:rsidTr="00294BF7">
        <w:tc>
          <w:tcPr>
            <w:tcW w:w="3685" w:type="dxa"/>
            <w:vMerge/>
            <w:shd w:val="clear" w:color="auto" w:fill="D9D9D9" w:themeFill="background1" w:themeFillShade="D9"/>
            <w:vAlign w:val="bottom"/>
          </w:tcPr>
          <w:p w14:paraId="7282BF66" w14:textId="77777777" w:rsidR="00871C81" w:rsidRPr="009D0202" w:rsidRDefault="00871C81" w:rsidP="00294BF7">
            <w:pPr>
              <w:spacing w:line="480" w:lineRule="auto"/>
              <w:rPr>
                <w:rFonts w:ascii="Karla" w:hAnsi="Karla" w:cstheme="minorHAnsi"/>
                <w:b/>
                <w:bCs/>
              </w:rPr>
            </w:pPr>
          </w:p>
        </w:tc>
        <w:tc>
          <w:tcPr>
            <w:tcW w:w="2832" w:type="dxa"/>
            <w:shd w:val="clear" w:color="auto" w:fill="D9D9D9" w:themeFill="background1" w:themeFillShade="D9"/>
            <w:vAlign w:val="bottom"/>
          </w:tcPr>
          <w:p w14:paraId="1CF59AA7" w14:textId="77777777" w:rsidR="00871C81" w:rsidRPr="009D0202" w:rsidRDefault="00871C81" w:rsidP="00294BF7">
            <w:pPr>
              <w:spacing w:line="480" w:lineRule="auto"/>
              <w:jc w:val="center"/>
              <w:rPr>
                <w:rFonts w:ascii="Karla" w:hAnsi="Karla" w:cstheme="minorHAnsi"/>
                <w:b/>
                <w:bCs/>
                <w:vertAlign w:val="superscript"/>
              </w:rPr>
            </w:pPr>
            <w:r w:rsidRPr="009D0202">
              <w:rPr>
                <w:rFonts w:ascii="Karla" w:hAnsi="Karla" w:cstheme="minorHAnsi"/>
                <w:b/>
                <w:bCs/>
              </w:rPr>
              <w:t xml:space="preserve">Prior IST </w:t>
            </w:r>
            <w:proofErr w:type="spellStart"/>
            <w:r w:rsidRPr="009D0202">
              <w:rPr>
                <w:rFonts w:ascii="Karla" w:hAnsi="Karla" w:cstheme="minorHAnsi"/>
                <w:b/>
                <w:bCs/>
              </w:rPr>
              <w:t>treatment</w:t>
            </w:r>
            <w:r w:rsidRPr="009D0202">
              <w:rPr>
                <w:rFonts w:ascii="Karla" w:hAnsi="Karla" w:cstheme="minorHAnsi"/>
                <w:b/>
                <w:bCs/>
                <w:vertAlign w:val="superscript"/>
              </w:rPr>
              <w:t>a</w:t>
            </w:r>
            <w:proofErr w:type="spellEnd"/>
          </w:p>
          <w:p w14:paraId="153AB00B" w14:textId="77777777" w:rsidR="00871C81" w:rsidRPr="009D0202" w:rsidRDefault="00871C81" w:rsidP="00294BF7">
            <w:pPr>
              <w:spacing w:line="480" w:lineRule="auto"/>
              <w:jc w:val="center"/>
              <w:rPr>
                <w:rFonts w:ascii="Karla" w:hAnsi="Karla" w:cstheme="minorHAnsi"/>
                <w:b/>
                <w:bCs/>
              </w:rPr>
            </w:pPr>
            <w:r w:rsidRPr="009D0202">
              <w:rPr>
                <w:rFonts w:ascii="Karla" w:hAnsi="Karla" w:cstheme="minorHAnsi"/>
                <w:b/>
                <w:bCs/>
              </w:rPr>
              <w:t>(n=94)</w:t>
            </w:r>
          </w:p>
        </w:tc>
        <w:tc>
          <w:tcPr>
            <w:tcW w:w="2833" w:type="dxa"/>
            <w:shd w:val="clear" w:color="auto" w:fill="D9D9D9" w:themeFill="background1" w:themeFillShade="D9"/>
            <w:vAlign w:val="bottom"/>
          </w:tcPr>
          <w:p w14:paraId="07805264" w14:textId="77777777" w:rsidR="00871C81" w:rsidRPr="009D0202" w:rsidRDefault="00871C81" w:rsidP="00294BF7">
            <w:pPr>
              <w:spacing w:line="480" w:lineRule="auto"/>
              <w:jc w:val="center"/>
              <w:rPr>
                <w:rFonts w:ascii="Karla" w:hAnsi="Karla" w:cstheme="minorHAnsi"/>
                <w:b/>
                <w:bCs/>
                <w:vertAlign w:val="superscript"/>
              </w:rPr>
            </w:pPr>
            <w:r w:rsidRPr="009D0202">
              <w:rPr>
                <w:rFonts w:ascii="Karla" w:hAnsi="Karla" w:cstheme="minorHAnsi"/>
                <w:b/>
                <w:bCs/>
              </w:rPr>
              <w:t xml:space="preserve">IST </w:t>
            </w:r>
            <w:proofErr w:type="spellStart"/>
            <w:r w:rsidRPr="009D0202">
              <w:rPr>
                <w:rFonts w:ascii="Karla" w:hAnsi="Karla" w:cstheme="minorHAnsi"/>
                <w:b/>
                <w:bCs/>
              </w:rPr>
              <w:t>naïve</w:t>
            </w:r>
            <w:r w:rsidRPr="009D0202">
              <w:rPr>
                <w:rFonts w:ascii="Karla" w:hAnsi="Karla" w:cstheme="minorHAnsi"/>
                <w:b/>
                <w:bCs/>
                <w:vertAlign w:val="superscript"/>
              </w:rPr>
              <w:t>b</w:t>
            </w:r>
            <w:proofErr w:type="spellEnd"/>
          </w:p>
          <w:p w14:paraId="60E5893D" w14:textId="77777777" w:rsidR="00871C81" w:rsidRPr="009D0202" w:rsidRDefault="00871C81" w:rsidP="00294BF7">
            <w:pPr>
              <w:spacing w:line="480" w:lineRule="auto"/>
              <w:jc w:val="center"/>
              <w:rPr>
                <w:rFonts w:ascii="Karla" w:hAnsi="Karla" w:cstheme="minorHAnsi"/>
                <w:b/>
                <w:bCs/>
              </w:rPr>
            </w:pPr>
            <w:r w:rsidRPr="009D0202">
              <w:rPr>
                <w:rFonts w:ascii="Karla" w:hAnsi="Karla" w:cstheme="minorHAnsi"/>
                <w:b/>
                <w:bCs/>
              </w:rPr>
              <w:t>(n=103)</w:t>
            </w:r>
          </w:p>
        </w:tc>
      </w:tr>
      <w:tr w:rsidR="00871C81" w:rsidRPr="009D0202" w14:paraId="7194972E" w14:textId="77777777" w:rsidTr="00294BF7">
        <w:tc>
          <w:tcPr>
            <w:tcW w:w="3685" w:type="dxa"/>
          </w:tcPr>
          <w:p w14:paraId="78497B17" w14:textId="77777777" w:rsidR="00871C81" w:rsidRPr="009D0202" w:rsidRDefault="00871C81" w:rsidP="00294BF7">
            <w:pPr>
              <w:spacing w:line="480" w:lineRule="auto"/>
              <w:rPr>
                <w:rFonts w:ascii="Karla" w:hAnsi="Karla" w:cstheme="minorHAnsi"/>
                <w:b/>
                <w:bCs/>
              </w:rPr>
            </w:pPr>
            <w:r w:rsidRPr="009D0202">
              <w:rPr>
                <w:rFonts w:ascii="Karla" w:hAnsi="Karla" w:cstheme="minorHAnsi"/>
                <w:b/>
                <w:bCs/>
              </w:rPr>
              <w:t xml:space="preserve">Number of NMO-related hospitalizations, n </w:t>
            </w:r>
          </w:p>
        </w:tc>
        <w:tc>
          <w:tcPr>
            <w:tcW w:w="2832" w:type="dxa"/>
          </w:tcPr>
          <w:p w14:paraId="36041665"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kern w:val="24"/>
              </w:rPr>
              <w:t>40</w:t>
            </w:r>
          </w:p>
        </w:tc>
        <w:tc>
          <w:tcPr>
            <w:tcW w:w="2833" w:type="dxa"/>
          </w:tcPr>
          <w:p w14:paraId="55DBF00A"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rPr>
              <w:t>40</w:t>
            </w:r>
          </w:p>
        </w:tc>
      </w:tr>
      <w:tr w:rsidR="00871C81" w:rsidRPr="009D0202" w14:paraId="0CCB77D9" w14:textId="77777777" w:rsidTr="00294BF7">
        <w:tc>
          <w:tcPr>
            <w:tcW w:w="3685" w:type="dxa"/>
          </w:tcPr>
          <w:p w14:paraId="6C78C0F6" w14:textId="77777777" w:rsidR="00871C81" w:rsidRPr="009D0202" w:rsidRDefault="00871C81" w:rsidP="00294BF7">
            <w:pPr>
              <w:spacing w:line="480" w:lineRule="auto"/>
              <w:rPr>
                <w:rFonts w:ascii="Karla" w:hAnsi="Karla" w:cstheme="minorHAnsi"/>
                <w:b/>
                <w:bCs/>
              </w:rPr>
            </w:pPr>
            <w:r w:rsidRPr="009D0202">
              <w:rPr>
                <w:rFonts w:ascii="Karla" w:hAnsi="Karla" w:cstheme="minorHAnsi"/>
                <w:b/>
                <w:bCs/>
              </w:rPr>
              <w:t>Total person-years</w:t>
            </w:r>
          </w:p>
        </w:tc>
        <w:tc>
          <w:tcPr>
            <w:tcW w:w="2832" w:type="dxa"/>
          </w:tcPr>
          <w:p w14:paraId="6F8F83F1"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rPr>
              <w:t>300.35</w:t>
            </w:r>
          </w:p>
        </w:tc>
        <w:tc>
          <w:tcPr>
            <w:tcW w:w="2833" w:type="dxa"/>
          </w:tcPr>
          <w:p w14:paraId="6FC5A803"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rPr>
              <w:t>335.7</w:t>
            </w:r>
          </w:p>
        </w:tc>
      </w:tr>
      <w:tr w:rsidR="00871C81" w:rsidRPr="009D0202" w14:paraId="5A54C128" w14:textId="77777777" w:rsidTr="00294BF7">
        <w:tc>
          <w:tcPr>
            <w:tcW w:w="3685" w:type="dxa"/>
          </w:tcPr>
          <w:p w14:paraId="74C183F0" w14:textId="77777777" w:rsidR="00871C81" w:rsidRPr="009D0202" w:rsidRDefault="00871C81" w:rsidP="00294BF7">
            <w:pPr>
              <w:spacing w:line="480" w:lineRule="auto"/>
              <w:rPr>
                <w:rFonts w:ascii="Karla" w:hAnsi="Karla" w:cstheme="minorHAnsi"/>
                <w:b/>
                <w:bCs/>
                <w:vertAlign w:val="superscript"/>
              </w:rPr>
            </w:pPr>
            <w:r w:rsidRPr="009D0202">
              <w:rPr>
                <w:rFonts w:ascii="Karla" w:hAnsi="Karla" w:cstheme="minorHAnsi"/>
                <w:b/>
                <w:bCs/>
              </w:rPr>
              <w:t xml:space="preserve">Annualized hospitalization rate (95% CI) </w:t>
            </w:r>
          </w:p>
        </w:tc>
        <w:tc>
          <w:tcPr>
            <w:tcW w:w="2832" w:type="dxa"/>
          </w:tcPr>
          <w:p w14:paraId="3EEF92A9"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rPr>
              <w:t>0.151 (0.084, 0.270)</w:t>
            </w:r>
          </w:p>
        </w:tc>
        <w:tc>
          <w:tcPr>
            <w:tcW w:w="2833" w:type="dxa"/>
          </w:tcPr>
          <w:p w14:paraId="07DA3CA2"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rPr>
              <w:t>0.120 (0.064, 0.223)</w:t>
            </w:r>
          </w:p>
        </w:tc>
      </w:tr>
    </w:tbl>
    <w:p w14:paraId="0082FF1D" w14:textId="77777777" w:rsidR="00871C81" w:rsidRPr="009D0202" w:rsidRDefault="00871C81" w:rsidP="00871C81">
      <w:pPr>
        <w:spacing w:after="0" w:line="480" w:lineRule="auto"/>
        <w:rPr>
          <w:rFonts w:ascii="Karla" w:hAnsi="Karla" w:cstheme="minorHAnsi"/>
        </w:rPr>
      </w:pPr>
      <w:r w:rsidRPr="009D0202">
        <w:rPr>
          <w:rFonts w:ascii="Karla" w:hAnsi="Karla" w:cstheme="minorHAnsi"/>
        </w:rPr>
        <w:t>AQP4</w:t>
      </w:r>
      <w:r w:rsidRPr="009D0202">
        <w:rPr>
          <w:rFonts w:ascii="Karla" w:hAnsi="Karla" w:cstheme="minorHAnsi"/>
          <w:vertAlign w:val="superscript"/>
        </w:rPr>
        <w:t>+</w:t>
      </w:r>
      <w:r w:rsidRPr="009D0202">
        <w:rPr>
          <w:rFonts w:ascii="Karla" w:hAnsi="Karla" w:cstheme="minorHAnsi"/>
        </w:rPr>
        <w:t>, aquaporin-4</w:t>
      </w:r>
      <w:r>
        <w:rPr>
          <w:rFonts w:ascii="Karla" w:hAnsi="Karla" w:cstheme="minorHAnsi"/>
        </w:rPr>
        <w:t xml:space="preserve"> </w:t>
      </w:r>
      <w:r w:rsidRPr="009D0202">
        <w:rPr>
          <w:rFonts w:ascii="Karla" w:hAnsi="Karla" w:cstheme="minorHAnsi"/>
        </w:rPr>
        <w:t xml:space="preserve">seropositive; AZA, azathioprine; CI, confidence interval; </w:t>
      </w:r>
      <w:r w:rsidRPr="009D0202">
        <w:rPr>
          <w:rFonts w:ascii="Karla" w:hAnsi="Karla"/>
        </w:rPr>
        <w:t xml:space="preserve">INEB, inebilizumab; </w:t>
      </w:r>
      <w:r w:rsidRPr="009D0202">
        <w:rPr>
          <w:rFonts w:ascii="Karla" w:hAnsi="Karla" w:cstheme="minorHAnsi"/>
        </w:rPr>
        <w:t xml:space="preserve">IST, immunosuppressant; MMF, mycophenolate mofetil; NMO, neuromyelitis </w:t>
      </w:r>
      <w:proofErr w:type="spellStart"/>
      <w:r w:rsidRPr="009D0202">
        <w:rPr>
          <w:rFonts w:ascii="Karla" w:hAnsi="Karla" w:cstheme="minorHAnsi"/>
        </w:rPr>
        <w:t>optica</w:t>
      </w:r>
      <w:proofErr w:type="spellEnd"/>
      <w:r w:rsidRPr="009D0202">
        <w:rPr>
          <w:rFonts w:ascii="Karla" w:hAnsi="Karla" w:cstheme="minorHAnsi"/>
        </w:rPr>
        <w:t>; RTX, rituximab.</w:t>
      </w:r>
    </w:p>
    <w:p w14:paraId="3C81BE5F" w14:textId="77777777" w:rsidR="00871C81" w:rsidRPr="009D0202" w:rsidRDefault="00871C81" w:rsidP="00871C81">
      <w:pPr>
        <w:spacing w:after="0" w:line="480" w:lineRule="auto"/>
        <w:rPr>
          <w:rFonts w:ascii="Karla" w:hAnsi="Karla" w:cstheme="minorHAnsi"/>
        </w:rPr>
      </w:pPr>
      <w:proofErr w:type="spellStart"/>
      <w:r w:rsidRPr="009D0202">
        <w:rPr>
          <w:rFonts w:ascii="Karla" w:hAnsi="Karla" w:cstheme="minorHAnsi"/>
          <w:vertAlign w:val="superscript"/>
        </w:rPr>
        <w:t>a</w:t>
      </w:r>
      <w:r w:rsidRPr="009D0202">
        <w:rPr>
          <w:rFonts w:ascii="Karla" w:hAnsi="Karla" w:cstheme="minorHAnsi"/>
        </w:rPr>
        <w:t>Prior</w:t>
      </w:r>
      <w:proofErr w:type="spellEnd"/>
      <w:r w:rsidRPr="009D0202">
        <w:rPr>
          <w:rFonts w:ascii="Karla" w:hAnsi="Karla" w:cstheme="minorHAnsi"/>
        </w:rPr>
        <w:t xml:space="preserve"> IST treatment included AZA, MMF, and/or methotrexate; prior RTX users were excluded. </w:t>
      </w:r>
    </w:p>
    <w:p w14:paraId="58711D40" w14:textId="77777777" w:rsidR="00871C81" w:rsidRDefault="00871C81" w:rsidP="00871C81">
      <w:pPr>
        <w:spacing w:after="0" w:line="480" w:lineRule="auto"/>
        <w:rPr>
          <w:rFonts w:ascii="Karla" w:hAnsi="Karla" w:cstheme="minorHAnsi"/>
        </w:rPr>
      </w:pPr>
      <w:proofErr w:type="spellStart"/>
      <w:r w:rsidRPr="009D0202">
        <w:rPr>
          <w:rFonts w:ascii="Karla" w:hAnsi="Karla" w:cstheme="minorHAnsi"/>
          <w:vertAlign w:val="superscript"/>
        </w:rPr>
        <w:t>b</w:t>
      </w:r>
      <w:r w:rsidRPr="009D0202">
        <w:rPr>
          <w:rFonts w:ascii="Karla" w:hAnsi="Karla" w:cstheme="minorHAnsi"/>
        </w:rPr>
        <w:t>The</w:t>
      </w:r>
      <w:proofErr w:type="spellEnd"/>
      <w:r w:rsidRPr="009D0202">
        <w:rPr>
          <w:rFonts w:ascii="Karla" w:hAnsi="Karla" w:cstheme="minorHAnsi"/>
        </w:rPr>
        <w:t xml:space="preserve"> IST</w:t>
      </w:r>
      <w:r>
        <w:rPr>
          <w:rFonts w:ascii="Karla" w:hAnsi="Karla" w:cstheme="minorHAnsi"/>
        </w:rPr>
        <w:t>-</w:t>
      </w:r>
      <w:r w:rsidRPr="009D0202">
        <w:rPr>
          <w:rFonts w:ascii="Karla" w:hAnsi="Karla" w:cstheme="minorHAnsi"/>
        </w:rPr>
        <w:t>naïve group includes some participants who had prior treatment with less commonly used ISTs.</w:t>
      </w:r>
    </w:p>
    <w:p w14:paraId="067C0448" w14:textId="77777777" w:rsidR="00871C81" w:rsidRPr="008875D9" w:rsidRDefault="00871C81" w:rsidP="00871C81">
      <w:pPr>
        <w:rPr>
          <w:rFonts w:ascii="Karla" w:hAnsi="Karla" w:cstheme="minorHAnsi"/>
          <w:b/>
          <w:bCs/>
        </w:rPr>
      </w:pPr>
      <w:r w:rsidRPr="008875D9">
        <w:rPr>
          <w:rFonts w:ascii="Karla" w:hAnsi="Karla" w:cstheme="minorHAnsi"/>
          <w:b/>
          <w:bCs/>
        </w:rPr>
        <w:br w:type="page"/>
      </w:r>
    </w:p>
    <w:p w14:paraId="5EBD0470" w14:textId="77777777" w:rsidR="00871C81" w:rsidRPr="00AF2E9C" w:rsidRDefault="00871C81" w:rsidP="00871C81">
      <w:pPr>
        <w:spacing w:after="0" w:line="480" w:lineRule="auto"/>
        <w:rPr>
          <w:rFonts w:ascii="Karla" w:hAnsi="Karla" w:cstheme="minorHAnsi"/>
          <w:color w:val="EE0000"/>
        </w:rPr>
      </w:pPr>
      <w:r w:rsidRPr="008875D9">
        <w:rPr>
          <w:rFonts w:ascii="Karla" w:hAnsi="Karla" w:cstheme="minorHAnsi"/>
          <w:b/>
          <w:bCs/>
        </w:rPr>
        <w:lastRenderedPageBreak/>
        <w:t>Supplementary Table 2</w:t>
      </w:r>
      <w:r w:rsidRPr="001B75C2">
        <w:rPr>
          <w:rFonts w:ascii="Karla" w:hAnsi="Karla" w:cstheme="minorHAnsi"/>
          <w:b/>
          <w:bCs/>
        </w:rPr>
        <w:t>.</w:t>
      </w:r>
      <w:r w:rsidRPr="001B75C2">
        <w:rPr>
          <w:rFonts w:ascii="Karla" w:hAnsi="Karla" w:cstheme="minorHAnsi"/>
        </w:rPr>
        <w:t xml:space="preserve"> </w:t>
      </w:r>
      <w:r w:rsidRPr="001B75C2">
        <w:rPr>
          <w:rFonts w:ascii="Karla" w:hAnsi="Karla" w:cstheme="minorHAnsi"/>
          <w:color w:val="000000" w:themeColor="text1"/>
        </w:rPr>
        <w:t>Summary</w:t>
      </w:r>
      <w:r w:rsidRPr="00AF2E9C">
        <w:rPr>
          <w:rFonts w:ascii="Karla" w:hAnsi="Karla" w:cstheme="minorHAnsi"/>
          <w:color w:val="000000" w:themeColor="text1"/>
        </w:rPr>
        <w:t xml:space="preserve"> of studies informing the HCGs.</w:t>
      </w:r>
    </w:p>
    <w:tbl>
      <w:tblPr>
        <w:tblStyle w:val="TableGrid"/>
        <w:tblW w:w="5000" w:type="pct"/>
        <w:tblLook w:val="04A0" w:firstRow="1" w:lastRow="0" w:firstColumn="1" w:lastColumn="0" w:noHBand="0" w:noVBand="1"/>
      </w:tblPr>
      <w:tblGrid>
        <w:gridCol w:w="1960"/>
        <w:gridCol w:w="1965"/>
        <w:gridCol w:w="1877"/>
        <w:gridCol w:w="1397"/>
        <w:gridCol w:w="667"/>
        <w:gridCol w:w="1484"/>
      </w:tblGrid>
      <w:tr w:rsidR="00871C81" w:rsidRPr="009D0202" w14:paraId="495F8965" w14:textId="77777777" w:rsidTr="00294BF7">
        <w:tc>
          <w:tcPr>
            <w:tcW w:w="1056" w:type="pct"/>
            <w:shd w:val="clear" w:color="auto" w:fill="D9D9D9" w:themeFill="background1" w:themeFillShade="D9"/>
            <w:vAlign w:val="bottom"/>
          </w:tcPr>
          <w:p w14:paraId="14602511" w14:textId="77777777" w:rsidR="00871C81" w:rsidRPr="009D0202" w:rsidRDefault="00871C81" w:rsidP="00294BF7">
            <w:pPr>
              <w:spacing w:line="480" w:lineRule="auto"/>
              <w:jc w:val="center"/>
              <w:rPr>
                <w:rFonts w:ascii="Karla" w:hAnsi="Karla" w:cs="Calibri"/>
              </w:rPr>
            </w:pPr>
            <w:r w:rsidRPr="009D0202">
              <w:rPr>
                <w:rFonts w:ascii="Karla" w:hAnsi="Karla" w:cs="Calibri"/>
                <w:b/>
                <w:bCs/>
                <w:kern w:val="24"/>
              </w:rPr>
              <w:t>HCG</w:t>
            </w:r>
          </w:p>
        </w:tc>
        <w:tc>
          <w:tcPr>
            <w:tcW w:w="1059" w:type="pct"/>
            <w:shd w:val="clear" w:color="auto" w:fill="D9D9D9" w:themeFill="background1" w:themeFillShade="D9"/>
            <w:vAlign w:val="bottom"/>
          </w:tcPr>
          <w:p w14:paraId="477AB1A0" w14:textId="77777777" w:rsidR="00871C81" w:rsidRPr="009D0202" w:rsidRDefault="00871C81" w:rsidP="00294BF7">
            <w:pPr>
              <w:spacing w:line="480" w:lineRule="auto"/>
              <w:jc w:val="center"/>
              <w:rPr>
                <w:rFonts w:ascii="Karla" w:hAnsi="Karla" w:cs="Calibri"/>
              </w:rPr>
            </w:pPr>
            <w:r w:rsidRPr="009D0202">
              <w:rPr>
                <w:rFonts w:ascii="Karla" w:hAnsi="Karla" w:cs="Calibri"/>
                <w:b/>
                <w:bCs/>
                <w:spacing w:val="-2"/>
                <w:kern w:val="24"/>
              </w:rPr>
              <w:t>Study</w:t>
            </w:r>
          </w:p>
        </w:tc>
        <w:tc>
          <w:tcPr>
            <w:tcW w:w="1011" w:type="pct"/>
            <w:shd w:val="clear" w:color="auto" w:fill="D9D9D9" w:themeFill="background1" w:themeFillShade="D9"/>
            <w:vAlign w:val="bottom"/>
          </w:tcPr>
          <w:p w14:paraId="48FD26A9" w14:textId="77777777" w:rsidR="00871C81" w:rsidRPr="009D0202" w:rsidRDefault="00871C81" w:rsidP="00294BF7">
            <w:pPr>
              <w:spacing w:line="480" w:lineRule="auto"/>
              <w:jc w:val="center"/>
              <w:rPr>
                <w:rFonts w:ascii="Karla" w:hAnsi="Karla" w:cs="Calibri"/>
              </w:rPr>
            </w:pPr>
            <w:r w:rsidRPr="009D0202">
              <w:rPr>
                <w:rFonts w:ascii="Karla" w:hAnsi="Karla" w:cs="Calibri"/>
                <w:b/>
                <w:bCs/>
                <w:kern w:val="24"/>
              </w:rPr>
              <w:t>Study type</w:t>
            </w:r>
          </w:p>
        </w:tc>
        <w:tc>
          <w:tcPr>
            <w:tcW w:w="722" w:type="pct"/>
            <w:shd w:val="clear" w:color="auto" w:fill="D9D9D9" w:themeFill="background1" w:themeFillShade="D9"/>
            <w:vAlign w:val="bottom"/>
          </w:tcPr>
          <w:p w14:paraId="32C0EB93" w14:textId="77777777" w:rsidR="00871C81" w:rsidRPr="009D0202" w:rsidRDefault="00871C81" w:rsidP="00294BF7">
            <w:pPr>
              <w:spacing w:line="480" w:lineRule="auto"/>
              <w:jc w:val="center"/>
              <w:rPr>
                <w:rFonts w:ascii="Karla" w:hAnsi="Karla" w:cs="Calibri"/>
              </w:rPr>
            </w:pPr>
            <w:r w:rsidRPr="009D0202">
              <w:rPr>
                <w:rFonts w:ascii="Karla" w:hAnsi="Karla" w:cs="Calibri"/>
                <w:b/>
                <w:bCs/>
                <w:spacing w:val="-2"/>
                <w:kern w:val="24"/>
              </w:rPr>
              <w:t>Treatments</w:t>
            </w:r>
          </w:p>
        </w:tc>
        <w:tc>
          <w:tcPr>
            <w:tcW w:w="364" w:type="pct"/>
            <w:shd w:val="clear" w:color="auto" w:fill="D9D9D9" w:themeFill="background1" w:themeFillShade="D9"/>
            <w:vAlign w:val="bottom"/>
          </w:tcPr>
          <w:p w14:paraId="2E1A3980" w14:textId="77777777" w:rsidR="00871C81" w:rsidRPr="009D0202" w:rsidRDefault="00871C81" w:rsidP="00294BF7">
            <w:pPr>
              <w:spacing w:line="480" w:lineRule="auto"/>
              <w:jc w:val="center"/>
              <w:rPr>
                <w:rFonts w:ascii="Karla" w:hAnsi="Karla" w:cs="Calibri"/>
              </w:rPr>
            </w:pPr>
            <w:r w:rsidRPr="009D0202">
              <w:rPr>
                <w:rFonts w:ascii="Karla" w:hAnsi="Karla" w:cs="Calibri"/>
                <w:b/>
                <w:bCs/>
                <w:spacing w:val="-10"/>
                <w:kern w:val="24"/>
              </w:rPr>
              <w:t>n</w:t>
            </w:r>
          </w:p>
        </w:tc>
        <w:tc>
          <w:tcPr>
            <w:tcW w:w="788" w:type="pct"/>
            <w:shd w:val="clear" w:color="auto" w:fill="D9D9D9" w:themeFill="background1" w:themeFillShade="D9"/>
            <w:vAlign w:val="bottom"/>
          </w:tcPr>
          <w:p w14:paraId="3F1CA7D6" w14:textId="77777777" w:rsidR="00871C81" w:rsidRPr="009D0202" w:rsidRDefault="00871C81" w:rsidP="00294BF7">
            <w:pPr>
              <w:spacing w:line="480" w:lineRule="auto"/>
              <w:jc w:val="center"/>
              <w:rPr>
                <w:rFonts w:ascii="Karla" w:hAnsi="Karla" w:cs="Calibri"/>
              </w:rPr>
            </w:pPr>
            <w:r w:rsidRPr="009D0202">
              <w:rPr>
                <w:rFonts w:ascii="Karla" w:hAnsi="Karla" w:cs="Calibri"/>
                <w:b/>
                <w:bCs/>
                <w:spacing w:val="-2"/>
                <w:kern w:val="24"/>
              </w:rPr>
              <w:t>AQP4-</w:t>
            </w:r>
            <w:r w:rsidRPr="009D0202">
              <w:rPr>
                <w:rFonts w:ascii="Karla" w:hAnsi="Karla" w:cs="Calibri"/>
                <w:b/>
                <w:bCs/>
                <w:kern w:val="24"/>
              </w:rPr>
              <w:t>IgG</w:t>
            </w:r>
            <w:r w:rsidRPr="009D0202">
              <w:rPr>
                <w:rFonts w:ascii="Karla" w:hAnsi="Karla" w:cs="Calibri"/>
                <w:b/>
                <w:bCs/>
                <w:spacing w:val="13"/>
                <w:kern w:val="24"/>
              </w:rPr>
              <w:t xml:space="preserve"> </w:t>
            </w:r>
            <w:r w:rsidRPr="009D0202">
              <w:rPr>
                <w:rFonts w:ascii="Karla" w:hAnsi="Karla" w:cs="Calibri"/>
                <w:b/>
                <w:bCs/>
                <w:spacing w:val="-2"/>
                <w:kern w:val="24"/>
              </w:rPr>
              <w:t>status</w:t>
            </w:r>
          </w:p>
        </w:tc>
      </w:tr>
      <w:tr w:rsidR="00871C81" w:rsidRPr="009D0202" w14:paraId="2E2C4DFE" w14:textId="77777777" w:rsidTr="00294BF7">
        <w:tc>
          <w:tcPr>
            <w:tcW w:w="1056" w:type="pct"/>
            <w:vMerge w:val="restart"/>
          </w:tcPr>
          <w:p w14:paraId="7126BA8F" w14:textId="77777777" w:rsidR="00871C81" w:rsidRPr="009D0202" w:rsidRDefault="00871C81" w:rsidP="00294BF7">
            <w:pPr>
              <w:spacing w:line="480" w:lineRule="auto"/>
              <w:rPr>
                <w:rFonts w:ascii="Karla" w:hAnsi="Karla" w:cs="Calibri"/>
                <w:b/>
                <w:bCs/>
              </w:rPr>
            </w:pPr>
            <w:r w:rsidRPr="009D0202">
              <w:rPr>
                <w:rFonts w:ascii="Karla" w:hAnsi="Karla" w:cs="Calibri"/>
                <w:b/>
                <w:bCs/>
              </w:rPr>
              <w:t xml:space="preserve">Placebo </w:t>
            </w:r>
          </w:p>
          <w:p w14:paraId="75CFFC1A" w14:textId="77777777" w:rsidR="00871C81" w:rsidRPr="009D0202" w:rsidRDefault="00871C81" w:rsidP="00294BF7">
            <w:pPr>
              <w:spacing w:line="480" w:lineRule="auto"/>
              <w:rPr>
                <w:rFonts w:ascii="Karla" w:hAnsi="Karla" w:cs="Calibri"/>
              </w:rPr>
            </w:pPr>
            <w:r w:rsidRPr="009D0202">
              <w:rPr>
                <w:rFonts w:ascii="Karla" w:hAnsi="Karla" w:cs="Calibri"/>
                <w:b/>
                <w:bCs/>
              </w:rPr>
              <w:t>(n=106)</w:t>
            </w:r>
          </w:p>
        </w:tc>
        <w:tc>
          <w:tcPr>
            <w:tcW w:w="1059" w:type="pct"/>
          </w:tcPr>
          <w:p w14:paraId="470770E6" w14:textId="77777777" w:rsidR="00871C81" w:rsidRPr="009D0202" w:rsidRDefault="00871C81" w:rsidP="00294BF7">
            <w:pPr>
              <w:spacing w:line="480" w:lineRule="auto"/>
              <w:jc w:val="center"/>
              <w:rPr>
                <w:rFonts w:ascii="Karla" w:hAnsi="Karla" w:cs="Calibri"/>
              </w:rPr>
            </w:pPr>
            <w:r w:rsidRPr="009D0202">
              <w:rPr>
                <w:rFonts w:ascii="Karla" w:hAnsi="Karla" w:cs="Calibri"/>
              </w:rPr>
              <w:t>Costanzi</w:t>
            </w:r>
            <w:r w:rsidRPr="009D525A">
              <w:rPr>
                <w:rFonts w:ascii="Karla" w:hAnsi="Karla" w:cs="Calibri"/>
                <w:noProof/>
                <w:vertAlign w:val="superscript"/>
              </w:rPr>
              <w:t>3</w:t>
            </w:r>
          </w:p>
        </w:tc>
        <w:tc>
          <w:tcPr>
            <w:tcW w:w="1011" w:type="pct"/>
          </w:tcPr>
          <w:p w14:paraId="03830059" w14:textId="77777777" w:rsidR="00871C81" w:rsidRPr="009D0202" w:rsidRDefault="00871C81" w:rsidP="00294BF7">
            <w:pPr>
              <w:spacing w:line="480" w:lineRule="auto"/>
              <w:jc w:val="center"/>
              <w:rPr>
                <w:rFonts w:ascii="Karla" w:hAnsi="Karla" w:cs="Calibri"/>
              </w:rPr>
            </w:pPr>
            <w:r w:rsidRPr="009D0202">
              <w:rPr>
                <w:rFonts w:ascii="Karla" w:hAnsi="Karla" w:cs="Calibri"/>
              </w:rPr>
              <w:t>Retrospective medical record review</w:t>
            </w:r>
          </w:p>
        </w:tc>
        <w:tc>
          <w:tcPr>
            <w:tcW w:w="722" w:type="pct"/>
          </w:tcPr>
          <w:p w14:paraId="53B1132C" w14:textId="77777777" w:rsidR="00871C81" w:rsidRPr="009D0202" w:rsidRDefault="00871C81" w:rsidP="00294BF7">
            <w:pPr>
              <w:spacing w:line="480" w:lineRule="auto"/>
              <w:jc w:val="center"/>
              <w:rPr>
                <w:rFonts w:ascii="Karla" w:hAnsi="Karla" w:cs="Calibri"/>
                <w:vertAlign w:val="superscript"/>
              </w:rPr>
            </w:pPr>
            <w:r w:rsidRPr="009D0202">
              <w:rPr>
                <w:rFonts w:ascii="Karla" w:hAnsi="Karla" w:cs="Calibri"/>
              </w:rPr>
              <w:t xml:space="preserve">Data prior to AZA </w:t>
            </w:r>
            <w:proofErr w:type="spellStart"/>
            <w:r w:rsidRPr="009D0202">
              <w:rPr>
                <w:rFonts w:ascii="Karla" w:hAnsi="Karla" w:cs="Calibri"/>
              </w:rPr>
              <w:t>treatment</w:t>
            </w:r>
            <w:r w:rsidRPr="009D0202">
              <w:rPr>
                <w:rFonts w:ascii="Karla" w:hAnsi="Karla" w:cs="Calibri"/>
                <w:vertAlign w:val="superscript"/>
              </w:rPr>
              <w:t>a</w:t>
            </w:r>
            <w:proofErr w:type="spellEnd"/>
          </w:p>
        </w:tc>
        <w:tc>
          <w:tcPr>
            <w:tcW w:w="364" w:type="pct"/>
          </w:tcPr>
          <w:p w14:paraId="4B396BB4"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5"/>
                <w:kern w:val="24"/>
              </w:rPr>
              <w:t>70</w:t>
            </w:r>
          </w:p>
        </w:tc>
        <w:tc>
          <w:tcPr>
            <w:tcW w:w="788" w:type="pct"/>
          </w:tcPr>
          <w:p w14:paraId="74E5C7BB"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kern w:val="24"/>
              </w:rPr>
              <w:t>Mix</w:t>
            </w:r>
            <w:r w:rsidRPr="009D0202">
              <w:rPr>
                <w:rFonts w:ascii="Karla" w:hAnsi="Karla" w:cstheme="minorHAnsi"/>
                <w:color w:val="231F20"/>
                <w:spacing w:val="4"/>
                <w:kern w:val="24"/>
              </w:rPr>
              <w:t xml:space="preserve"> </w:t>
            </w:r>
            <w:r w:rsidRPr="009D0202">
              <w:rPr>
                <w:rFonts w:ascii="Karla" w:hAnsi="Karla" w:cstheme="minorHAnsi"/>
                <w:color w:val="231F20"/>
                <w:kern w:val="24"/>
              </w:rPr>
              <w:t>of</w:t>
            </w:r>
            <w:r w:rsidRPr="009D0202">
              <w:rPr>
                <w:rFonts w:ascii="Karla" w:hAnsi="Karla" w:cstheme="minorHAnsi"/>
                <w:color w:val="231F20"/>
                <w:spacing w:val="5"/>
                <w:kern w:val="24"/>
              </w:rPr>
              <w:t xml:space="preserve"> </w:t>
            </w:r>
            <w:r w:rsidRPr="009D0202">
              <w:rPr>
                <w:rFonts w:ascii="Karla" w:hAnsi="Karla" w:cstheme="minorHAnsi"/>
                <w:color w:val="231F20"/>
                <w:spacing w:val="-2"/>
                <w:kern w:val="24"/>
              </w:rPr>
              <w:t xml:space="preserve">seropositive </w:t>
            </w:r>
            <w:r w:rsidRPr="009D0202">
              <w:rPr>
                <w:rFonts w:ascii="Karla" w:hAnsi="Karla" w:cstheme="minorHAnsi"/>
                <w:color w:val="231F20"/>
                <w:kern w:val="24"/>
              </w:rPr>
              <w:t>and</w:t>
            </w:r>
            <w:r w:rsidRPr="009D0202">
              <w:rPr>
                <w:rFonts w:ascii="Karla" w:hAnsi="Karla" w:cstheme="minorHAnsi"/>
                <w:color w:val="231F20"/>
                <w:spacing w:val="8"/>
                <w:kern w:val="24"/>
              </w:rPr>
              <w:t xml:space="preserve"> </w:t>
            </w:r>
            <w:r w:rsidRPr="009D0202">
              <w:rPr>
                <w:rFonts w:ascii="Karla" w:hAnsi="Karla" w:cstheme="minorHAnsi"/>
                <w:color w:val="231F20"/>
                <w:spacing w:val="-2"/>
                <w:kern w:val="24"/>
              </w:rPr>
              <w:t>seronegative</w:t>
            </w:r>
          </w:p>
        </w:tc>
      </w:tr>
      <w:tr w:rsidR="00871C81" w:rsidRPr="009D0202" w14:paraId="20FD2439" w14:textId="77777777" w:rsidTr="00294BF7">
        <w:tc>
          <w:tcPr>
            <w:tcW w:w="1056" w:type="pct"/>
            <w:vMerge/>
          </w:tcPr>
          <w:p w14:paraId="74B8C2E4" w14:textId="77777777" w:rsidR="00871C81" w:rsidRPr="009D0202" w:rsidRDefault="00871C81" w:rsidP="00294BF7">
            <w:pPr>
              <w:spacing w:line="480" w:lineRule="auto"/>
              <w:rPr>
                <w:rFonts w:ascii="Karla" w:hAnsi="Karla" w:cs="Calibri"/>
              </w:rPr>
            </w:pPr>
          </w:p>
        </w:tc>
        <w:tc>
          <w:tcPr>
            <w:tcW w:w="1059" w:type="pct"/>
          </w:tcPr>
          <w:p w14:paraId="6F1998D1" w14:textId="77777777" w:rsidR="00871C81" w:rsidRPr="009D0202" w:rsidRDefault="00871C81" w:rsidP="00294BF7">
            <w:pPr>
              <w:spacing w:line="480" w:lineRule="auto"/>
              <w:jc w:val="center"/>
              <w:rPr>
                <w:rFonts w:ascii="Karla" w:hAnsi="Karla" w:cs="Calibri"/>
              </w:rPr>
            </w:pPr>
            <w:r w:rsidRPr="009D0202">
              <w:rPr>
                <w:rFonts w:ascii="Karla" w:hAnsi="Karla" w:cs="Calibri"/>
              </w:rPr>
              <w:t>Pittock</w:t>
            </w:r>
            <w:r w:rsidRPr="009D525A">
              <w:rPr>
                <w:rFonts w:ascii="Karla" w:hAnsi="Karla" w:cs="Calibri"/>
                <w:noProof/>
                <w:vertAlign w:val="superscript"/>
              </w:rPr>
              <w:t>4</w:t>
            </w:r>
          </w:p>
          <w:p w14:paraId="44086AA9" w14:textId="77777777" w:rsidR="00871C81" w:rsidRPr="009D0202" w:rsidRDefault="00871C81" w:rsidP="00294BF7">
            <w:pPr>
              <w:spacing w:line="480" w:lineRule="auto"/>
              <w:jc w:val="center"/>
              <w:rPr>
                <w:rFonts w:ascii="Karla" w:hAnsi="Karla" w:cs="Calibri"/>
              </w:rPr>
            </w:pPr>
            <w:r w:rsidRPr="009D0202">
              <w:rPr>
                <w:rFonts w:ascii="Karla" w:hAnsi="Karla" w:cs="Calibri"/>
              </w:rPr>
              <w:t>(PREVENT)</w:t>
            </w:r>
          </w:p>
        </w:tc>
        <w:tc>
          <w:tcPr>
            <w:tcW w:w="1011" w:type="pct"/>
          </w:tcPr>
          <w:p w14:paraId="11F09C0E" w14:textId="77777777" w:rsidR="00871C81" w:rsidRPr="009D0202" w:rsidRDefault="00871C81" w:rsidP="00294BF7">
            <w:pPr>
              <w:spacing w:line="480" w:lineRule="auto"/>
              <w:jc w:val="center"/>
              <w:rPr>
                <w:rFonts w:ascii="Karla" w:hAnsi="Karla" w:cs="Calibri"/>
              </w:rPr>
            </w:pPr>
            <w:r w:rsidRPr="009D0202">
              <w:rPr>
                <w:rFonts w:ascii="Karla" w:hAnsi="Karla" w:cs="Calibri"/>
              </w:rPr>
              <w:t>RCT</w:t>
            </w:r>
          </w:p>
        </w:tc>
        <w:tc>
          <w:tcPr>
            <w:tcW w:w="722" w:type="pct"/>
          </w:tcPr>
          <w:p w14:paraId="569F8393" w14:textId="77777777" w:rsidR="00871C81" w:rsidRPr="009D0202" w:rsidRDefault="00871C81" w:rsidP="00294BF7">
            <w:pPr>
              <w:spacing w:line="480" w:lineRule="auto"/>
              <w:jc w:val="center"/>
              <w:rPr>
                <w:rFonts w:ascii="Karla" w:hAnsi="Karla" w:cs="Calibri"/>
              </w:rPr>
            </w:pPr>
            <w:r w:rsidRPr="009D0202">
              <w:rPr>
                <w:rFonts w:ascii="Karla" w:hAnsi="Karla" w:cs="Calibri"/>
              </w:rPr>
              <w:t>Placebo</w:t>
            </w:r>
          </w:p>
        </w:tc>
        <w:tc>
          <w:tcPr>
            <w:tcW w:w="364" w:type="pct"/>
          </w:tcPr>
          <w:p w14:paraId="40878AF9"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5"/>
                <w:kern w:val="24"/>
              </w:rPr>
              <w:t>13</w:t>
            </w:r>
          </w:p>
        </w:tc>
        <w:tc>
          <w:tcPr>
            <w:tcW w:w="788" w:type="pct"/>
          </w:tcPr>
          <w:p w14:paraId="2AEB53DE"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2"/>
                <w:kern w:val="24"/>
              </w:rPr>
              <w:t>Seropositive</w:t>
            </w:r>
          </w:p>
        </w:tc>
      </w:tr>
      <w:tr w:rsidR="00871C81" w:rsidRPr="009D0202" w14:paraId="6A4B61CD" w14:textId="77777777" w:rsidTr="00294BF7">
        <w:tc>
          <w:tcPr>
            <w:tcW w:w="1056" w:type="pct"/>
            <w:vMerge/>
          </w:tcPr>
          <w:p w14:paraId="2A635781" w14:textId="77777777" w:rsidR="00871C81" w:rsidRPr="009D0202" w:rsidRDefault="00871C81" w:rsidP="00294BF7">
            <w:pPr>
              <w:spacing w:line="480" w:lineRule="auto"/>
              <w:rPr>
                <w:rFonts w:ascii="Karla" w:hAnsi="Karla" w:cs="Calibri"/>
              </w:rPr>
            </w:pPr>
          </w:p>
        </w:tc>
        <w:tc>
          <w:tcPr>
            <w:tcW w:w="1059" w:type="pct"/>
          </w:tcPr>
          <w:p w14:paraId="4020BD90" w14:textId="77777777" w:rsidR="00871C81" w:rsidRPr="009D0202" w:rsidRDefault="00871C81" w:rsidP="00294BF7">
            <w:pPr>
              <w:spacing w:line="480" w:lineRule="auto"/>
              <w:jc w:val="center"/>
              <w:rPr>
                <w:rFonts w:ascii="Karla" w:hAnsi="Karla" w:cs="Calibri"/>
              </w:rPr>
            </w:pPr>
            <w:r w:rsidRPr="009D0202">
              <w:rPr>
                <w:rFonts w:ascii="Karla" w:hAnsi="Karla" w:cs="Calibri"/>
              </w:rPr>
              <w:t>Traboulsee</w:t>
            </w:r>
            <w:r w:rsidRPr="009D525A">
              <w:rPr>
                <w:rFonts w:ascii="Karla" w:hAnsi="Karla" w:cs="Calibri"/>
                <w:noProof/>
                <w:vertAlign w:val="superscript"/>
              </w:rPr>
              <w:t>5</w:t>
            </w:r>
          </w:p>
          <w:p w14:paraId="43152503" w14:textId="77777777" w:rsidR="00871C81" w:rsidRPr="009D0202" w:rsidRDefault="00871C81" w:rsidP="00294BF7">
            <w:pPr>
              <w:spacing w:line="480" w:lineRule="auto"/>
              <w:jc w:val="center"/>
              <w:rPr>
                <w:rFonts w:ascii="Karla" w:hAnsi="Karla" w:cs="Calibri"/>
              </w:rPr>
            </w:pPr>
            <w:r w:rsidRPr="009D0202">
              <w:rPr>
                <w:rFonts w:ascii="Karla" w:hAnsi="Karla" w:cs="Calibri"/>
              </w:rPr>
              <w:t>(</w:t>
            </w:r>
            <w:proofErr w:type="spellStart"/>
            <w:r w:rsidRPr="009D0202">
              <w:rPr>
                <w:rFonts w:ascii="Karla" w:hAnsi="Karla" w:cs="Calibri"/>
              </w:rPr>
              <w:t>SAkuraStar</w:t>
            </w:r>
            <w:proofErr w:type="spellEnd"/>
            <w:r w:rsidRPr="009D0202">
              <w:rPr>
                <w:rFonts w:ascii="Karla" w:hAnsi="Karla" w:cs="Calibri"/>
              </w:rPr>
              <w:t>)</w:t>
            </w:r>
          </w:p>
        </w:tc>
        <w:tc>
          <w:tcPr>
            <w:tcW w:w="1011" w:type="pct"/>
          </w:tcPr>
          <w:p w14:paraId="1D39CCEB" w14:textId="77777777" w:rsidR="00871C81" w:rsidRPr="009D0202" w:rsidRDefault="00871C81" w:rsidP="00294BF7">
            <w:pPr>
              <w:spacing w:line="480" w:lineRule="auto"/>
              <w:jc w:val="center"/>
              <w:rPr>
                <w:rFonts w:ascii="Karla" w:hAnsi="Karla" w:cs="Calibri"/>
              </w:rPr>
            </w:pPr>
            <w:r w:rsidRPr="009D0202">
              <w:rPr>
                <w:rFonts w:ascii="Karla" w:hAnsi="Karla" w:cs="Calibri"/>
              </w:rPr>
              <w:t>RCT</w:t>
            </w:r>
          </w:p>
        </w:tc>
        <w:tc>
          <w:tcPr>
            <w:tcW w:w="722" w:type="pct"/>
          </w:tcPr>
          <w:p w14:paraId="4D770B44" w14:textId="77777777" w:rsidR="00871C81" w:rsidRPr="009D0202" w:rsidRDefault="00871C81" w:rsidP="00294BF7">
            <w:pPr>
              <w:spacing w:line="480" w:lineRule="auto"/>
              <w:jc w:val="center"/>
              <w:rPr>
                <w:rFonts w:ascii="Karla" w:hAnsi="Karla" w:cs="Calibri"/>
              </w:rPr>
            </w:pPr>
            <w:r w:rsidRPr="009D0202">
              <w:rPr>
                <w:rFonts w:ascii="Karla" w:hAnsi="Karla" w:cs="Calibri"/>
              </w:rPr>
              <w:t>Placebo</w:t>
            </w:r>
          </w:p>
        </w:tc>
        <w:tc>
          <w:tcPr>
            <w:tcW w:w="364" w:type="pct"/>
          </w:tcPr>
          <w:p w14:paraId="6AF81CDF"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5"/>
                <w:kern w:val="24"/>
              </w:rPr>
              <w:t>23</w:t>
            </w:r>
          </w:p>
        </w:tc>
        <w:tc>
          <w:tcPr>
            <w:tcW w:w="788" w:type="pct"/>
          </w:tcPr>
          <w:p w14:paraId="4B7889CD"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2"/>
                <w:kern w:val="24"/>
              </w:rPr>
              <w:t>Seropositive</w:t>
            </w:r>
          </w:p>
        </w:tc>
      </w:tr>
      <w:tr w:rsidR="00871C81" w:rsidRPr="009D0202" w14:paraId="36B5D96F" w14:textId="77777777" w:rsidTr="00294BF7">
        <w:tc>
          <w:tcPr>
            <w:tcW w:w="1056" w:type="pct"/>
            <w:vMerge w:val="restart"/>
          </w:tcPr>
          <w:p w14:paraId="68F3D7A0" w14:textId="77777777" w:rsidR="00871C81" w:rsidRPr="009D0202" w:rsidRDefault="00871C81" w:rsidP="00294BF7">
            <w:pPr>
              <w:spacing w:line="480" w:lineRule="auto"/>
              <w:rPr>
                <w:rFonts w:ascii="Karla" w:hAnsi="Karla" w:cs="Calibri"/>
                <w:b/>
                <w:bCs/>
              </w:rPr>
            </w:pPr>
            <w:r w:rsidRPr="009D0202">
              <w:rPr>
                <w:rFonts w:ascii="Karla" w:hAnsi="Karla" w:cs="Calibri"/>
                <w:b/>
                <w:bCs/>
              </w:rPr>
              <w:t xml:space="preserve">IST </w:t>
            </w:r>
            <w:proofErr w:type="gramStart"/>
            <w:r w:rsidRPr="009D0202">
              <w:rPr>
                <w:rFonts w:ascii="Karla" w:hAnsi="Karla" w:cs="Calibri"/>
                <w:b/>
                <w:bCs/>
              </w:rPr>
              <w:t>comparators</w:t>
            </w:r>
            <w:proofErr w:type="gramEnd"/>
            <w:r w:rsidRPr="009D0202">
              <w:rPr>
                <w:rFonts w:ascii="Karla" w:hAnsi="Karla" w:cs="Calibri"/>
                <w:b/>
                <w:bCs/>
              </w:rPr>
              <w:t xml:space="preserve"> </w:t>
            </w:r>
          </w:p>
          <w:p w14:paraId="6DA41360" w14:textId="77777777" w:rsidR="00871C81" w:rsidRPr="009D0202" w:rsidRDefault="00871C81" w:rsidP="00294BF7">
            <w:pPr>
              <w:spacing w:line="480" w:lineRule="auto"/>
              <w:rPr>
                <w:rFonts w:ascii="Karla" w:hAnsi="Karla" w:cs="Calibri"/>
              </w:rPr>
            </w:pPr>
            <w:r w:rsidRPr="009D0202">
              <w:rPr>
                <w:rFonts w:ascii="Karla" w:hAnsi="Karla" w:cs="Calibri"/>
                <w:b/>
                <w:bCs/>
              </w:rPr>
              <w:t>(n=132)</w:t>
            </w:r>
          </w:p>
        </w:tc>
        <w:tc>
          <w:tcPr>
            <w:tcW w:w="1059" w:type="pct"/>
          </w:tcPr>
          <w:p w14:paraId="4A884C8D" w14:textId="77777777" w:rsidR="00871C81" w:rsidRPr="009D0202" w:rsidRDefault="00871C81" w:rsidP="00294BF7">
            <w:pPr>
              <w:spacing w:line="480" w:lineRule="auto"/>
              <w:jc w:val="center"/>
              <w:rPr>
                <w:rFonts w:ascii="Karla" w:hAnsi="Karla" w:cs="Calibri"/>
              </w:rPr>
            </w:pPr>
            <w:r w:rsidRPr="009D0202">
              <w:rPr>
                <w:rFonts w:ascii="Karla" w:hAnsi="Karla" w:cs="Calibri"/>
              </w:rPr>
              <w:t>Costanzi</w:t>
            </w:r>
            <w:r w:rsidRPr="009D525A">
              <w:rPr>
                <w:rFonts w:ascii="Karla" w:hAnsi="Karla" w:cs="Calibri"/>
                <w:noProof/>
                <w:vertAlign w:val="superscript"/>
              </w:rPr>
              <w:t>3</w:t>
            </w:r>
          </w:p>
        </w:tc>
        <w:tc>
          <w:tcPr>
            <w:tcW w:w="1011" w:type="pct"/>
          </w:tcPr>
          <w:p w14:paraId="69ED8EAB" w14:textId="77777777" w:rsidR="00871C81" w:rsidRPr="009D0202" w:rsidRDefault="00871C81" w:rsidP="00294BF7">
            <w:pPr>
              <w:spacing w:line="480" w:lineRule="auto"/>
              <w:jc w:val="center"/>
              <w:rPr>
                <w:rFonts w:ascii="Karla" w:hAnsi="Karla" w:cs="Calibri"/>
              </w:rPr>
            </w:pPr>
            <w:r w:rsidRPr="009D0202">
              <w:rPr>
                <w:rFonts w:ascii="Karla" w:hAnsi="Karla" w:cs="Calibri"/>
              </w:rPr>
              <w:t>Retrospective medical record review</w:t>
            </w:r>
          </w:p>
        </w:tc>
        <w:tc>
          <w:tcPr>
            <w:tcW w:w="722" w:type="pct"/>
          </w:tcPr>
          <w:p w14:paraId="598720F8" w14:textId="77777777" w:rsidR="00871C81" w:rsidRPr="009D0202" w:rsidRDefault="00871C81" w:rsidP="00294BF7">
            <w:pPr>
              <w:spacing w:line="480" w:lineRule="auto"/>
              <w:jc w:val="center"/>
              <w:rPr>
                <w:rFonts w:ascii="Karla" w:hAnsi="Karla" w:cs="Calibri"/>
              </w:rPr>
            </w:pPr>
            <w:r w:rsidRPr="009D0202">
              <w:rPr>
                <w:rFonts w:ascii="Karla" w:hAnsi="Karla" w:cs="Calibri"/>
              </w:rPr>
              <w:t>AZA</w:t>
            </w:r>
          </w:p>
        </w:tc>
        <w:tc>
          <w:tcPr>
            <w:tcW w:w="364" w:type="pct"/>
          </w:tcPr>
          <w:p w14:paraId="3008A4AF"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5"/>
                <w:kern w:val="24"/>
              </w:rPr>
              <w:t>70</w:t>
            </w:r>
          </w:p>
        </w:tc>
        <w:tc>
          <w:tcPr>
            <w:tcW w:w="788" w:type="pct"/>
          </w:tcPr>
          <w:p w14:paraId="56A29834"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kern w:val="24"/>
              </w:rPr>
              <w:t>Mix</w:t>
            </w:r>
            <w:r w:rsidRPr="009D0202">
              <w:rPr>
                <w:rFonts w:ascii="Karla" w:hAnsi="Karla" w:cstheme="minorHAnsi"/>
                <w:color w:val="231F20"/>
                <w:spacing w:val="4"/>
                <w:kern w:val="24"/>
              </w:rPr>
              <w:t xml:space="preserve"> </w:t>
            </w:r>
            <w:r w:rsidRPr="009D0202">
              <w:rPr>
                <w:rFonts w:ascii="Karla" w:hAnsi="Karla" w:cstheme="minorHAnsi"/>
                <w:color w:val="231F20"/>
                <w:kern w:val="24"/>
              </w:rPr>
              <w:t>of</w:t>
            </w:r>
            <w:r w:rsidRPr="009D0202">
              <w:rPr>
                <w:rFonts w:ascii="Karla" w:hAnsi="Karla" w:cstheme="minorHAnsi"/>
                <w:color w:val="231F20"/>
                <w:spacing w:val="5"/>
                <w:kern w:val="24"/>
              </w:rPr>
              <w:t xml:space="preserve"> </w:t>
            </w:r>
            <w:r w:rsidRPr="009D0202">
              <w:rPr>
                <w:rFonts w:ascii="Karla" w:hAnsi="Karla" w:cstheme="minorHAnsi"/>
                <w:color w:val="231F20"/>
                <w:spacing w:val="-2"/>
                <w:kern w:val="24"/>
              </w:rPr>
              <w:t xml:space="preserve">seropositive </w:t>
            </w:r>
            <w:r w:rsidRPr="009D0202">
              <w:rPr>
                <w:rFonts w:ascii="Karla" w:hAnsi="Karla" w:cstheme="minorHAnsi"/>
                <w:color w:val="231F20"/>
                <w:kern w:val="24"/>
              </w:rPr>
              <w:t>and</w:t>
            </w:r>
            <w:r w:rsidRPr="009D0202">
              <w:rPr>
                <w:rFonts w:ascii="Karla" w:hAnsi="Karla" w:cstheme="minorHAnsi"/>
                <w:color w:val="231F20"/>
                <w:spacing w:val="8"/>
                <w:kern w:val="24"/>
              </w:rPr>
              <w:t xml:space="preserve"> </w:t>
            </w:r>
            <w:r w:rsidRPr="009D0202">
              <w:rPr>
                <w:rFonts w:ascii="Karla" w:hAnsi="Karla" w:cstheme="minorHAnsi"/>
                <w:color w:val="231F20"/>
                <w:spacing w:val="-2"/>
                <w:kern w:val="24"/>
              </w:rPr>
              <w:t>seronegative</w:t>
            </w:r>
          </w:p>
        </w:tc>
      </w:tr>
      <w:tr w:rsidR="00871C81" w:rsidRPr="009D0202" w14:paraId="49BAF933" w14:textId="77777777" w:rsidTr="00294BF7">
        <w:tc>
          <w:tcPr>
            <w:tcW w:w="1056" w:type="pct"/>
            <w:vMerge/>
          </w:tcPr>
          <w:p w14:paraId="7963494B" w14:textId="77777777" w:rsidR="00871C81" w:rsidRPr="009D0202" w:rsidRDefault="00871C81" w:rsidP="00294BF7">
            <w:pPr>
              <w:spacing w:line="480" w:lineRule="auto"/>
              <w:rPr>
                <w:rFonts w:ascii="Karla" w:hAnsi="Karla" w:cs="Calibri"/>
              </w:rPr>
            </w:pPr>
          </w:p>
        </w:tc>
        <w:tc>
          <w:tcPr>
            <w:tcW w:w="1059" w:type="pct"/>
          </w:tcPr>
          <w:p w14:paraId="70FFB782" w14:textId="77777777" w:rsidR="00871C81" w:rsidRPr="009D0202" w:rsidRDefault="00871C81" w:rsidP="00294BF7">
            <w:pPr>
              <w:spacing w:line="480" w:lineRule="auto"/>
              <w:jc w:val="center"/>
              <w:rPr>
                <w:rFonts w:ascii="Karla" w:hAnsi="Karla" w:cs="Calibri"/>
              </w:rPr>
            </w:pPr>
            <w:r w:rsidRPr="009D0202">
              <w:rPr>
                <w:rFonts w:ascii="Karla" w:hAnsi="Karla" w:cs="Calibri"/>
              </w:rPr>
              <w:t>Pittock</w:t>
            </w:r>
            <w:r w:rsidRPr="009D525A">
              <w:rPr>
                <w:rFonts w:ascii="Karla" w:hAnsi="Karla" w:cs="Calibri"/>
                <w:noProof/>
                <w:vertAlign w:val="superscript"/>
              </w:rPr>
              <w:t>4</w:t>
            </w:r>
          </w:p>
          <w:p w14:paraId="1D2FDA68" w14:textId="77777777" w:rsidR="00871C81" w:rsidRPr="009D0202" w:rsidRDefault="00871C81" w:rsidP="00294BF7">
            <w:pPr>
              <w:spacing w:line="480" w:lineRule="auto"/>
              <w:jc w:val="center"/>
              <w:rPr>
                <w:rFonts w:ascii="Karla" w:hAnsi="Karla" w:cs="Calibri"/>
              </w:rPr>
            </w:pPr>
            <w:r w:rsidRPr="009D0202">
              <w:rPr>
                <w:rFonts w:ascii="Karla" w:hAnsi="Karla" w:cs="Calibri"/>
              </w:rPr>
              <w:t>(PREVENT)</w:t>
            </w:r>
          </w:p>
        </w:tc>
        <w:tc>
          <w:tcPr>
            <w:tcW w:w="1011" w:type="pct"/>
          </w:tcPr>
          <w:p w14:paraId="4FDA9C13" w14:textId="77777777" w:rsidR="00871C81" w:rsidRPr="009D0202" w:rsidRDefault="00871C81" w:rsidP="00294BF7">
            <w:pPr>
              <w:spacing w:line="480" w:lineRule="auto"/>
              <w:jc w:val="center"/>
              <w:rPr>
                <w:rFonts w:ascii="Karla" w:hAnsi="Karla" w:cs="Calibri"/>
              </w:rPr>
            </w:pPr>
            <w:r w:rsidRPr="009D0202">
              <w:rPr>
                <w:rFonts w:ascii="Karla" w:hAnsi="Karla" w:cs="Calibri"/>
              </w:rPr>
              <w:t>RCT</w:t>
            </w:r>
          </w:p>
        </w:tc>
        <w:tc>
          <w:tcPr>
            <w:tcW w:w="722" w:type="pct"/>
          </w:tcPr>
          <w:p w14:paraId="10A26C02" w14:textId="77777777" w:rsidR="00871C81" w:rsidRPr="009D0202" w:rsidRDefault="00871C81" w:rsidP="00294BF7">
            <w:pPr>
              <w:spacing w:line="480" w:lineRule="auto"/>
              <w:jc w:val="center"/>
              <w:rPr>
                <w:rFonts w:ascii="Karla" w:hAnsi="Karla" w:cs="Calibri"/>
              </w:rPr>
            </w:pPr>
            <w:r w:rsidRPr="009D0202">
              <w:rPr>
                <w:rFonts w:ascii="Karla" w:hAnsi="Karla" w:cs="Calibri"/>
              </w:rPr>
              <w:t>IST</w:t>
            </w:r>
          </w:p>
        </w:tc>
        <w:tc>
          <w:tcPr>
            <w:tcW w:w="364" w:type="pct"/>
          </w:tcPr>
          <w:p w14:paraId="421639CE"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5"/>
                <w:kern w:val="24"/>
              </w:rPr>
              <w:t>34</w:t>
            </w:r>
          </w:p>
        </w:tc>
        <w:tc>
          <w:tcPr>
            <w:tcW w:w="788" w:type="pct"/>
          </w:tcPr>
          <w:p w14:paraId="69B46CB3"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2"/>
                <w:kern w:val="24"/>
              </w:rPr>
              <w:t>Seropositive</w:t>
            </w:r>
          </w:p>
        </w:tc>
      </w:tr>
      <w:tr w:rsidR="00871C81" w:rsidRPr="009D0202" w14:paraId="1AA88840" w14:textId="77777777" w:rsidTr="00294BF7">
        <w:tc>
          <w:tcPr>
            <w:tcW w:w="1056" w:type="pct"/>
            <w:vMerge/>
          </w:tcPr>
          <w:p w14:paraId="24F70221" w14:textId="77777777" w:rsidR="00871C81" w:rsidRPr="009D0202" w:rsidRDefault="00871C81" w:rsidP="00294BF7">
            <w:pPr>
              <w:spacing w:line="480" w:lineRule="auto"/>
              <w:rPr>
                <w:rFonts w:ascii="Karla" w:hAnsi="Karla" w:cs="Calibri"/>
              </w:rPr>
            </w:pPr>
          </w:p>
        </w:tc>
        <w:tc>
          <w:tcPr>
            <w:tcW w:w="1059" w:type="pct"/>
          </w:tcPr>
          <w:p w14:paraId="33197558" w14:textId="77777777" w:rsidR="00871C81" w:rsidRPr="009D0202" w:rsidRDefault="00871C81" w:rsidP="00294BF7">
            <w:pPr>
              <w:spacing w:line="480" w:lineRule="auto"/>
              <w:jc w:val="center"/>
              <w:rPr>
                <w:rFonts w:ascii="Karla" w:hAnsi="Karla" w:cs="Calibri"/>
              </w:rPr>
            </w:pPr>
            <w:r w:rsidRPr="009D0202">
              <w:rPr>
                <w:rFonts w:ascii="Karla" w:hAnsi="Karla" w:cs="Calibri"/>
              </w:rPr>
              <w:t>Yamamura</w:t>
            </w:r>
            <w:r w:rsidRPr="009D525A">
              <w:rPr>
                <w:rFonts w:ascii="Karla" w:hAnsi="Karla" w:cs="Calibri"/>
                <w:noProof/>
                <w:vertAlign w:val="superscript"/>
              </w:rPr>
              <w:t>6</w:t>
            </w:r>
          </w:p>
          <w:p w14:paraId="72B78423" w14:textId="77777777" w:rsidR="00871C81" w:rsidRPr="009D0202" w:rsidRDefault="00871C81" w:rsidP="00294BF7">
            <w:pPr>
              <w:spacing w:line="480" w:lineRule="auto"/>
              <w:jc w:val="center"/>
              <w:rPr>
                <w:rFonts w:ascii="Karla" w:hAnsi="Karla" w:cs="Calibri"/>
              </w:rPr>
            </w:pPr>
            <w:r w:rsidRPr="009D0202">
              <w:rPr>
                <w:rFonts w:ascii="Karla" w:hAnsi="Karla" w:cs="Calibri"/>
              </w:rPr>
              <w:t>(</w:t>
            </w:r>
            <w:proofErr w:type="spellStart"/>
            <w:r w:rsidRPr="009D0202">
              <w:rPr>
                <w:rFonts w:ascii="Karla" w:hAnsi="Karla" w:cs="Calibri"/>
              </w:rPr>
              <w:t>SAkuraSky</w:t>
            </w:r>
            <w:proofErr w:type="spellEnd"/>
            <w:r w:rsidRPr="009D0202">
              <w:rPr>
                <w:rFonts w:ascii="Karla" w:hAnsi="Karla" w:cs="Calibri"/>
              </w:rPr>
              <w:t>)</w:t>
            </w:r>
          </w:p>
        </w:tc>
        <w:tc>
          <w:tcPr>
            <w:tcW w:w="1011" w:type="pct"/>
          </w:tcPr>
          <w:p w14:paraId="05552463" w14:textId="77777777" w:rsidR="00871C81" w:rsidRPr="009D0202" w:rsidRDefault="00871C81" w:rsidP="00294BF7">
            <w:pPr>
              <w:spacing w:line="480" w:lineRule="auto"/>
              <w:jc w:val="center"/>
              <w:rPr>
                <w:rFonts w:ascii="Karla" w:hAnsi="Karla" w:cs="Calibri"/>
              </w:rPr>
            </w:pPr>
            <w:r w:rsidRPr="009D0202">
              <w:rPr>
                <w:rFonts w:ascii="Karla" w:hAnsi="Karla" w:cs="Calibri"/>
              </w:rPr>
              <w:t>RCT</w:t>
            </w:r>
          </w:p>
        </w:tc>
        <w:tc>
          <w:tcPr>
            <w:tcW w:w="722" w:type="pct"/>
          </w:tcPr>
          <w:p w14:paraId="2E618C35" w14:textId="77777777" w:rsidR="00871C81" w:rsidRPr="009D0202" w:rsidRDefault="00871C81" w:rsidP="00294BF7">
            <w:pPr>
              <w:spacing w:line="480" w:lineRule="auto"/>
              <w:jc w:val="center"/>
              <w:rPr>
                <w:rFonts w:ascii="Karla" w:hAnsi="Karla" w:cs="Calibri"/>
              </w:rPr>
            </w:pPr>
            <w:r w:rsidRPr="009D0202">
              <w:rPr>
                <w:rFonts w:ascii="Karla" w:hAnsi="Karla" w:cs="Calibri"/>
              </w:rPr>
              <w:t>IST</w:t>
            </w:r>
          </w:p>
        </w:tc>
        <w:tc>
          <w:tcPr>
            <w:tcW w:w="364" w:type="pct"/>
          </w:tcPr>
          <w:p w14:paraId="6F4CA777"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5"/>
                <w:kern w:val="24"/>
              </w:rPr>
              <w:t>28</w:t>
            </w:r>
          </w:p>
        </w:tc>
        <w:tc>
          <w:tcPr>
            <w:tcW w:w="788" w:type="pct"/>
          </w:tcPr>
          <w:p w14:paraId="6AC174BE" w14:textId="77777777" w:rsidR="00871C81" w:rsidRPr="009D0202" w:rsidRDefault="00871C81" w:rsidP="00294BF7">
            <w:pPr>
              <w:spacing w:line="480" w:lineRule="auto"/>
              <w:jc w:val="center"/>
              <w:rPr>
                <w:rFonts w:ascii="Karla" w:hAnsi="Karla" w:cstheme="minorHAnsi"/>
              </w:rPr>
            </w:pPr>
            <w:r w:rsidRPr="009D0202">
              <w:rPr>
                <w:rFonts w:ascii="Karla" w:hAnsi="Karla" w:cstheme="minorHAnsi"/>
                <w:color w:val="231F20"/>
                <w:spacing w:val="-2"/>
                <w:kern w:val="24"/>
              </w:rPr>
              <w:t>Seropositive</w:t>
            </w:r>
          </w:p>
        </w:tc>
      </w:tr>
    </w:tbl>
    <w:p w14:paraId="4E7FAFF4" w14:textId="77777777" w:rsidR="00871C81" w:rsidRPr="00AF2E9C" w:rsidRDefault="00871C81" w:rsidP="00871C81">
      <w:pPr>
        <w:spacing w:after="0" w:line="480" w:lineRule="auto"/>
        <w:rPr>
          <w:rFonts w:ascii="Karla" w:hAnsi="Karla" w:cstheme="minorHAnsi"/>
          <w:color w:val="000000" w:themeColor="text1"/>
        </w:rPr>
      </w:pPr>
      <w:r w:rsidRPr="00AF2E9C">
        <w:rPr>
          <w:rFonts w:ascii="Karla" w:hAnsi="Karla" w:cstheme="minorHAnsi"/>
          <w:color w:val="000000" w:themeColor="text1"/>
        </w:rPr>
        <w:t>AQP4-IgG, aquaporin-4–immunoglobulin G; AZA, azathioprine; HCG, historical comparator group; IST, immunosuppressant; RCT, randomized, controlled trial.</w:t>
      </w:r>
    </w:p>
    <w:p w14:paraId="138E0008" w14:textId="77777777" w:rsidR="00871C81" w:rsidRDefault="00871C81" w:rsidP="00871C81">
      <w:pPr>
        <w:spacing w:after="0" w:line="480" w:lineRule="auto"/>
        <w:rPr>
          <w:rFonts w:ascii="Karla" w:hAnsi="Karla" w:cstheme="minorHAnsi"/>
          <w:b/>
          <w:bCs/>
          <w:color w:val="EE0000"/>
        </w:rPr>
      </w:pPr>
      <w:proofErr w:type="spellStart"/>
      <w:r w:rsidRPr="00AF2E9C">
        <w:rPr>
          <w:rFonts w:ascii="Karla" w:hAnsi="Karla" w:cstheme="minorHAnsi"/>
          <w:color w:val="000000" w:themeColor="text1"/>
          <w:vertAlign w:val="superscript"/>
        </w:rPr>
        <w:t>a</w:t>
      </w:r>
      <w:r w:rsidRPr="00AF2E9C">
        <w:rPr>
          <w:rFonts w:ascii="Karla" w:hAnsi="Karla" w:cstheme="minorHAnsi"/>
          <w:color w:val="000000" w:themeColor="text1"/>
        </w:rPr>
        <w:t>The</w:t>
      </w:r>
      <w:proofErr w:type="spellEnd"/>
      <w:r w:rsidRPr="00AF2E9C">
        <w:rPr>
          <w:rFonts w:ascii="Karla" w:hAnsi="Karla" w:cstheme="minorHAnsi"/>
          <w:color w:val="000000" w:themeColor="text1"/>
        </w:rPr>
        <w:t xml:space="preserve"> Costanzi et al paper describes treatments prior to AZA treatment, in which 10 patients were treated with ISTs (discontinued 2–12 months prior to AZA treatment) and 31 were treated with immunomodulatory multiple sclerosis therapies (timing not specified). </w:t>
      </w:r>
      <w:r>
        <w:rPr>
          <w:rFonts w:ascii="Karla" w:hAnsi="Karla" w:cstheme="minorHAnsi"/>
          <w:b/>
          <w:bCs/>
          <w:color w:val="EE0000"/>
        </w:rPr>
        <w:br w:type="page"/>
      </w:r>
    </w:p>
    <w:p w14:paraId="49A3E4F5" w14:textId="77777777" w:rsidR="00871C81" w:rsidRPr="00AF2E9C" w:rsidRDefault="00871C81" w:rsidP="00871C81">
      <w:pPr>
        <w:spacing w:after="0" w:line="480" w:lineRule="auto"/>
        <w:rPr>
          <w:rFonts w:ascii="Karla" w:hAnsi="Karla"/>
          <w:b/>
          <w:bCs/>
        </w:rPr>
      </w:pPr>
      <w:r w:rsidRPr="008875D9">
        <w:rPr>
          <w:rFonts w:ascii="Karla" w:hAnsi="Karla"/>
          <w:b/>
          <w:bCs/>
        </w:rPr>
        <w:lastRenderedPageBreak/>
        <w:t>SUPPLEMENTAL APPENDIX REFERENCES</w:t>
      </w:r>
    </w:p>
    <w:p w14:paraId="2F9371BB" w14:textId="77777777" w:rsidR="00871C81" w:rsidRPr="0061482B" w:rsidRDefault="00871C81" w:rsidP="00871C81">
      <w:pPr>
        <w:pStyle w:val="EndNoteBibliography"/>
        <w:spacing w:after="0"/>
        <w:ind w:left="720" w:hanging="720"/>
      </w:pPr>
      <w:r w:rsidRPr="0061482B">
        <w:t>1.</w:t>
      </w:r>
      <w:r w:rsidRPr="0061482B">
        <w:tab/>
        <w:t xml:space="preserve">B. A. C. Cree, J. L. Bennett, H. J. Kim, et al., "Inebilizumab for the Treatment of Neuromyelitis Optica Spectrum Disorder (N-MOmentum): A Double-Blind, Randomised Placebo-Controlled Phase 2/3 Trial," </w:t>
      </w:r>
      <w:r w:rsidRPr="0061482B">
        <w:rPr>
          <w:i/>
        </w:rPr>
        <w:t>Lancet</w:t>
      </w:r>
      <w:r w:rsidRPr="0061482B">
        <w:t xml:space="preserve"> 394, no. 10206 (2019): 1352-1363.</w:t>
      </w:r>
    </w:p>
    <w:p w14:paraId="467EEDE5" w14:textId="77777777" w:rsidR="00871C81" w:rsidRPr="0061482B" w:rsidRDefault="00871C81" w:rsidP="00871C81">
      <w:pPr>
        <w:pStyle w:val="EndNoteBibliography"/>
        <w:spacing w:after="0"/>
        <w:ind w:left="720" w:hanging="720"/>
      </w:pPr>
      <w:r w:rsidRPr="0061482B">
        <w:t>2.</w:t>
      </w:r>
      <w:r w:rsidRPr="0061482B">
        <w:tab/>
        <w:t xml:space="preserve">B. A. C. Cree, H. J. Kim, B. G. Weinshenker, et al., "Safety and Efficacy of Inebilizumab for the Treatment of Neuromyelitis Optica Spectrum Disorder: End-of-Study Results From the Open-Label Period of the N-MOmentum Trial," </w:t>
      </w:r>
      <w:r w:rsidRPr="0061482B">
        <w:rPr>
          <w:i/>
        </w:rPr>
        <w:t>Lancet Neurology</w:t>
      </w:r>
      <w:r w:rsidRPr="0061482B">
        <w:t xml:space="preserve"> 23, no. 6 (2024): 588-602.</w:t>
      </w:r>
    </w:p>
    <w:p w14:paraId="0E7957AA" w14:textId="77777777" w:rsidR="00871C81" w:rsidRPr="0061482B" w:rsidRDefault="00871C81" w:rsidP="00871C81">
      <w:pPr>
        <w:pStyle w:val="EndNoteBibliography"/>
        <w:spacing w:after="0"/>
        <w:ind w:left="720" w:hanging="720"/>
      </w:pPr>
      <w:r w:rsidRPr="0061482B">
        <w:t>3.</w:t>
      </w:r>
      <w:r w:rsidRPr="0061482B">
        <w:tab/>
        <w:t xml:space="preserve">C. Costanzi, M. Matiello, C. F. Lucchinetti, et al., "Azathioprine: Tolerability, Efficacy, and Predictors of Benefit in Neuromyelitis Optica," </w:t>
      </w:r>
      <w:r w:rsidRPr="0061482B">
        <w:rPr>
          <w:i/>
        </w:rPr>
        <w:t>Neurology</w:t>
      </w:r>
      <w:r w:rsidRPr="0061482B">
        <w:t xml:space="preserve"> 77, no. 7 (2011): 659-666.</w:t>
      </w:r>
    </w:p>
    <w:p w14:paraId="6024D6B1" w14:textId="77777777" w:rsidR="00871C81" w:rsidRPr="0061482B" w:rsidRDefault="00871C81" w:rsidP="00871C81">
      <w:pPr>
        <w:pStyle w:val="EndNoteBibliography"/>
        <w:spacing w:after="0"/>
        <w:ind w:left="720" w:hanging="720"/>
      </w:pPr>
      <w:r w:rsidRPr="0061482B">
        <w:t>4.</w:t>
      </w:r>
      <w:r w:rsidRPr="0061482B">
        <w:tab/>
        <w:t xml:space="preserve">S. J. Pittock, A. Berthele, K. Fujihara, et al., "Eculizumab in Aquaporin-4-Positive Neuromyelitis Optica Spectrum Disorder," </w:t>
      </w:r>
      <w:r w:rsidRPr="0061482B">
        <w:rPr>
          <w:i/>
        </w:rPr>
        <w:t>New England Journal of Medicine</w:t>
      </w:r>
      <w:r w:rsidRPr="0061482B">
        <w:t xml:space="preserve"> 381, no. 7 (2019): 614-625.</w:t>
      </w:r>
    </w:p>
    <w:p w14:paraId="004D3E83" w14:textId="77777777" w:rsidR="00871C81" w:rsidRPr="0061482B" w:rsidRDefault="00871C81" w:rsidP="00871C81">
      <w:pPr>
        <w:pStyle w:val="EndNoteBibliography"/>
        <w:spacing w:after="0"/>
        <w:ind w:left="720" w:hanging="720"/>
      </w:pPr>
      <w:r w:rsidRPr="0061482B">
        <w:t>5.</w:t>
      </w:r>
      <w:r w:rsidRPr="0061482B">
        <w:tab/>
        <w:t xml:space="preserve">A. Traboulsee, B. M. Greenberg, J. L. Bennett, et al., "Safety and Efficacy of Satralizumab Monotherapy in Neuromyelitis Optica Spectrum Disorder: A Randomised, Double-Blind, Multicentre, Placebo-Controlled Phase 3 Trial," </w:t>
      </w:r>
      <w:r w:rsidRPr="0061482B">
        <w:rPr>
          <w:i/>
        </w:rPr>
        <w:t>Lancet Neurology</w:t>
      </w:r>
      <w:r w:rsidRPr="0061482B">
        <w:t xml:space="preserve"> 19, no. 5 (2020): 402-412.</w:t>
      </w:r>
    </w:p>
    <w:p w14:paraId="2E63E4E2" w14:textId="77777777" w:rsidR="00871C81" w:rsidRPr="0061482B" w:rsidRDefault="00871C81" w:rsidP="00871C81">
      <w:pPr>
        <w:pStyle w:val="EndNoteBibliography"/>
        <w:ind w:left="720" w:hanging="720"/>
      </w:pPr>
      <w:r w:rsidRPr="0061482B">
        <w:t>6.</w:t>
      </w:r>
      <w:r w:rsidRPr="0061482B">
        <w:tab/>
        <w:t xml:space="preserve">T. Yamamura, I. Kleiter, K. Fujihara, et al., "Trial of Satralizumab in Neuromyelitis Optica Spectrum Disorder," </w:t>
      </w:r>
      <w:r w:rsidRPr="0061482B">
        <w:rPr>
          <w:i/>
        </w:rPr>
        <w:t>New England Journal of Medicine</w:t>
      </w:r>
      <w:r w:rsidRPr="0061482B">
        <w:t xml:space="preserve"> 381, no. 22 (2019): 2114-2124.</w:t>
      </w:r>
    </w:p>
    <w:p w14:paraId="49507BE8" w14:textId="77777777" w:rsidR="00871C81" w:rsidRPr="009D0202" w:rsidRDefault="00871C81" w:rsidP="00871C81">
      <w:pPr>
        <w:spacing w:after="0" w:line="480" w:lineRule="auto"/>
        <w:rPr>
          <w:rFonts w:ascii="Karla" w:hAnsi="Karla"/>
          <w:b/>
          <w:bCs/>
        </w:rPr>
      </w:pPr>
    </w:p>
    <w:p w14:paraId="2FAE5849" w14:textId="77777777" w:rsidR="00871C81" w:rsidRDefault="00871C81" w:rsidP="00871C81"/>
    <w:p w14:paraId="4914DF66" w14:textId="77777777" w:rsidR="004F2950" w:rsidRDefault="004F2950"/>
    <w:sectPr w:rsidR="004F2950" w:rsidSect="00871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rla">
    <w:charset w:val="00"/>
    <w:family w:val="auto"/>
    <w:pitch w:val="variable"/>
    <w:sig w:usb0="A00000EF" w:usb1="4000205B"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81"/>
    <w:rsid w:val="00035B1D"/>
    <w:rsid w:val="004F2950"/>
    <w:rsid w:val="00502C84"/>
    <w:rsid w:val="00871C81"/>
    <w:rsid w:val="008875D9"/>
    <w:rsid w:val="00A361DC"/>
    <w:rsid w:val="00B26A71"/>
    <w:rsid w:val="00E56283"/>
    <w:rsid w:val="00EE7E4E"/>
    <w:rsid w:val="00F00E42"/>
    <w:rsid w:val="00F2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D1AE"/>
  <w15:chartTrackingRefBased/>
  <w15:docId w15:val="{05DFBE48-A6F4-4D55-BA42-5142597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rla" w:eastAsiaTheme="minorHAnsi" w:hAnsi="Karl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81"/>
    <w:rPr>
      <w:rFonts w:asciiTheme="minorHAnsi" w:hAnsiTheme="minorHAnsi"/>
    </w:rPr>
  </w:style>
  <w:style w:type="paragraph" w:styleId="Heading1">
    <w:name w:val="heading 1"/>
    <w:basedOn w:val="Normal"/>
    <w:next w:val="Normal"/>
    <w:link w:val="Heading1Char"/>
    <w:uiPriority w:val="9"/>
    <w:qFormat/>
    <w:rsid w:val="00871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C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C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1C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1C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1C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1C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1C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1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C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1C81"/>
    <w:pPr>
      <w:spacing w:before="160"/>
      <w:jc w:val="center"/>
    </w:pPr>
    <w:rPr>
      <w:i/>
      <w:iCs/>
      <w:color w:val="404040" w:themeColor="text1" w:themeTint="BF"/>
    </w:rPr>
  </w:style>
  <w:style w:type="character" w:customStyle="1" w:styleId="QuoteChar">
    <w:name w:val="Quote Char"/>
    <w:basedOn w:val="DefaultParagraphFont"/>
    <w:link w:val="Quote"/>
    <w:uiPriority w:val="29"/>
    <w:rsid w:val="00871C81"/>
    <w:rPr>
      <w:i/>
      <w:iCs/>
      <w:color w:val="404040" w:themeColor="text1" w:themeTint="BF"/>
    </w:rPr>
  </w:style>
  <w:style w:type="paragraph" w:styleId="ListParagraph">
    <w:name w:val="List Paragraph"/>
    <w:basedOn w:val="Normal"/>
    <w:uiPriority w:val="34"/>
    <w:qFormat/>
    <w:rsid w:val="00871C81"/>
    <w:pPr>
      <w:ind w:left="720"/>
      <w:contextualSpacing/>
    </w:pPr>
  </w:style>
  <w:style w:type="character" w:styleId="IntenseEmphasis">
    <w:name w:val="Intense Emphasis"/>
    <w:basedOn w:val="DefaultParagraphFont"/>
    <w:uiPriority w:val="21"/>
    <w:qFormat/>
    <w:rsid w:val="00871C81"/>
    <w:rPr>
      <w:i/>
      <w:iCs/>
      <w:color w:val="0F4761" w:themeColor="accent1" w:themeShade="BF"/>
    </w:rPr>
  </w:style>
  <w:style w:type="paragraph" w:styleId="IntenseQuote">
    <w:name w:val="Intense Quote"/>
    <w:basedOn w:val="Normal"/>
    <w:next w:val="Normal"/>
    <w:link w:val="IntenseQuoteChar"/>
    <w:uiPriority w:val="30"/>
    <w:qFormat/>
    <w:rsid w:val="00871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C81"/>
    <w:rPr>
      <w:i/>
      <w:iCs/>
      <w:color w:val="0F4761" w:themeColor="accent1" w:themeShade="BF"/>
    </w:rPr>
  </w:style>
  <w:style w:type="character" w:styleId="IntenseReference">
    <w:name w:val="Intense Reference"/>
    <w:basedOn w:val="DefaultParagraphFont"/>
    <w:uiPriority w:val="32"/>
    <w:qFormat/>
    <w:rsid w:val="00871C81"/>
    <w:rPr>
      <w:b/>
      <w:bCs/>
      <w:smallCaps/>
      <w:color w:val="0F4761" w:themeColor="accent1" w:themeShade="BF"/>
      <w:spacing w:val="5"/>
    </w:rPr>
  </w:style>
  <w:style w:type="table" w:styleId="TableGrid">
    <w:name w:val="Table Grid"/>
    <w:basedOn w:val="TableNormal"/>
    <w:uiPriority w:val="59"/>
    <w:rsid w:val="00871C8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1C81"/>
    <w:pPr>
      <w:spacing w:line="480" w:lineRule="auto"/>
    </w:pPr>
    <w:rPr>
      <w:rFonts w:ascii="Karla" w:hAnsi="Karla" w:cs="Calibri"/>
      <w:noProof/>
    </w:rPr>
  </w:style>
  <w:style w:type="character" w:customStyle="1" w:styleId="EndNoteBibliographyChar">
    <w:name w:val="EndNote Bibliography Char"/>
    <w:basedOn w:val="DefaultParagraphFont"/>
    <w:link w:val="EndNoteBibliography"/>
    <w:rsid w:val="00871C81"/>
    <w:rPr>
      <w:rFonts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Mukherjee, Somdutta</dc:creator>
  <cp:keywords/>
  <dc:description/>
  <cp:lastModifiedBy>Mukherjee, Somdutta</cp:lastModifiedBy>
  <cp:revision>2</cp:revision>
  <dcterms:created xsi:type="dcterms:W3CDTF">2026-04-06T13:31:00Z</dcterms:created>
  <dcterms:modified xsi:type="dcterms:W3CDTF">2026-04-06T13:31:00Z</dcterms:modified>
</cp:coreProperties>
</file>