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196C3" w14:textId="77777777" w:rsidR="00170586" w:rsidRPr="005C040F" w:rsidRDefault="00170586" w:rsidP="00170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hAnsi="Arial" w:cs="Arial"/>
          <w:b/>
          <w:bCs/>
        </w:rPr>
      </w:pPr>
      <w:r w:rsidRPr="005C040F">
        <w:rPr>
          <w:rFonts w:ascii="Arial" w:hAnsi="Arial" w:cs="Arial"/>
          <w:b/>
          <w:bCs/>
        </w:rPr>
        <w:t>SUPPLEMENT 1 - Methods -</w:t>
      </w:r>
    </w:p>
    <w:p w14:paraId="27A19B2C" w14:textId="77777777" w:rsidR="00170586" w:rsidRPr="005C040F" w:rsidRDefault="00170586" w:rsidP="00170586">
      <w:pPr>
        <w:spacing w:after="0" w:line="360" w:lineRule="auto"/>
        <w:rPr>
          <w:rFonts w:ascii="Arial" w:hAnsi="Arial" w:cs="Arial"/>
          <w:b/>
          <w:bCs/>
        </w:rPr>
      </w:pPr>
    </w:p>
    <w:p w14:paraId="7DCAA2C6" w14:textId="77777777" w:rsidR="00170586" w:rsidRPr="005C040F" w:rsidRDefault="00170586" w:rsidP="00170586">
      <w:pPr>
        <w:spacing w:after="0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>Participants:</w:t>
      </w:r>
    </w:p>
    <w:p w14:paraId="33487999" w14:textId="3DFB22B8" w:rsidR="00D70D89" w:rsidRPr="005C040F" w:rsidRDefault="00170586" w:rsidP="00D73CF1">
      <w:pPr>
        <w:spacing w:after="0"/>
        <w:ind w:right="50"/>
        <w:rPr>
          <w:rFonts w:ascii="Arial" w:hAnsi="Arial" w:cs="Arial"/>
        </w:rPr>
      </w:pPr>
      <w:r w:rsidRPr="005C040F">
        <w:rPr>
          <w:rFonts w:ascii="Arial" w:hAnsi="Arial" w:cs="Arial"/>
        </w:rPr>
        <w:t xml:space="preserve">The DZNE Clinical Registry Study of Neurodegenerative Diseases (DESCRIBE) cohort is a multicenter, prospective, longitudinal observational study conducted by the German Center for Neurodegenerative Diseases (DZNE). The multicenter, longitudinal Degeneration Controls and Relatives cohort (DANCER) serves to recruit healthy controls. We analyzed 202 </w:t>
      </w:r>
      <w:proofErr w:type="spellStart"/>
      <w:r w:rsidRPr="005C040F">
        <w:rPr>
          <w:rFonts w:ascii="Arial" w:hAnsi="Arial" w:cs="Arial"/>
        </w:rPr>
        <w:t>plwALS</w:t>
      </w:r>
      <w:proofErr w:type="spellEnd"/>
      <w:r w:rsidRPr="005C040F">
        <w:rPr>
          <w:rFonts w:ascii="Arial" w:hAnsi="Arial" w:cs="Arial"/>
        </w:rPr>
        <w:t xml:space="preserve"> or ALS-FTD (from DESCRIBE-ALS/FTD) as well as 94 healthy control persons (from DANCER). All patients were characterized by ALS Functional Rating Scale-Revised (ALSFRS-R) </w:t>
      </w:r>
      <w:r w:rsidRPr="005C040F">
        <w:rPr>
          <w:rFonts w:ascii="Arial" w:hAnsi="Arial" w:cs="Arial"/>
        </w:rPr>
        <w:fldChar w:fldCharType="begin"/>
      </w:r>
      <w:r w:rsidR="000D043E" w:rsidRPr="005C040F">
        <w:rPr>
          <w:rFonts w:ascii="Arial" w:hAnsi="Arial" w:cs="Arial"/>
        </w:rPr>
        <w:instrText xml:space="preserve"> ADDIN EN.CITE &lt;EndNote&gt;&lt;Cite&gt;&lt;Author&gt;Cedarbaum&lt;/Author&gt;&lt;Year&gt;1999&lt;/Year&gt;&lt;RecNum&gt;6&lt;/RecNum&gt;&lt;DisplayText&gt;&lt;style face="superscript"&gt;1&lt;/style&gt;&lt;/DisplayText&gt;&lt;record&gt;&lt;rec-number&gt;6&lt;/rec-number&gt;&lt;foreign-keys&gt;&lt;key app="EN" db-id="x09sfswtow5rp1efpetxd5eaz5s0sfz0f9fe" timestamp="1743946011"&gt;6&lt;/key&gt;&lt;/foreign-keys&gt;&lt;ref-type name="Journal Article"&gt;17&lt;/ref-type&gt;&lt;contributors&gt;&lt;authors&gt;&lt;author&gt;Cedarbaum, Jesse M&lt;/author&gt;&lt;author&gt;Stambler, Nancy&lt;/author&gt;&lt;author&gt;Malta, Errol&lt;/author&gt;&lt;author&gt;Fuller, Cynthia&lt;/author&gt;&lt;author&gt;Hilt, Dana&lt;/author&gt;&lt;author&gt;Thurmond, Barbara&lt;/author&gt;&lt;author&gt;Nakanishi, Arline&lt;/author&gt;&lt;author&gt;Bdnf Als Study Group&lt;/author&gt;&lt;author&gt;1A complete listing of the BDNF Study Group&lt;/author&gt;&lt;/authors&gt;&lt;/contributors&gt;&lt;titles&gt;&lt;title&gt;The ALSFRS-R: a revised ALS functional rating scale that incorporates assessments of respiratory function&lt;/title&gt;&lt;secondary-title&gt;Journal of the neurological sciences&lt;/secondary-title&gt;&lt;/titles&gt;&lt;periodical&gt;&lt;full-title&gt;Journal of the neurological sciences&lt;/full-title&gt;&lt;/periodical&gt;&lt;pages&gt;13-21&lt;/pages&gt;&lt;volume&gt;169&lt;/volume&gt;&lt;number&gt;1-2&lt;/number&gt;&lt;dates&gt;&lt;year&gt;1999&lt;/year&gt;&lt;/dates&gt;&lt;isbn&gt;0022-510X&lt;/isbn&gt;&lt;urls&gt;&lt;/urls&gt;&lt;/record&gt;&lt;/Cite&gt;&lt;/EndNote&gt;</w:instrText>
      </w:r>
      <w:r w:rsidRPr="005C040F">
        <w:rPr>
          <w:rFonts w:ascii="Arial" w:hAnsi="Arial" w:cs="Arial"/>
        </w:rPr>
        <w:fldChar w:fldCharType="separate"/>
      </w:r>
      <w:r w:rsidR="000D043E" w:rsidRPr="005C040F">
        <w:rPr>
          <w:rFonts w:ascii="Arial" w:hAnsi="Arial" w:cs="Arial"/>
          <w:noProof/>
          <w:vertAlign w:val="superscript"/>
        </w:rPr>
        <w:t>1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 xml:space="preserve"> and diagnosed according to the revised El Escorial Criteria </w:t>
      </w:r>
      <w:r w:rsidRPr="005C040F">
        <w:rPr>
          <w:rFonts w:ascii="Arial" w:hAnsi="Arial" w:cs="Arial"/>
        </w:rPr>
        <w:fldChar w:fldCharType="begin"/>
      </w:r>
      <w:r w:rsidR="000D043E" w:rsidRPr="005C040F">
        <w:rPr>
          <w:rFonts w:ascii="Arial" w:hAnsi="Arial" w:cs="Arial"/>
        </w:rPr>
        <w:instrText xml:space="preserve"> ADDIN EN.CITE &lt;EndNote&gt;&lt;Cite&gt;&lt;Author&gt;Brooks&lt;/Author&gt;&lt;Year&gt;2000&lt;/Year&gt;&lt;RecNum&gt;70&lt;/RecNum&gt;&lt;DisplayText&gt;&lt;style face="superscript"&gt;2&lt;/style&gt;&lt;/DisplayText&gt;&lt;record&gt;&lt;rec-number&gt;70&lt;/rec-number&gt;&lt;foreign-keys&gt;&lt;key app="EN" db-id="x09sfswtow5rp1efpetxd5eaz5s0sfz0f9fe" timestamp="1758557859"&gt;70&lt;/key&gt;&lt;/foreign-keys&gt;&lt;ref-type name="Journal Article"&gt;17&lt;/ref-type&gt;&lt;contributors&gt;&lt;authors&gt;&lt;author&gt;Brooks, Benjamin Rix&lt;/author&gt;&lt;author&gt;Miller, Robert G&lt;/author&gt;&lt;author&gt;Swash, Michael&lt;/author&gt;&lt;author&gt;Munsat, Theodore L&lt;/author&gt;&lt;/authors&gt;&lt;/contributors&gt;&lt;titles&gt;&lt;title&gt;El Escorial revisited: revised criteria for the diagnosis of amyotrophic lateral sclerosis&lt;/title&gt;&lt;secondary-title&gt;Amyotrophic lateral sclerosis and other motor neuron disorders&lt;/secondary-title&gt;&lt;/titles&gt;&lt;periodical&gt;&lt;full-title&gt;Amyotrophic lateral sclerosis and other motor neuron disorders&lt;/full-title&gt;&lt;/periodical&gt;&lt;pages&gt;293-299&lt;/pages&gt;&lt;volume&gt;1&lt;/volume&gt;&lt;number&gt;5&lt;/number&gt;&lt;dates&gt;&lt;year&gt;2000&lt;/year&gt;&lt;/dates&gt;&lt;isbn&gt;1466-0822&lt;/isbn&gt;&lt;urls&gt;&lt;/urls&gt;&lt;/record&gt;&lt;/Cite&gt;&lt;/EndNote&gt;</w:instrText>
      </w:r>
      <w:r w:rsidRPr="005C040F">
        <w:rPr>
          <w:rFonts w:ascii="Arial" w:hAnsi="Arial" w:cs="Arial"/>
        </w:rPr>
        <w:fldChar w:fldCharType="separate"/>
      </w:r>
      <w:r w:rsidR="000D043E" w:rsidRPr="005C040F">
        <w:rPr>
          <w:rFonts w:ascii="Arial" w:hAnsi="Arial" w:cs="Arial"/>
          <w:noProof/>
          <w:vertAlign w:val="superscript"/>
        </w:rPr>
        <w:t>2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 xml:space="preserve">. </w:t>
      </w:r>
      <w:r w:rsidR="00D70D89" w:rsidRPr="005C040F">
        <w:rPr>
          <w:rFonts w:ascii="Arial" w:hAnsi="Arial" w:cs="Arial"/>
        </w:rPr>
        <w:t>Furthermore, were categorized according to the King stages</w:t>
      </w:r>
      <w:r w:rsidR="00D73CF1" w:rsidRPr="005C040F">
        <w:rPr>
          <w:rFonts w:ascii="Arial" w:hAnsi="Arial" w:cs="Arial"/>
        </w:rPr>
        <w:fldChar w:fldCharType="begin"/>
      </w:r>
      <w:r w:rsidR="00D73CF1" w:rsidRPr="005C040F">
        <w:rPr>
          <w:rFonts w:ascii="Arial" w:hAnsi="Arial" w:cs="Arial"/>
        </w:rPr>
        <w:instrText xml:space="preserve"> ADDIN EN.CITE &lt;EndNote&gt;&lt;Cite&gt;&lt;Author&gt;Balendra&lt;/Author&gt;&lt;Year&gt;2019&lt;/Year&gt;&lt;RecNum&gt;108&lt;/RecNum&gt;&lt;DisplayText&gt;&lt;style face="superscript"&gt;3&lt;/style&gt;&lt;/DisplayText&gt;&lt;record&gt;&lt;rec-number&gt;108&lt;/rec-number&gt;&lt;foreign-keys&gt;&lt;key app="EN" db-id="x09sfswtow5rp1efpetxd5eaz5s0sfz0f9fe" timestamp="1775756334"&gt;108&lt;/key&gt;&lt;/foreign-keys&gt;&lt;ref-type name="Journal Article"&gt;17&lt;/ref-type&gt;&lt;contributors&gt;&lt;authors&gt;&lt;author&gt;Balendra, Rubika&lt;/author&gt;&lt;author&gt;Al Khleifat, Ahmad&lt;/author&gt;&lt;author&gt;Fang, Ton&lt;/author&gt;&lt;author&gt;Al-Chalabi, Ammar&lt;/author&gt;&lt;/authors&gt;&lt;/contributors&gt;&lt;titles&gt;&lt;title&gt;A standard operating procedure for King’s ALS clinical staging&lt;/title&gt;&lt;secondary-title&gt;Amyotrophic Lateral Sclerosis and Frontotemporal Degeneration&lt;/secondary-title&gt;&lt;/titles&gt;&lt;periodical&gt;&lt;full-title&gt;Amyotrophic Lateral Sclerosis and Frontotemporal Degeneration&lt;/full-title&gt;&lt;/periodical&gt;&lt;pages&gt;159-164&lt;/pages&gt;&lt;volume&gt;20&lt;/volume&gt;&lt;number&gt;3-4&lt;/number&gt;&lt;dates&gt;&lt;year&gt;2019&lt;/year&gt;&lt;/dates&gt;&lt;isbn&gt;2167-8421&lt;/isbn&gt;&lt;urls&gt;&lt;/urls&gt;&lt;/record&gt;&lt;/Cite&gt;&lt;/EndNote&gt;</w:instrText>
      </w:r>
      <w:r w:rsidR="00D73CF1"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3</w:t>
      </w:r>
      <w:r w:rsidR="00D73CF1" w:rsidRPr="005C040F">
        <w:rPr>
          <w:rFonts w:ascii="Arial" w:hAnsi="Arial" w:cs="Arial"/>
        </w:rPr>
        <w:fldChar w:fldCharType="end"/>
      </w:r>
      <w:r w:rsidR="00D70D89" w:rsidRPr="005C040F">
        <w:rPr>
          <w:rFonts w:ascii="Arial" w:hAnsi="Arial" w:cs="Arial"/>
        </w:rPr>
        <w:t>. These include the following categories: 1=symptom onset and involvement of the first neuroanatomical region (bulbar, upper, or lower limb); stage 2: involvement of a second neuroanatomical region; stage 3: involvement of a third neuroanatomical region; stage 4=development of nutritional failure (need for gastrostomy) or respiratory failure (need for non-invasive ventilation); stage 5: death.</w:t>
      </w:r>
    </w:p>
    <w:p w14:paraId="61D3842F" w14:textId="4DAA5916" w:rsidR="00170586" w:rsidRPr="005C040F" w:rsidRDefault="00D70D89" w:rsidP="00D70D89">
      <w:pPr>
        <w:spacing w:after="0"/>
        <w:rPr>
          <w:rFonts w:ascii="Arial" w:hAnsi="Arial" w:cs="Arial"/>
        </w:rPr>
      </w:pPr>
      <w:r w:rsidRPr="005C040F">
        <w:rPr>
          <w:rFonts w:ascii="Arial" w:hAnsi="Arial" w:cs="Arial"/>
        </w:rPr>
        <w:t xml:space="preserve">Additionally, all patients were categorized according to the King </w:t>
      </w:r>
      <w:proofErr w:type="spellStart"/>
      <w:proofErr w:type="gramStart"/>
      <w:r w:rsidRPr="005C040F">
        <w:rPr>
          <w:rFonts w:ascii="Arial" w:hAnsi="Arial" w:cs="Arial"/>
        </w:rPr>
        <w:t>stages.</w:t>
      </w:r>
      <w:r w:rsidR="00170586" w:rsidRPr="005C040F">
        <w:rPr>
          <w:rFonts w:ascii="Arial" w:hAnsi="Arial" w:cs="Arial"/>
        </w:rPr>
        <w:t>Additionally</w:t>
      </w:r>
      <w:proofErr w:type="spellEnd"/>
      <w:proofErr w:type="gramEnd"/>
      <w:r w:rsidR="00170586" w:rsidRPr="005C040F">
        <w:rPr>
          <w:rFonts w:ascii="Arial" w:hAnsi="Arial" w:cs="Arial"/>
        </w:rPr>
        <w:t xml:space="preserve">, 117 age- and education-matched healthy controls from Rostock University Medical Center, Germany, were recruited via public advertising to serve as a normative group for the cognitive categorization of ALS patients. These participants were screened using the Montreal Cognitive Assessment (MoCA) </w:t>
      </w:r>
      <w:r w:rsidR="00170586" w:rsidRPr="005C040F">
        <w:rPr>
          <w:rFonts w:ascii="Arial" w:hAnsi="Arial" w:cs="Arial"/>
        </w:rPr>
        <w:fldChar w:fldCharType="begin"/>
      </w:r>
      <w:r w:rsidR="00D73CF1" w:rsidRPr="005C040F">
        <w:rPr>
          <w:rFonts w:ascii="Arial" w:hAnsi="Arial" w:cs="Arial"/>
        </w:rPr>
        <w:instrText xml:space="preserve"> ADDIN EN.CITE &lt;EndNote&gt;&lt;Cite&gt;&lt;Author&gt;Nasreddine&lt;/Author&gt;&lt;Year&gt;2003&lt;/Year&gt;&lt;RecNum&gt;5&lt;/RecNum&gt;&lt;DisplayText&gt;&lt;style face="superscript"&gt;4&lt;/style&gt;&lt;/DisplayText&gt;&lt;record&gt;&lt;rec-number&gt;5&lt;/rec-number&gt;&lt;foreign-keys&gt;&lt;key app="EN" db-id="x09sfswtow5rp1efpetxd5eaz5s0sfz0f9fe" timestamp="1743946000"&gt;5&lt;/key&gt;&lt;/foreign-keys&gt;&lt;ref-type name="Journal Article"&gt;17&lt;/ref-type&gt;&lt;contributors&gt;&lt;authors&gt;&lt;author&gt;Nasreddine, Ziad S&lt;/author&gt;&lt;author&gt;Phillips, Natalie A&lt;/author&gt;&lt;author&gt;Bédirian, Valérie&lt;/author&gt;&lt;author&gt;Charbonneau, Simon&lt;/author&gt;&lt;author&gt;Whitehead, Victor&lt;/author&gt;&lt;author&gt;Collin, Isabelle&lt;/author&gt;&lt;author&gt;Cummings, Jeffrey L&lt;/author&gt;&lt;author&gt;Chertkow, Howard&lt;/author&gt;&lt;/authors&gt;&lt;/contributors&gt;&lt;titles&gt;&lt;title&gt;Montreal cognitive assessment&lt;/title&gt;&lt;secondary-title&gt;The American Journal of Geriatric Psychiatry&lt;/secondary-title&gt;&lt;/titles&gt;&lt;periodical&gt;&lt;full-title&gt;The American Journal of Geriatric Psychiatry&lt;/full-title&gt;&lt;/periodical&gt;&lt;dates&gt;&lt;year&gt;2003&lt;/year&gt;&lt;/dates&gt;&lt;urls&gt;&lt;/urls&gt;&lt;/record&gt;&lt;/Cite&gt;&lt;/EndNote&gt;</w:instrText>
      </w:r>
      <w:r w:rsidR="00170586"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4</w:t>
      </w:r>
      <w:r w:rsidR="00170586" w:rsidRPr="005C040F">
        <w:rPr>
          <w:rFonts w:ascii="Arial" w:hAnsi="Arial" w:cs="Arial"/>
        </w:rPr>
        <w:fldChar w:fldCharType="end"/>
      </w:r>
      <w:r w:rsidR="00170586" w:rsidRPr="005C040F">
        <w:rPr>
          <w:rFonts w:ascii="Arial" w:hAnsi="Arial" w:cs="Arial"/>
        </w:rPr>
        <w:t xml:space="preserve"> and persons with a score below 26 were excluded. Overall, participants with a history of brain injury, epilepsy, or psychiatric illness were excluded as well. </w:t>
      </w:r>
    </w:p>
    <w:p w14:paraId="0A82DB77" w14:textId="77777777" w:rsidR="00170586" w:rsidRPr="005C040F" w:rsidRDefault="00170586" w:rsidP="00170586">
      <w:pPr>
        <w:spacing w:after="0"/>
        <w:ind w:left="360"/>
        <w:rPr>
          <w:rFonts w:ascii="Arial" w:hAnsi="Arial" w:cs="Arial"/>
        </w:rPr>
      </w:pPr>
    </w:p>
    <w:p w14:paraId="592A1648" w14:textId="77777777" w:rsidR="00170586" w:rsidRPr="005C040F" w:rsidRDefault="00170586" w:rsidP="00170586">
      <w:pPr>
        <w:pStyle w:val="KeinLeerraum1"/>
        <w:spacing w:line="276" w:lineRule="auto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>Measurement and analyses of Biomarkers:</w:t>
      </w:r>
    </w:p>
    <w:p w14:paraId="3EA5AEE2" w14:textId="77777777" w:rsidR="00170586" w:rsidRPr="005C040F" w:rsidRDefault="00170586" w:rsidP="00170586">
      <w:pPr>
        <w:pStyle w:val="KeinLeerraum1"/>
        <w:spacing w:line="276" w:lineRule="auto"/>
        <w:ind w:left="76" w:firstLine="284"/>
        <w:rPr>
          <w:rFonts w:ascii="Arial" w:hAnsi="Arial" w:cs="Arial"/>
        </w:rPr>
      </w:pPr>
      <w:r w:rsidRPr="005C040F">
        <w:rPr>
          <w:rFonts w:ascii="Arial" w:hAnsi="Arial" w:cs="Arial"/>
          <w:i/>
          <w:iCs/>
        </w:rPr>
        <w:t>CSF markers</w:t>
      </w:r>
      <w:r w:rsidRPr="005C040F">
        <w:rPr>
          <w:rFonts w:ascii="Arial" w:hAnsi="Arial" w:cs="Arial"/>
        </w:rPr>
        <w:t xml:space="preserve">: </w:t>
      </w:r>
    </w:p>
    <w:p w14:paraId="7532EF10" w14:textId="48EDEAFE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  <w:r w:rsidRPr="005C040F">
        <w:rPr>
          <w:rFonts w:ascii="Arial" w:hAnsi="Arial" w:cs="Arial"/>
        </w:rPr>
        <w:t xml:space="preserve">the neurodegeneration panel from CSF included </w:t>
      </w:r>
      <w:r w:rsidRPr="005C040F">
        <w:rPr>
          <w:rFonts w:ascii="Arial" w:hAnsi="Arial" w:cs="Arial"/>
          <w:bCs/>
        </w:rPr>
        <w:t>amyloid-β</w:t>
      </w:r>
      <w:r w:rsidRPr="005C040F" w:rsidDel="00BE6048">
        <w:rPr>
          <w:rFonts w:ascii="Arial" w:hAnsi="Arial" w:cs="Arial"/>
        </w:rPr>
        <w:t xml:space="preserve"> </w:t>
      </w:r>
      <w:r w:rsidRPr="005C040F">
        <w:rPr>
          <w:rFonts w:ascii="Arial" w:hAnsi="Arial" w:cs="Arial"/>
        </w:rPr>
        <w:t xml:space="preserve">(Aβ38 </w:t>
      </w:r>
      <w:proofErr w:type="spellStart"/>
      <w:r w:rsidRPr="005C040F">
        <w:rPr>
          <w:rFonts w:ascii="Arial" w:hAnsi="Arial" w:cs="Arial"/>
        </w:rPr>
        <w:t>pg</w:t>
      </w:r>
      <w:proofErr w:type="spellEnd"/>
      <w:r w:rsidRPr="005C040F">
        <w:rPr>
          <w:rFonts w:ascii="Arial" w:hAnsi="Arial" w:cs="Arial"/>
        </w:rPr>
        <w:t xml:space="preserve">/ml, Aβ40 </w:t>
      </w:r>
      <w:proofErr w:type="spellStart"/>
      <w:r w:rsidRPr="005C040F">
        <w:rPr>
          <w:rFonts w:ascii="Arial" w:hAnsi="Arial" w:cs="Arial"/>
        </w:rPr>
        <w:t>pg</w:t>
      </w:r>
      <w:proofErr w:type="spellEnd"/>
      <w:r w:rsidRPr="005C040F">
        <w:rPr>
          <w:rFonts w:ascii="Arial" w:hAnsi="Arial" w:cs="Arial"/>
        </w:rPr>
        <w:t xml:space="preserve">/ml, Aβ42 </w:t>
      </w:r>
      <w:proofErr w:type="spellStart"/>
      <w:r w:rsidRPr="005C040F">
        <w:rPr>
          <w:rFonts w:ascii="Arial" w:hAnsi="Arial" w:cs="Arial"/>
        </w:rPr>
        <w:t>pg</w:t>
      </w:r>
      <w:proofErr w:type="spellEnd"/>
      <w:r w:rsidRPr="005C040F">
        <w:rPr>
          <w:rFonts w:ascii="Arial" w:hAnsi="Arial" w:cs="Arial"/>
        </w:rPr>
        <w:t xml:space="preserve">/ml), total tau protein (total-tau </w:t>
      </w:r>
      <w:proofErr w:type="spellStart"/>
      <w:r w:rsidRPr="005C040F">
        <w:rPr>
          <w:rFonts w:ascii="Arial" w:hAnsi="Arial" w:cs="Arial"/>
        </w:rPr>
        <w:t>pg</w:t>
      </w:r>
      <w:proofErr w:type="spellEnd"/>
      <w:r w:rsidRPr="005C040F">
        <w:rPr>
          <w:rFonts w:ascii="Arial" w:hAnsi="Arial" w:cs="Arial"/>
        </w:rPr>
        <w:t xml:space="preserve">/ml), phosphorylated tau (p-tau181 </w:t>
      </w:r>
      <w:proofErr w:type="spellStart"/>
      <w:r w:rsidRPr="005C040F">
        <w:rPr>
          <w:rFonts w:ascii="Arial" w:hAnsi="Arial" w:cs="Arial"/>
        </w:rPr>
        <w:t>pg</w:t>
      </w:r>
      <w:proofErr w:type="spellEnd"/>
      <w:r w:rsidRPr="005C040F">
        <w:rPr>
          <w:rFonts w:ascii="Arial" w:hAnsi="Arial" w:cs="Arial"/>
        </w:rPr>
        <w:t xml:space="preserve">/ml), the Aβ42/40 ratio, and the Aβ42/p-tau-181 ratio, where higher values in tau scores and lower ratios indicates increased risk for AD. </w:t>
      </w:r>
      <w:r w:rsidR="00B14897" w:rsidRPr="005C040F">
        <w:rPr>
          <w:rFonts w:ascii="Arial" w:hAnsi="Arial" w:cs="Arial"/>
        </w:rPr>
        <w:t xml:space="preserve">Pathological thresholds were derived from Gaussian mixture models procedure (73.65 </w:t>
      </w:r>
      <w:proofErr w:type="spellStart"/>
      <w:r w:rsidR="00B14897" w:rsidRPr="005C040F">
        <w:rPr>
          <w:rFonts w:ascii="Arial" w:hAnsi="Arial" w:cs="Arial"/>
        </w:rPr>
        <w:t>pg</w:t>
      </w:r>
      <w:proofErr w:type="spellEnd"/>
      <w:r w:rsidR="00B14897" w:rsidRPr="005C040F">
        <w:rPr>
          <w:rFonts w:ascii="Arial" w:hAnsi="Arial" w:cs="Arial"/>
        </w:rPr>
        <w:t>/ml for p-tau, 510.9 for total-tau, 0.08 for ratio Aβ42/40, and 9.24 for ratio A</w:t>
      </w:r>
      <w:bookmarkStart w:id="0" w:name="_Hlk218792965"/>
      <w:r w:rsidR="00B14897" w:rsidRPr="005C040F">
        <w:rPr>
          <w:rFonts w:ascii="Arial" w:hAnsi="Arial" w:cs="Arial"/>
        </w:rPr>
        <w:t>β</w:t>
      </w:r>
      <w:bookmarkEnd w:id="0"/>
      <w:r w:rsidR="00B14897" w:rsidRPr="005C040F">
        <w:rPr>
          <w:rFonts w:ascii="Arial" w:hAnsi="Arial" w:cs="Arial"/>
        </w:rPr>
        <w:t xml:space="preserve">42/p-tau181). Notably, the current cut-offs should be considered as specific for DZNE research cohorts. </w:t>
      </w:r>
      <w:r w:rsidRPr="005C040F">
        <w:rPr>
          <w:rFonts w:ascii="Arial" w:hAnsi="Arial" w:cs="Arial"/>
        </w:rPr>
        <w:t xml:space="preserve">The manual method description as well as the principle of cut-off value determination is available from previous publications of DZNE </w:t>
      </w:r>
      <w:r w:rsidRPr="005C040F">
        <w:rPr>
          <w:rFonts w:ascii="Arial" w:hAnsi="Arial" w:cs="Arial"/>
        </w:rPr>
        <w:fldChar w:fldCharType="begin">
          <w:fldData xml:space="preserve">PEVuZE5vdGU+PENpdGU+PEF1dGhvcj5KZXNzZW48L0F1dGhvcj48WWVhcj4yMDE4PC9ZZWFyPjxS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</w:fldData>
        </w:fldChar>
      </w:r>
      <w:r w:rsidR="00D73CF1" w:rsidRPr="005C040F">
        <w:rPr>
          <w:rFonts w:ascii="Arial" w:hAnsi="Arial" w:cs="Arial"/>
        </w:rPr>
        <w:instrText xml:space="preserve"> ADDIN EN.CITE </w:instrText>
      </w:r>
      <w:r w:rsidR="00D73CF1" w:rsidRPr="005C040F">
        <w:rPr>
          <w:rFonts w:ascii="Arial" w:hAnsi="Arial" w:cs="Arial"/>
        </w:rPr>
        <w:fldChar w:fldCharType="begin">
          <w:fldData xml:space="preserve">PEVuZE5vdGU+PENpdGU+PEF1dGhvcj5KZXNzZW48L0F1dGhvcj48WWVhcj4yMDE4PC9ZZWFyPjxS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</w:fldData>
        </w:fldChar>
      </w:r>
      <w:r w:rsidR="00D73CF1" w:rsidRPr="005C040F">
        <w:rPr>
          <w:rFonts w:ascii="Arial" w:hAnsi="Arial" w:cs="Arial"/>
        </w:rPr>
        <w:instrText xml:space="preserve"> ADDIN EN.CITE.DATA </w:instrText>
      </w:r>
      <w:r w:rsidR="00D73CF1" w:rsidRPr="005C040F">
        <w:rPr>
          <w:rFonts w:ascii="Arial" w:hAnsi="Arial" w:cs="Arial"/>
        </w:rPr>
      </w:r>
      <w:r w:rsidR="00D73CF1"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</w:r>
      <w:r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5, 6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>.</w:t>
      </w:r>
    </w:p>
    <w:p w14:paraId="3E0A2648" w14:textId="77777777" w:rsidR="00170586" w:rsidRPr="005C040F" w:rsidRDefault="00170586" w:rsidP="00170586">
      <w:pPr>
        <w:pStyle w:val="KeinLeerraum1"/>
        <w:spacing w:line="276" w:lineRule="auto"/>
        <w:ind w:left="152" w:firstLine="208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>Plasma p-tau181:</w:t>
      </w:r>
    </w:p>
    <w:p w14:paraId="266B8089" w14:textId="77777777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  <w:i/>
          <w:iCs/>
        </w:rPr>
      </w:pPr>
      <w:r w:rsidRPr="005C040F">
        <w:rPr>
          <w:rFonts w:ascii="Arial" w:hAnsi="Arial" w:cs="Arial"/>
        </w:rPr>
        <w:t xml:space="preserve">Blood plasma measures of p-Tau-181 were conducted using the </w:t>
      </w:r>
      <w:proofErr w:type="spellStart"/>
      <w:r w:rsidRPr="005C040F">
        <w:rPr>
          <w:rFonts w:ascii="Arial" w:hAnsi="Arial" w:cs="Arial"/>
        </w:rPr>
        <w:t>Quanterix</w:t>
      </w:r>
      <w:proofErr w:type="spellEnd"/>
      <w:r w:rsidRPr="005C040F">
        <w:rPr>
          <w:rFonts w:ascii="Arial" w:hAnsi="Arial" w:cs="Arial"/>
        </w:rPr>
        <w:t xml:space="preserve">® SIMOA® Assay (104618, </w:t>
      </w:r>
      <w:proofErr w:type="spellStart"/>
      <w:r w:rsidRPr="005C040F">
        <w:rPr>
          <w:rFonts w:ascii="Arial" w:hAnsi="Arial" w:cs="Arial"/>
        </w:rPr>
        <w:t>Quanterix</w:t>
      </w:r>
      <w:proofErr w:type="spellEnd"/>
      <w:r w:rsidRPr="005C040F">
        <w:rPr>
          <w:rFonts w:ascii="Arial" w:hAnsi="Arial" w:cs="Arial"/>
        </w:rPr>
        <w:t>® Corp., Billerica, USA) according to the manufacturer´s instructions, with samples run in technical duplicates and a maximum accepted coefficient of variance of 20%. Additional to manufacturer´s kit controls, an internal aliquoted plasma samples served as inter-run control.</w:t>
      </w:r>
    </w:p>
    <w:p w14:paraId="052EBC39" w14:textId="77777777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 xml:space="preserve">Plasma </w:t>
      </w:r>
      <w:proofErr w:type="spellStart"/>
      <w:r w:rsidRPr="005C040F">
        <w:rPr>
          <w:rFonts w:ascii="Arial" w:hAnsi="Arial" w:cs="Arial"/>
          <w:i/>
          <w:iCs/>
        </w:rPr>
        <w:t>NfL</w:t>
      </w:r>
      <w:proofErr w:type="spellEnd"/>
      <w:r w:rsidRPr="005C040F">
        <w:rPr>
          <w:rFonts w:ascii="Arial" w:hAnsi="Arial" w:cs="Arial"/>
          <w:i/>
          <w:iCs/>
        </w:rPr>
        <w:t xml:space="preserve">: </w:t>
      </w:r>
    </w:p>
    <w:p w14:paraId="6CF78FE0" w14:textId="7AE7CBB6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  <w:proofErr w:type="spellStart"/>
      <w:r w:rsidRPr="005C040F">
        <w:rPr>
          <w:rFonts w:ascii="Arial" w:hAnsi="Arial" w:cs="Arial"/>
        </w:rPr>
        <w:t>NfL</w:t>
      </w:r>
      <w:proofErr w:type="spellEnd"/>
      <w:r w:rsidRPr="005C040F">
        <w:rPr>
          <w:rFonts w:ascii="Arial" w:hAnsi="Arial" w:cs="Arial"/>
        </w:rPr>
        <w:t xml:space="preserve"> mean concentrations were determined using the SIMOA NF-light Advantage kit on a HDI analyzer </w:t>
      </w:r>
      <w:proofErr w:type="spellStart"/>
      <w:r w:rsidRPr="005C040F">
        <w:rPr>
          <w:rFonts w:ascii="Arial" w:hAnsi="Arial" w:cs="Arial"/>
        </w:rPr>
        <w:t>Quanterix</w:t>
      </w:r>
      <w:proofErr w:type="spellEnd"/>
      <w:r w:rsidRPr="005C040F">
        <w:rPr>
          <w:rFonts w:ascii="Arial" w:hAnsi="Arial" w:cs="Arial"/>
        </w:rPr>
        <w:t xml:space="preserve"> by a blinded experimenter according to the manufacturer’s instructions as previously described </w:t>
      </w:r>
      <w:r w:rsidRPr="005C040F">
        <w:rPr>
          <w:rFonts w:ascii="Arial" w:hAnsi="Arial" w:cs="Arial"/>
        </w:rPr>
        <w:fldChar w:fldCharType="begin"/>
      </w:r>
      <w:r w:rsidR="00D73CF1" w:rsidRPr="005C040F">
        <w:rPr>
          <w:rFonts w:ascii="Arial" w:hAnsi="Arial" w:cs="Arial"/>
        </w:rPr>
        <w:instrText xml:space="preserve"> ADDIN EN.CITE &lt;EndNote&gt;&lt;Cite&gt;&lt;Author&gt;Oender&lt;/Author&gt;&lt;Year&gt;2023&lt;/Year&gt;&lt;RecNum&gt;39&lt;/RecNum&gt;&lt;DisplayText&gt;&lt;style face="superscript"&gt;7&lt;/style&gt;&lt;/DisplayText&gt;&lt;record&gt;&lt;rec-number&gt;39&lt;/rec-number&gt;&lt;foreign-keys&gt;&lt;key app="EN" db-id="x09sfswtow5rp1efpetxd5eaz5s0sfz0f9fe" timestamp="1744802691"&gt;39&lt;/key&gt;&lt;/foreign-keys&gt;&lt;ref-type name="Journal Article"&gt;17&lt;/ref-type&gt;&lt;contributors&gt;&lt;authors&gt;&lt;author&gt;Oender, Demet&lt;/author&gt;&lt;author&gt;Faber, Jennifer&lt;/author&gt;&lt;author&gt;Wilke, Carlo&lt;/author&gt;&lt;author&gt;Schaprian, Tamara&lt;/author&gt;&lt;author&gt;Lakghomi, Asadeh&lt;/author&gt;&lt;author&gt;Mengel, David&lt;/author&gt;&lt;author&gt;Schöls, Ludger&lt;/author&gt;&lt;author&gt;Traschütz, Andreas&lt;/author&gt;&lt;author&gt;Fleszar, Zofia&lt;/author&gt;&lt;author&gt;Dufke, Claudia&lt;/author&gt;&lt;/authors&gt;&lt;/contributors&gt;&lt;titles&gt;&lt;title&gt;Evolution of clinical outcome measures and biomarkers in sporadic adult</w:instrText>
      </w:r>
      <w:r w:rsidR="00D73CF1" w:rsidRPr="005C040F">
        <w:rPr>
          <w:rFonts w:ascii="Cambria Math" w:hAnsi="Cambria Math" w:cs="Cambria Math"/>
        </w:rPr>
        <w:instrText>‐</w:instrText>
      </w:r>
      <w:r w:rsidR="00D73CF1" w:rsidRPr="005C040F">
        <w:rPr>
          <w:rFonts w:ascii="Arial" w:hAnsi="Arial" w:cs="Arial"/>
        </w:rPr>
        <w:instrText>onset degenerative ataxia&lt;/title&gt;&lt;secondary-title&gt;Movement disorders&lt;/secondary-title&gt;&lt;/titles&gt;&lt;periodical&gt;&lt;full-title&gt;Movement disorders&lt;/full-title&gt;&lt;/periodical&gt;&lt;pages&gt;654-664&lt;/pages&gt;&lt;volume&gt;38&lt;/volume&gt;&lt;number&gt;4&lt;/number&gt;&lt;dates&gt;&lt;year&gt;2023&lt;/year&gt;&lt;/dates&gt;&lt;isbn&gt;0885-3185&lt;/isbn&gt;&lt;urls&gt;&lt;/urls&gt;&lt;/record&gt;&lt;/Cite&gt;&lt;/EndNote&gt;</w:instrText>
      </w:r>
      <w:r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7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>.</w:t>
      </w:r>
    </w:p>
    <w:p w14:paraId="705774EA" w14:textId="77777777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</w:p>
    <w:p w14:paraId="662D2E9D" w14:textId="77777777" w:rsidR="00170586" w:rsidRPr="005C040F" w:rsidRDefault="00170586" w:rsidP="00170586">
      <w:pPr>
        <w:pStyle w:val="KeinLeerraum1"/>
        <w:spacing w:line="276" w:lineRule="auto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>Neuropsychological measurement</w:t>
      </w:r>
    </w:p>
    <w:p w14:paraId="6E6235BE" w14:textId="40BE730C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  <w:r w:rsidRPr="005C040F">
        <w:rPr>
          <w:rFonts w:ascii="Arial" w:hAnsi="Arial" w:cs="Arial"/>
        </w:rPr>
        <w:t xml:space="preserve">The neuropsychological assessment included the German version of the “Edinburgh Cognitive and </w:t>
      </w:r>
      <w:proofErr w:type="spellStart"/>
      <w:r w:rsidRPr="005C040F">
        <w:rPr>
          <w:rFonts w:ascii="Arial" w:hAnsi="Arial" w:cs="Arial"/>
        </w:rPr>
        <w:t>Behavioural</w:t>
      </w:r>
      <w:proofErr w:type="spellEnd"/>
      <w:r w:rsidRPr="005C040F">
        <w:rPr>
          <w:rFonts w:ascii="Arial" w:hAnsi="Arial" w:cs="Arial"/>
        </w:rPr>
        <w:t xml:space="preserve"> ALS Screen” (ECAS) </w:t>
      </w:r>
      <w:r w:rsidRPr="005C040F">
        <w:rPr>
          <w:rFonts w:ascii="Arial" w:hAnsi="Arial" w:cs="Arial"/>
        </w:rPr>
        <w:fldChar w:fldCharType="begin">
          <w:fldData xml:space="preserve">PEVuZE5vdGU+PENpdGU+PEF1dGhvcj5BYnJhaGFtczwvQXV0aG9yPjxZZWFyPjIwMTQ8L1llYXI+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</w:fldData>
        </w:fldChar>
      </w:r>
      <w:r w:rsidR="00D73CF1" w:rsidRPr="005C040F">
        <w:rPr>
          <w:rFonts w:ascii="Arial" w:hAnsi="Arial" w:cs="Arial"/>
        </w:rPr>
        <w:instrText xml:space="preserve"> ADDIN EN.CITE </w:instrText>
      </w:r>
      <w:r w:rsidR="00D73CF1" w:rsidRPr="005C040F">
        <w:rPr>
          <w:rFonts w:ascii="Arial" w:hAnsi="Arial" w:cs="Arial"/>
        </w:rPr>
        <w:fldChar w:fldCharType="begin">
          <w:fldData xml:space="preserve">PEVuZE5vdGU+PENpdGU+PEF1dGhvcj5BYnJhaGFtczwvQXV0aG9yPjxZZWFyPjIwMTQ8L1llYXI+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</w:fldData>
        </w:fldChar>
      </w:r>
      <w:r w:rsidR="00D73CF1" w:rsidRPr="005C040F">
        <w:rPr>
          <w:rFonts w:ascii="Arial" w:hAnsi="Arial" w:cs="Arial"/>
        </w:rPr>
        <w:instrText xml:space="preserve"> ADDIN EN.CITE.DATA </w:instrText>
      </w:r>
      <w:r w:rsidR="00D73CF1" w:rsidRPr="005C040F">
        <w:rPr>
          <w:rFonts w:ascii="Arial" w:hAnsi="Arial" w:cs="Arial"/>
        </w:rPr>
      </w:r>
      <w:r w:rsidR="00D73CF1"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</w:r>
      <w:r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8, 9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 xml:space="preserve">. The ECAS comprises 15 subtests assessing five cognitive domains: ALS specific functions (verbal fluency, executive functions including social cognition, and language) and ALS-non-specific functions (memory and visuospatial abilities). We considered sub scores for </w:t>
      </w:r>
      <w:r w:rsidRPr="005C040F">
        <w:rPr>
          <w:rFonts w:ascii="Arial" w:hAnsi="Arial" w:cs="Arial"/>
        </w:rPr>
        <w:tab/>
        <w:t xml:space="preserve">each cognitive subdomain, as well as the ALS-specific score, the ALS-nonspecific score, and the ECAS total score. Cognitive impairments were classified according to the revised Strong criteria </w:t>
      </w:r>
      <w:r w:rsidRPr="005C040F">
        <w:rPr>
          <w:rFonts w:ascii="Arial" w:hAnsi="Arial" w:cs="Arial"/>
        </w:rPr>
        <w:lastRenderedPageBreak/>
        <w:fldChar w:fldCharType="begin"/>
      </w:r>
      <w:r w:rsidR="00D73CF1" w:rsidRPr="005C040F">
        <w:rPr>
          <w:rFonts w:ascii="Arial" w:hAnsi="Arial" w:cs="Arial"/>
        </w:rPr>
        <w:instrText xml:space="preserve"> ADDIN EN.CITE &lt;EndNote&gt;&lt;Cite&gt;&lt;Author&gt;Strong&lt;/Author&gt;&lt;Year&gt;2017&lt;/Year&gt;&lt;RecNum&gt;9&lt;/RecNum&gt;&lt;DisplayText&gt;&lt;style face="superscript"&gt;10&lt;/style&gt;&lt;/DisplayText&gt;&lt;record&gt;&lt;rec-number&gt;9&lt;/rec-number&gt;&lt;foreign-keys&gt;&lt;key app="EN" db-id="x09sfswtow5rp1efpetxd5eaz5s0sfz0f9fe" timestamp="1744137401"&gt;9&lt;/key&gt;&lt;/foreign-keys&gt;&lt;ref-type name="Journal Article"&gt;17&lt;/ref-type&gt;&lt;contributors&gt;&lt;authors&gt;&lt;author&gt;Strong, Michael J&lt;/author&gt;&lt;author&gt;Abrahams, Sharon&lt;/author&gt;&lt;author&gt;Goldstein, Laura H&lt;/author&gt;&lt;author&gt;Woolley, Susan&lt;/author&gt;&lt;author&gt;Mclaughlin, Paula&lt;/author&gt;&lt;author&gt;Snowden, Julie&lt;/author&gt;&lt;author&gt;Mioshi, Eneida&lt;/author&gt;&lt;author&gt;Roberts-South, Angie&lt;/author&gt;&lt;author&gt;Benatar, Michael&lt;/author&gt;&lt;author&gt;HortobáGyi, Tibor&lt;/author&gt;&lt;/authors&gt;&lt;/contributors&gt;&lt;titles&gt;&lt;title&gt;Amyotrophic lateral sclerosis-frontotemporal spectrum disorder (ALS-FTSD): Revised diagnostic criteria&lt;/title&gt;&lt;secondary-title&gt;Amyotrophic lateral sclerosis and frontotemporal degeneration&lt;/secondary-title&gt;&lt;/titles&gt;&lt;periodical&gt;&lt;full-title&gt;Amyotrophic Lateral Sclerosis and Frontotemporal Degeneration&lt;/full-title&gt;&lt;/periodical&gt;&lt;pages&gt;153-174&lt;/pages&gt;&lt;volume&gt;18&lt;/volume&gt;&lt;number&gt;3-4&lt;/number&gt;&lt;dates&gt;&lt;year&gt;2017&lt;/year&gt;&lt;/dates&gt;&lt;isbn&gt;2167-8421&lt;/isbn&gt;&lt;urls&gt;&lt;/urls&gt;&lt;/record&gt;&lt;/Cite&gt;&lt;/EndNote&gt;</w:instrText>
      </w:r>
      <w:r w:rsidRPr="005C040F">
        <w:rPr>
          <w:rFonts w:ascii="Arial" w:hAnsi="Arial" w:cs="Arial"/>
        </w:rPr>
        <w:fldChar w:fldCharType="separate"/>
      </w:r>
      <w:r w:rsidR="00D73CF1" w:rsidRPr="005C040F">
        <w:rPr>
          <w:rFonts w:ascii="Arial" w:hAnsi="Arial" w:cs="Arial"/>
          <w:noProof/>
          <w:vertAlign w:val="superscript"/>
        </w:rPr>
        <w:t>10</w:t>
      </w:r>
      <w:r w:rsidRPr="005C040F">
        <w:rPr>
          <w:rFonts w:ascii="Arial" w:hAnsi="Arial" w:cs="Arial"/>
        </w:rPr>
        <w:fldChar w:fldCharType="end"/>
      </w:r>
      <w:r w:rsidRPr="005C040F">
        <w:rPr>
          <w:rFonts w:ascii="Arial" w:hAnsi="Arial" w:cs="Arial"/>
        </w:rPr>
        <w:t>. Based on this classification, all individuals with ALS without FTD were categorized as either “non-impaired” (</w:t>
      </w:r>
      <w:proofErr w:type="spellStart"/>
      <w:r w:rsidRPr="005C040F">
        <w:rPr>
          <w:rFonts w:ascii="Arial" w:hAnsi="Arial" w:cs="Arial"/>
        </w:rPr>
        <w:t>ALSni</w:t>
      </w:r>
      <w:proofErr w:type="spellEnd"/>
      <w:r w:rsidRPr="005C040F">
        <w:rPr>
          <w:rFonts w:ascii="Arial" w:hAnsi="Arial" w:cs="Arial"/>
        </w:rPr>
        <w:t>) or “cognitively impaired” (</w:t>
      </w:r>
      <w:proofErr w:type="spellStart"/>
      <w:r w:rsidRPr="005C040F">
        <w:rPr>
          <w:rFonts w:ascii="Arial" w:hAnsi="Arial" w:cs="Arial"/>
        </w:rPr>
        <w:t>ALSci</w:t>
      </w:r>
      <w:proofErr w:type="spellEnd"/>
      <w:r w:rsidRPr="005C040F">
        <w:rPr>
          <w:rFonts w:ascii="Arial" w:hAnsi="Arial" w:cs="Arial"/>
        </w:rPr>
        <w:t xml:space="preserve">). To determine cognitive impairment, z-scores were calculated for all ECAS-domains and total score, using the locally acquired age- and education matched healthy control sample. A z-score ≤ -2 was considered as indicative of impairment. Patients with ALS and FTD were categorized according </w:t>
      </w:r>
      <w:proofErr w:type="spellStart"/>
      <w:r w:rsidRPr="005C040F">
        <w:rPr>
          <w:rFonts w:ascii="Arial" w:hAnsi="Arial" w:cs="Arial"/>
        </w:rPr>
        <w:t>Raskovsky</w:t>
      </w:r>
      <w:proofErr w:type="spellEnd"/>
      <w:r w:rsidRPr="005C040F">
        <w:rPr>
          <w:rFonts w:ascii="Arial" w:hAnsi="Arial" w:cs="Arial"/>
        </w:rPr>
        <w:t xml:space="preserve"> et al. 2009 respectively </w:t>
      </w:r>
      <w:proofErr w:type="spellStart"/>
      <w:r w:rsidRPr="005C040F">
        <w:rPr>
          <w:rFonts w:ascii="Arial" w:hAnsi="Arial" w:cs="Arial"/>
        </w:rPr>
        <w:t>Gorno-Tempini</w:t>
      </w:r>
      <w:proofErr w:type="spellEnd"/>
      <w:r w:rsidRPr="005C040F">
        <w:rPr>
          <w:rFonts w:ascii="Arial" w:hAnsi="Arial" w:cs="Arial"/>
        </w:rPr>
        <w:t xml:space="preserve"> et al., 2011 criteria.</w:t>
      </w:r>
    </w:p>
    <w:p w14:paraId="48B4ABC4" w14:textId="77777777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</w:p>
    <w:p w14:paraId="7E25AC72" w14:textId="77777777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</w:rPr>
      </w:pPr>
    </w:p>
    <w:p w14:paraId="562E4DDA" w14:textId="77777777" w:rsidR="00170586" w:rsidRPr="005C040F" w:rsidRDefault="00170586" w:rsidP="00170586">
      <w:pPr>
        <w:pStyle w:val="KeinLeerraum1"/>
        <w:spacing w:line="276" w:lineRule="auto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i/>
          <w:iCs/>
        </w:rPr>
        <w:t>Statistical analyses</w:t>
      </w:r>
    </w:p>
    <w:p w14:paraId="496D8142" w14:textId="44A60CFF" w:rsidR="00170586" w:rsidRPr="005C040F" w:rsidRDefault="00170586" w:rsidP="00170586">
      <w:pPr>
        <w:pStyle w:val="KeinLeerraum1"/>
        <w:spacing w:line="276" w:lineRule="auto"/>
        <w:ind w:left="360"/>
        <w:rPr>
          <w:rFonts w:ascii="Arial" w:hAnsi="Arial" w:cs="Arial"/>
          <w:i/>
          <w:iCs/>
        </w:rPr>
      </w:pPr>
      <w:r w:rsidRPr="005C040F">
        <w:rPr>
          <w:rFonts w:ascii="Arial" w:hAnsi="Arial" w:cs="Arial"/>
          <w:lang w:eastAsia="de-DE" w:bidi="ar-SA"/>
        </w:rPr>
        <w:t>For cross-sectional group comparisons, linear mixed models included diagnostic group (ALS vs. HC), the timepoint and age at visit as fixed effects, with a random intercept for each participant to account for inter-individual variability. For longitudinal analysis, data from two time points (Baseline and Follow-up) were included, and the model incorporated time (visit), group, and their interaction as fixed effects, again controlling for age and including random intercepts per participant. This modelling approach allowed for a unified framework to assess both between-group differences and within-subject changes over time. Estimated marginal means (EMMs) and post-hoc contrasts (Tukey-adjusted) were computed. All analyses were conducted in R (</w:t>
      </w:r>
      <w:r w:rsidRPr="005C040F">
        <w:rPr>
          <w:rFonts w:ascii="Arial" w:hAnsi="Arial" w:cs="Arial"/>
        </w:rPr>
        <w:t>version 4.4.3</w:t>
      </w:r>
      <w:r w:rsidRPr="005C040F">
        <w:rPr>
          <w:rFonts w:ascii="Arial" w:hAnsi="Arial" w:cs="Arial"/>
          <w:lang w:eastAsia="de-DE" w:bidi="ar-SA"/>
        </w:rPr>
        <w:t>). For group comparisons between cognitive subgroups</w:t>
      </w:r>
      <w:r w:rsidR="00D70D89" w:rsidRPr="005C040F">
        <w:rPr>
          <w:rFonts w:ascii="Arial" w:hAnsi="Arial" w:cs="Arial"/>
          <w:lang w:eastAsia="de-DE" w:bidi="ar-SA"/>
        </w:rPr>
        <w:t>, King`s stages</w:t>
      </w:r>
      <w:r w:rsidRPr="005C040F">
        <w:rPr>
          <w:rFonts w:ascii="Arial" w:hAnsi="Arial" w:cs="Arial"/>
          <w:lang w:eastAsia="de-DE" w:bidi="ar-SA"/>
        </w:rPr>
        <w:t xml:space="preserve"> as well as motoneuron involvement at baseline, Kruskal Wallis Tests with Dunn tests for post hoc comparisons were conducted while nominal data were calculated by Pearson's Chi-squared test</w:t>
      </w:r>
      <w:r w:rsidRPr="005C040F">
        <w:rPr>
          <w:rFonts w:ascii="Arial" w:hAnsi="Arial" w:cs="Arial"/>
          <w:lang w:bidi="ar-SA"/>
        </w:rPr>
        <w:t>. The group comparison between slow and fast progression rate was performed with Mann</w:t>
      </w:r>
      <w:r w:rsidRPr="005C040F">
        <w:rPr>
          <w:rFonts w:ascii="Arial" w:hAnsi="Arial" w:cs="Arial"/>
          <w:vertAlign w:val="superscript"/>
          <w:lang w:bidi="ar-SA"/>
        </w:rPr>
        <w:t xml:space="preserve"> </w:t>
      </w:r>
      <w:r w:rsidRPr="005C040F">
        <w:rPr>
          <w:rFonts w:ascii="Arial" w:hAnsi="Arial" w:cs="Arial"/>
          <w:lang w:bidi="ar-SA"/>
        </w:rPr>
        <w:t xml:space="preserve">Whitney U-Test. Partial correlations were conducted to assess age corrected associations between key biomarkers and cognitive scores. </w:t>
      </w:r>
    </w:p>
    <w:p w14:paraId="09048B62" w14:textId="77777777" w:rsidR="00170586" w:rsidRPr="005C040F" w:rsidRDefault="00170586" w:rsidP="00170586">
      <w:pPr>
        <w:spacing w:after="0" w:line="360" w:lineRule="auto"/>
        <w:rPr>
          <w:rFonts w:ascii="Arial" w:hAnsi="Arial" w:cs="Arial"/>
        </w:rPr>
        <w:sectPr w:rsidR="00170586" w:rsidRPr="005C040F" w:rsidSect="00170586">
          <w:headerReference w:type="default" r:id="rId6"/>
          <w:footerReference w:type="default" r:id="rId7"/>
          <w:footerReference w:type="first" r:id="rId8"/>
          <w:pgSz w:w="12240" w:h="15840"/>
          <w:pgMar w:top="1417" w:right="1417" w:bottom="1134" w:left="1417" w:header="720" w:footer="720" w:gutter="0"/>
          <w:pgNumType w:start="1"/>
          <w:cols w:space="720"/>
          <w:titlePg/>
          <w:docGrid w:linePitch="360"/>
        </w:sectPr>
      </w:pPr>
    </w:p>
    <w:p w14:paraId="6BB4D300" w14:textId="77777777" w:rsidR="000D043E" w:rsidRPr="005C040F" w:rsidRDefault="000D043E"/>
    <w:p w14:paraId="5912D8B5" w14:textId="77777777" w:rsidR="000D043E" w:rsidRPr="005C040F" w:rsidRDefault="000D043E"/>
    <w:p w14:paraId="44A4D9AA" w14:textId="77777777" w:rsidR="00D73CF1" w:rsidRPr="005C040F" w:rsidRDefault="000D043E" w:rsidP="00D73CF1">
      <w:pPr>
        <w:pStyle w:val="EndNoteBibliography"/>
        <w:spacing w:after="0"/>
      </w:pPr>
      <w:r w:rsidRPr="005C040F">
        <w:fldChar w:fldCharType="begin"/>
      </w:r>
      <w:r w:rsidRPr="005C040F">
        <w:rPr>
          <w:lang w:val="de-DE"/>
        </w:rPr>
        <w:instrText xml:space="preserve"> ADDIN EN.REFLIST </w:instrText>
      </w:r>
      <w:r w:rsidRPr="005C040F">
        <w:fldChar w:fldCharType="separate"/>
      </w:r>
      <w:r w:rsidR="00D73CF1" w:rsidRPr="005C040F">
        <w:rPr>
          <w:lang w:val="de-DE"/>
        </w:rPr>
        <w:t>1.</w:t>
      </w:r>
      <w:r w:rsidR="00D73CF1" w:rsidRPr="005C040F">
        <w:rPr>
          <w:lang w:val="de-DE"/>
        </w:rPr>
        <w:tab/>
        <w:t xml:space="preserve">Cedarbaum JM, Stambler N, Malta E, et al. </w:t>
      </w:r>
      <w:r w:rsidR="00D73CF1" w:rsidRPr="005C040F">
        <w:t>The ALSFRS-R: a revised ALS functional rating scale that incorporates assessments of respiratory function. Journal of the neurological sciences. 1999;169(1-2):13–21.</w:t>
      </w:r>
    </w:p>
    <w:p w14:paraId="44B798B5" w14:textId="77777777" w:rsidR="00D73CF1" w:rsidRPr="005C040F" w:rsidRDefault="00D73CF1" w:rsidP="00D73CF1">
      <w:pPr>
        <w:pStyle w:val="EndNoteBibliography"/>
        <w:spacing w:after="0"/>
      </w:pPr>
      <w:r w:rsidRPr="005C040F">
        <w:t>2.</w:t>
      </w:r>
      <w:r w:rsidRPr="005C040F">
        <w:tab/>
        <w:t>Brooks BR, Miller RG, Swash M, Munsat TL. El Escorial revisited: revised criteria for the diagnosis of amyotrophic lateral sclerosis. Amyotrophic lateral sclerosis and other motor neuron disorders. 2000;1(5):293–9.</w:t>
      </w:r>
    </w:p>
    <w:p w14:paraId="46E6A61B" w14:textId="77777777" w:rsidR="00D73CF1" w:rsidRPr="005C040F" w:rsidRDefault="00D73CF1" w:rsidP="00D73CF1">
      <w:pPr>
        <w:pStyle w:val="EndNoteBibliography"/>
        <w:spacing w:after="0"/>
      </w:pPr>
      <w:r w:rsidRPr="005C040F">
        <w:t>3.</w:t>
      </w:r>
      <w:r w:rsidRPr="005C040F">
        <w:tab/>
        <w:t>Balendra R, Al Khleifat A, Fang T, Al-Chalabi A. A standard operating procedure for King’s ALS clinical staging. Amyotrophic Lateral Sclerosis and Frontotemporal Degeneration. 2019;20(3-4):159–64.</w:t>
      </w:r>
    </w:p>
    <w:p w14:paraId="4065F38C" w14:textId="77777777" w:rsidR="00D73CF1" w:rsidRPr="005C040F" w:rsidRDefault="00D73CF1" w:rsidP="00D73CF1">
      <w:pPr>
        <w:pStyle w:val="EndNoteBibliography"/>
        <w:spacing w:after="0"/>
      </w:pPr>
      <w:r w:rsidRPr="005C040F">
        <w:t>4.</w:t>
      </w:r>
      <w:r w:rsidRPr="005C040F">
        <w:tab/>
        <w:t>Nasreddine ZS, Phillips NA, Bédirian V, et al. Montreal cognitive assessment. The American Journal of Geriatric Psychiatry. 2003.</w:t>
      </w:r>
    </w:p>
    <w:p w14:paraId="0D1898B9" w14:textId="77777777" w:rsidR="00D73CF1" w:rsidRPr="005C040F" w:rsidRDefault="00D73CF1" w:rsidP="00D73CF1">
      <w:pPr>
        <w:pStyle w:val="EndNoteBibliography"/>
        <w:spacing w:after="0"/>
        <w:rPr>
          <w:lang w:val="de-DE"/>
        </w:rPr>
      </w:pPr>
      <w:r w:rsidRPr="005C040F">
        <w:t>5.</w:t>
      </w:r>
      <w:r w:rsidRPr="005C040F">
        <w:tab/>
        <w:t xml:space="preserve">Jessen F, Spottke A, Boecker H, et al. Design and first baseline data of the DZNE multicenter observational study on predementia Alzheimer’s disease (DELCODE). </w:t>
      </w:r>
      <w:r w:rsidRPr="005C040F">
        <w:rPr>
          <w:lang w:val="de-DE"/>
        </w:rPr>
        <w:t>Alzheimer's research &amp; therapy. 2018;10:1–10.</w:t>
      </w:r>
    </w:p>
    <w:p w14:paraId="6BE202CA" w14:textId="77777777" w:rsidR="00D73CF1" w:rsidRPr="005C040F" w:rsidRDefault="00D73CF1" w:rsidP="00D73CF1">
      <w:pPr>
        <w:pStyle w:val="EndNoteBibliography"/>
        <w:spacing w:after="0"/>
        <w:rPr>
          <w:lang w:val="de-DE"/>
        </w:rPr>
      </w:pPr>
      <w:r w:rsidRPr="005C040F">
        <w:rPr>
          <w:lang w:val="de-DE"/>
        </w:rPr>
        <w:t>6.</w:t>
      </w:r>
      <w:r w:rsidRPr="005C040F">
        <w:rPr>
          <w:lang w:val="de-DE"/>
        </w:rPr>
        <w:tab/>
        <w:t xml:space="preserve">Jessen F, Wolfsgruber S, Kleineindam L, et al. </w:t>
      </w:r>
      <w:r w:rsidRPr="005C040F">
        <w:t xml:space="preserve">Subjective cognitive decline and stage 2 of Alzheimer disease in patients from memory centers. </w:t>
      </w:r>
      <w:r w:rsidRPr="005C040F">
        <w:rPr>
          <w:lang w:val="de-DE"/>
        </w:rPr>
        <w:t>Alzheimer's &amp; dementia. 2023;19(2):487–97.</w:t>
      </w:r>
    </w:p>
    <w:p w14:paraId="52D5860D" w14:textId="77777777" w:rsidR="00D73CF1" w:rsidRPr="005C040F" w:rsidRDefault="00D73CF1" w:rsidP="00D73CF1">
      <w:pPr>
        <w:pStyle w:val="EndNoteBibliography"/>
        <w:spacing w:after="0"/>
      </w:pPr>
      <w:r w:rsidRPr="005C040F">
        <w:rPr>
          <w:lang w:val="de-DE"/>
        </w:rPr>
        <w:t>7.</w:t>
      </w:r>
      <w:r w:rsidRPr="005C040F">
        <w:rPr>
          <w:lang w:val="de-DE"/>
        </w:rPr>
        <w:tab/>
        <w:t xml:space="preserve">Oender D, Faber J, Wilke C, et al. </w:t>
      </w:r>
      <w:r w:rsidRPr="005C040F">
        <w:t>Evolution of clinical outcome measures and biomarkers in sporadic adult‐onset degenerative ataxia. Movement disorders. 2023;38(4):654–64.</w:t>
      </w:r>
    </w:p>
    <w:p w14:paraId="49D1B2D0" w14:textId="77777777" w:rsidR="00D73CF1" w:rsidRPr="005C040F" w:rsidRDefault="00D73CF1" w:rsidP="00D73CF1">
      <w:pPr>
        <w:pStyle w:val="EndNoteBibliography"/>
        <w:spacing w:after="0"/>
      </w:pPr>
      <w:r w:rsidRPr="005C040F">
        <w:t>8.</w:t>
      </w:r>
      <w:r w:rsidRPr="005C040F">
        <w:tab/>
        <w:t>Abrahams S, Newton J, Niven E, Foley J, Bak TH. Screening for cognition and behaviour changes in ALS. Amyotrophic lateral sclerosis and frontotemporal degeneration. 2014;15(1-2):9–14.</w:t>
      </w:r>
    </w:p>
    <w:p w14:paraId="20EDF506" w14:textId="77777777" w:rsidR="00D73CF1" w:rsidRPr="005C040F" w:rsidRDefault="00D73CF1" w:rsidP="00D73CF1">
      <w:pPr>
        <w:pStyle w:val="EndNoteBibliography"/>
        <w:spacing w:after="0"/>
      </w:pPr>
      <w:r w:rsidRPr="005C040F">
        <w:t>9.</w:t>
      </w:r>
      <w:r w:rsidRPr="005C040F">
        <w:tab/>
        <w:t>Loose M, Burkhardt C, Aho-Özhan H, et al. Age and education-matched cut-off scores for the revised German/Swiss-German version of ECAS. Amyotrophic Lateral Sclerosis and Frontotemporal Degeneration. 2016;17(5-6):374–6.</w:t>
      </w:r>
    </w:p>
    <w:p w14:paraId="0D13B025" w14:textId="77777777" w:rsidR="00D73CF1" w:rsidRPr="005C040F" w:rsidRDefault="00D73CF1" w:rsidP="00D73CF1">
      <w:pPr>
        <w:pStyle w:val="EndNoteBibliography"/>
      </w:pPr>
      <w:r w:rsidRPr="005C040F">
        <w:t>10.</w:t>
      </w:r>
      <w:r w:rsidRPr="005C040F">
        <w:tab/>
        <w:t>Strong MJ, Abrahams S, Goldstein LH, et al. Amyotrophic lateral sclerosis-frontotemporal spectrum disorder (ALS-FTSD): Revised diagnostic criteria. Amyotrophic lateral sclerosis and frontotemporal degeneration. 2017;18(3-4):153–74.</w:t>
      </w:r>
    </w:p>
    <w:p w14:paraId="64561D38" w14:textId="4866067C" w:rsidR="00F17C1E" w:rsidRPr="005C040F" w:rsidRDefault="000D043E">
      <w:r w:rsidRPr="005C040F">
        <w:fldChar w:fldCharType="end"/>
      </w:r>
    </w:p>
    <w:sectPr w:rsidR="00F17C1E" w:rsidRPr="005C04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B6D6" w14:textId="77777777" w:rsidR="008E5041" w:rsidRDefault="008E5041">
      <w:pPr>
        <w:spacing w:after="0" w:line="240" w:lineRule="auto"/>
      </w:pPr>
      <w:r>
        <w:separator/>
      </w:r>
    </w:p>
  </w:endnote>
  <w:endnote w:type="continuationSeparator" w:id="0">
    <w:p w14:paraId="20B40215" w14:textId="77777777" w:rsidR="008E5041" w:rsidRDefault="008E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359723"/>
      <w:docPartObj>
        <w:docPartGallery w:val="Page Numbers (Bottom of Page)"/>
        <w:docPartUnique/>
      </w:docPartObj>
    </w:sdtPr>
    <w:sdtContent>
      <w:p w14:paraId="5C937C50" w14:textId="77777777" w:rsidR="00BC3B48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F63FD">
          <w:rPr>
            <w:noProof/>
            <w:lang w:val="de-DE"/>
          </w:rPr>
          <w:t>2</w:t>
        </w:r>
        <w:r>
          <w:fldChar w:fldCharType="end"/>
        </w:r>
      </w:p>
    </w:sdtContent>
  </w:sdt>
  <w:p w14:paraId="2114EDC5" w14:textId="77777777" w:rsidR="00BC3B48" w:rsidRDefault="00BC3B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8778431"/>
      <w:docPartObj>
        <w:docPartGallery w:val="Page Numbers (Bottom of Page)"/>
        <w:docPartUnique/>
      </w:docPartObj>
    </w:sdtPr>
    <w:sdtContent>
      <w:p w14:paraId="7DFA3963" w14:textId="77777777" w:rsidR="00BC3B48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F63FD">
          <w:rPr>
            <w:noProof/>
            <w:lang w:val="de-DE"/>
          </w:rPr>
          <w:t>1</w:t>
        </w:r>
        <w:r>
          <w:fldChar w:fldCharType="end"/>
        </w:r>
      </w:p>
    </w:sdtContent>
  </w:sdt>
  <w:p w14:paraId="03788F84" w14:textId="77777777" w:rsidR="00BC3B48" w:rsidRDefault="00BC3B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386AD" w14:textId="77777777" w:rsidR="008E5041" w:rsidRDefault="008E5041">
      <w:pPr>
        <w:spacing w:after="0" w:line="240" w:lineRule="auto"/>
      </w:pPr>
      <w:r>
        <w:separator/>
      </w:r>
    </w:p>
  </w:footnote>
  <w:footnote w:type="continuationSeparator" w:id="0">
    <w:p w14:paraId="68A0B1CD" w14:textId="77777777" w:rsidR="008E5041" w:rsidRDefault="008E5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3F03E" w14:textId="77777777" w:rsidR="00BC3B48" w:rsidRDefault="00BC3B48">
    <w:pPr>
      <w:pStyle w:val="Kopfzeile"/>
      <w:jc w:val="right"/>
    </w:pPr>
  </w:p>
  <w:p w14:paraId="2B04327F" w14:textId="77777777" w:rsidR="00BC3B48" w:rsidRDefault="00BC3B4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nnals Neurology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09sfswtow5rp1efpetxd5eaz5s0sfz0f9fe&quot;&gt;ALS_Biomarker&lt;record-ids&gt;&lt;item&gt;5&lt;/item&gt;&lt;item&gt;6&lt;/item&gt;&lt;item&gt;9&lt;/item&gt;&lt;item&gt;10&lt;/item&gt;&lt;item&gt;11&lt;/item&gt;&lt;item&gt;39&lt;/item&gt;&lt;item&gt;56&lt;/item&gt;&lt;item&gt;57&lt;/item&gt;&lt;item&gt;70&lt;/item&gt;&lt;item&gt;108&lt;/item&gt;&lt;/record-ids&gt;&lt;/item&gt;&lt;/Libraries&gt;"/>
  </w:docVars>
  <w:rsids>
    <w:rsidRoot w:val="00170586"/>
    <w:rsid w:val="000D043E"/>
    <w:rsid w:val="00170586"/>
    <w:rsid w:val="003C48FC"/>
    <w:rsid w:val="005C040F"/>
    <w:rsid w:val="00601B8C"/>
    <w:rsid w:val="008E5041"/>
    <w:rsid w:val="008F6C18"/>
    <w:rsid w:val="009C71ED"/>
    <w:rsid w:val="00AE78EB"/>
    <w:rsid w:val="00B14897"/>
    <w:rsid w:val="00B8459E"/>
    <w:rsid w:val="00BC3B48"/>
    <w:rsid w:val="00D70D89"/>
    <w:rsid w:val="00D73CF1"/>
    <w:rsid w:val="00DF3809"/>
    <w:rsid w:val="00F1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9751C"/>
  <w15:chartTrackingRefBased/>
  <w15:docId w15:val="{F7AD1481-574C-4F4C-8FB4-3FC7A4BC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0586"/>
    <w:pPr>
      <w:spacing w:after="200" w:line="276" w:lineRule="auto"/>
      <w:jc w:val="both"/>
    </w:pPr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058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bidi="ar-SA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058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bidi="ar-SA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058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de-DE" w:bidi="ar-SA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058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de-DE" w:bidi="ar-SA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058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de-DE" w:bidi="ar-SA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0586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de-DE" w:bidi="ar-SA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0586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de-DE" w:bidi="ar-SA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0586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de-DE" w:bidi="ar-SA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0586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de-DE" w:bidi="ar-SA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0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0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0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058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058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058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058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058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05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0586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bidi="ar-SA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70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058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de-DE" w:bidi="ar-SA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0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058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bidi="ar-SA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7058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0586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de-DE" w:bidi="ar-SA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7058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de-DE" w:bidi="ar-SA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58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058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70586"/>
    <w:pPr>
      <w:tabs>
        <w:tab w:val="center" w:pos="4680"/>
        <w:tab w:val="right" w:pos="9360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7058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70586"/>
    <w:pPr>
      <w:tabs>
        <w:tab w:val="center" w:pos="4680"/>
        <w:tab w:val="right" w:pos="9360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058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customStyle="1" w:styleId="KeinLeerraum1">
    <w:name w:val="Kein Leerraum1"/>
    <w:basedOn w:val="Standard"/>
    <w:link w:val="NoSpacingChar"/>
    <w:uiPriority w:val="1"/>
    <w:qFormat/>
    <w:rsid w:val="00170586"/>
    <w:pPr>
      <w:spacing w:after="0" w:line="240" w:lineRule="auto"/>
    </w:pPr>
  </w:style>
  <w:style w:type="character" w:customStyle="1" w:styleId="NoSpacingChar">
    <w:name w:val="No Spacing Char"/>
    <w:basedOn w:val="Absatz-Standardschriftart"/>
    <w:link w:val="KeinLeerraum1"/>
    <w:uiPriority w:val="1"/>
    <w:rsid w:val="0017058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paragraph" w:customStyle="1" w:styleId="EndNoteBibliographyTitle">
    <w:name w:val="EndNote Bibliography Title"/>
    <w:basedOn w:val="Standard"/>
    <w:link w:val="EndNoteBibliographyTitleZchn"/>
    <w:rsid w:val="000D043E"/>
    <w:pPr>
      <w:spacing w:after="0"/>
      <w:jc w:val="center"/>
    </w:pPr>
    <w:rPr>
      <w:rFonts w:cs="Calibri"/>
      <w:noProof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0D043E"/>
    <w:rPr>
      <w:rFonts w:ascii="Calibri" w:eastAsia="Times New Roman" w:hAnsi="Calibri" w:cs="Calibri"/>
      <w:noProof/>
      <w:kern w:val="0"/>
      <w:sz w:val="20"/>
      <w:szCs w:val="20"/>
      <w:lang w:val="en-US" w:bidi="en-US"/>
      <w14:ligatures w14:val="none"/>
    </w:rPr>
  </w:style>
  <w:style w:type="paragraph" w:customStyle="1" w:styleId="EndNoteBibliography">
    <w:name w:val="EndNote Bibliography"/>
    <w:basedOn w:val="Standard"/>
    <w:link w:val="EndNoteBibliographyZchn"/>
    <w:rsid w:val="000D043E"/>
    <w:pPr>
      <w:spacing w:line="240" w:lineRule="auto"/>
    </w:pPr>
    <w:rPr>
      <w:rFonts w:cs="Calibri"/>
      <w:noProof/>
    </w:rPr>
  </w:style>
  <w:style w:type="character" w:customStyle="1" w:styleId="EndNoteBibliographyZchn">
    <w:name w:val="EndNote Bibliography Zchn"/>
    <w:basedOn w:val="Absatz-Standardschriftart"/>
    <w:link w:val="EndNoteBibliography"/>
    <w:rsid w:val="000D043E"/>
    <w:rPr>
      <w:rFonts w:ascii="Calibri" w:eastAsia="Times New Roman" w:hAnsi="Calibri" w:cs="Calibri"/>
      <w:noProof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1919</Words>
  <Characters>12091</Characters>
  <Application>Microsoft Office Word</Application>
  <DocSecurity>0</DocSecurity>
  <Lines>100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Kasper</dc:creator>
  <cp:keywords/>
  <dc:description/>
  <cp:lastModifiedBy>Elisabeth Kasper</cp:lastModifiedBy>
  <cp:revision>2</cp:revision>
  <dcterms:created xsi:type="dcterms:W3CDTF">2026-04-22T20:11:00Z</dcterms:created>
  <dcterms:modified xsi:type="dcterms:W3CDTF">2026-04-22T20:11:00Z</dcterms:modified>
</cp:coreProperties>
</file>