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6EE6D" w14:textId="77777777" w:rsidR="002741B8" w:rsidRPr="00A51A89" w:rsidRDefault="002741B8" w:rsidP="002741B8">
      <w:pPr>
        <w:rPr>
          <w:b/>
          <w:bCs/>
        </w:rPr>
      </w:pPr>
      <w:r w:rsidRPr="00A51A89">
        <w:rPr>
          <w:b/>
          <w:bCs/>
        </w:rPr>
        <w:t>Supplementary Information</w:t>
      </w:r>
    </w:p>
    <w:p w14:paraId="6F75A68F" w14:textId="77777777" w:rsidR="002741B8" w:rsidRPr="00A51A89" w:rsidRDefault="002741B8" w:rsidP="002741B8">
      <w:r w:rsidRPr="00A51A89">
        <w:t>for the manuscript entitled:</w:t>
      </w:r>
    </w:p>
    <w:p w14:paraId="0F83A96C" w14:textId="77777777" w:rsidR="002741B8" w:rsidRDefault="002741B8" w:rsidP="002741B8">
      <w:pPr>
        <w:rPr>
          <w:b/>
          <w:bCs/>
        </w:rPr>
      </w:pPr>
    </w:p>
    <w:p w14:paraId="398489B3" w14:textId="469308AB" w:rsidR="002741B8" w:rsidRDefault="00EF3A60" w:rsidP="002741B8">
      <w:pPr>
        <w:rPr>
          <w:b/>
          <w:bCs/>
        </w:rPr>
      </w:pPr>
      <w:r w:rsidRPr="00EF3A60">
        <w:rPr>
          <w:b/>
          <w:bCs/>
        </w:rPr>
        <w:t>Platelet C5aR1 Aggravates Myocardial Infarction through Platelet–Neutrophil Interactions and CXCL4-Dependent NET Release</w:t>
      </w:r>
    </w:p>
    <w:p w14:paraId="1DD99C44" w14:textId="77777777" w:rsidR="00EF3A60" w:rsidRDefault="00EF3A60" w:rsidP="002741B8"/>
    <w:p w14:paraId="2AE4CF75" w14:textId="6E21AE13" w:rsidR="002F151E" w:rsidRDefault="002F151E" w:rsidP="002F151E">
      <w:r w:rsidRPr="00834D7E">
        <w:t>Nicolas</w:t>
      </w:r>
      <w:r>
        <w:t xml:space="preserve"> </w:t>
      </w:r>
      <w:r w:rsidRPr="00834D7E">
        <w:t>Schommer</w:t>
      </w:r>
      <w:r>
        <w:rPr>
          <w:vertAlign w:val="superscript"/>
        </w:rPr>
        <w:t>1,2,3,4,5</w:t>
      </w:r>
      <w:r w:rsidRPr="00B5211C">
        <w:t>*</w:t>
      </w:r>
      <w:r w:rsidRPr="00834D7E">
        <w:t>, Shanshan Zhang</w:t>
      </w:r>
      <w:r>
        <w:rPr>
          <w:vertAlign w:val="superscript"/>
        </w:rPr>
        <w:t>2</w:t>
      </w:r>
      <w:r w:rsidRPr="00834D7E">
        <w:rPr>
          <w:vertAlign w:val="superscript"/>
        </w:rPr>
        <w:t>,</w:t>
      </w:r>
      <w:r>
        <w:rPr>
          <w:vertAlign w:val="superscript"/>
        </w:rPr>
        <w:t>3</w:t>
      </w:r>
      <w:r w:rsidRPr="00BC65B6">
        <w:t>*</w:t>
      </w:r>
      <w:r>
        <w:rPr>
          <w:rFonts w:hint="eastAsia"/>
          <w:lang w:eastAsia="zh-CN"/>
        </w:rPr>
        <w:t xml:space="preserve">, </w:t>
      </w:r>
      <w:r w:rsidRPr="00834D7E">
        <w:t>Henry Nording</w:t>
      </w:r>
      <w:bookmarkStart w:id="0" w:name="_Hlk208680462"/>
      <w:r>
        <w:rPr>
          <w:vertAlign w:val="superscript"/>
        </w:rPr>
        <w:t>9,10,11</w:t>
      </w:r>
      <w:r w:rsidRPr="00834D7E">
        <w:t>,</w:t>
      </w:r>
      <w:r w:rsidR="00D44794" w:rsidRPr="00D44794">
        <w:t xml:space="preserve"> </w:t>
      </w:r>
      <w:r w:rsidR="00D44794">
        <w:t>Manuela Sauter</w:t>
      </w:r>
      <w:r w:rsidR="00D44794">
        <w:rPr>
          <w:vertAlign w:val="superscript"/>
        </w:rPr>
        <w:t>2,3,4,7</w:t>
      </w:r>
      <w:r w:rsidR="00D44794">
        <w:t>,</w:t>
      </w:r>
      <w:r>
        <w:t xml:space="preserve"> Jacob von Esebeck</w:t>
      </w:r>
      <w:r>
        <w:rPr>
          <w:vertAlign w:val="superscript"/>
        </w:rPr>
        <w:t>9,10,11</w:t>
      </w:r>
      <w:r>
        <w:t>,</w:t>
      </w:r>
      <w:r w:rsidRPr="00E7646E">
        <w:t xml:space="preserve"> </w:t>
      </w:r>
      <w:r>
        <w:t>Paul Schilf</w:t>
      </w:r>
      <w:r>
        <w:rPr>
          <w:vertAlign w:val="superscript"/>
        </w:rPr>
        <w:t>13</w:t>
      </w:r>
      <w:r>
        <w:t>,</w:t>
      </w:r>
      <w:r w:rsidRPr="00E7646E">
        <w:t xml:space="preserve"> </w:t>
      </w:r>
      <w:r>
        <w:t>Christian D. Sadik</w:t>
      </w:r>
      <w:r>
        <w:rPr>
          <w:vertAlign w:val="superscript"/>
        </w:rPr>
        <w:t>13</w:t>
      </w:r>
      <w:r>
        <w:t>,</w:t>
      </w:r>
      <w:r w:rsidRPr="00834D7E">
        <w:t xml:space="preserve"> </w:t>
      </w:r>
      <w:bookmarkEnd w:id="0"/>
      <w:r w:rsidRPr="00834D7E">
        <w:t>Nancy Schanze</w:t>
      </w:r>
      <w:r>
        <w:rPr>
          <w:vertAlign w:val="superscript"/>
        </w:rPr>
        <w:t>8</w:t>
      </w:r>
      <w:r w:rsidRPr="00834D7E">
        <w:t>, Nadine Gauchel</w:t>
      </w:r>
      <w:r>
        <w:rPr>
          <w:vertAlign w:val="superscript"/>
        </w:rPr>
        <w:t>8</w:t>
      </w:r>
      <w:r w:rsidRPr="00834D7E">
        <w:t xml:space="preserve">, </w:t>
      </w:r>
      <w:proofErr w:type="spellStart"/>
      <w:r w:rsidRPr="00834D7E">
        <w:t>Muataz</w:t>
      </w:r>
      <w:proofErr w:type="spellEnd"/>
      <w:r w:rsidRPr="00834D7E">
        <w:t xml:space="preserve"> Ali Hamad</w:t>
      </w:r>
      <w:r>
        <w:rPr>
          <w:vertAlign w:val="superscript"/>
        </w:rPr>
        <w:t>8</w:t>
      </w:r>
      <w:r w:rsidRPr="00834D7E">
        <w:t>, Krystin Krauel</w:t>
      </w:r>
      <w:r>
        <w:rPr>
          <w:vertAlign w:val="superscript"/>
        </w:rPr>
        <w:t>2,3,4</w:t>
      </w:r>
      <w:r>
        <w:t>,</w:t>
      </w:r>
      <w:r w:rsidRPr="00834D7E">
        <w:t xml:space="preserve"> Niklas Burkhard</w:t>
      </w:r>
      <w:r>
        <w:rPr>
          <w:vertAlign w:val="superscript"/>
        </w:rPr>
        <w:t>8</w:t>
      </w:r>
      <w:r w:rsidRPr="00834D7E">
        <w:t>,</w:t>
      </w:r>
      <w:r w:rsidRPr="00834D7E">
        <w:rPr>
          <w:rFonts w:eastAsia="MS Mincho"/>
        </w:rPr>
        <w:t xml:space="preserve"> Lukas A. Heger</w:t>
      </w:r>
      <w:r>
        <w:rPr>
          <w:rFonts w:eastAsia="MS Mincho"/>
          <w:vertAlign w:val="superscript"/>
        </w:rPr>
        <w:t>8</w:t>
      </w:r>
      <w:r w:rsidRPr="00834D7E">
        <w:rPr>
          <w:rFonts w:eastAsia="MS Mincho"/>
          <w:vertAlign w:val="superscript"/>
        </w:rPr>
        <w:t>,</w:t>
      </w:r>
      <w:r>
        <w:rPr>
          <w:rFonts w:eastAsia="MS Mincho"/>
          <w:vertAlign w:val="superscript"/>
        </w:rPr>
        <w:t>12</w:t>
      </w:r>
      <w:r>
        <w:rPr>
          <w:rFonts w:eastAsia="MS Mincho"/>
        </w:rPr>
        <w:t xml:space="preserve">, </w:t>
      </w:r>
      <w:r w:rsidRPr="00834D7E">
        <w:t xml:space="preserve">Harald </w:t>
      </w:r>
      <w:r>
        <w:t xml:space="preserve">F. </w:t>
      </w:r>
      <w:r w:rsidRPr="00834D7E">
        <w:t>Langer</w:t>
      </w:r>
      <w:r w:rsidRPr="00000ACA">
        <w:rPr>
          <w:vertAlign w:val="superscript"/>
        </w:rPr>
        <w:t>2,3,4</w:t>
      </w:r>
      <w:r>
        <w:rPr>
          <w:vertAlign w:val="superscript"/>
        </w:rPr>
        <w:t>,6,7</w:t>
      </w:r>
      <w:r w:rsidRPr="00A50A92">
        <w:rPr>
          <w:b/>
          <w:bCs/>
          <w:vertAlign w:val="superscript"/>
        </w:rPr>
        <w:t>†</w:t>
      </w:r>
      <w:r>
        <w:t xml:space="preserve">, </w:t>
      </w:r>
      <w:r w:rsidRPr="00834D7E">
        <w:t>Daniel Duerschmied</w:t>
      </w:r>
      <w:r>
        <w:rPr>
          <w:vertAlign w:val="superscript"/>
        </w:rPr>
        <w:t>2,3,4,7</w:t>
      </w:r>
      <w:r w:rsidRPr="00A50A92">
        <w:rPr>
          <w:b/>
          <w:bCs/>
          <w:vertAlign w:val="superscript"/>
        </w:rPr>
        <w:t>†</w:t>
      </w:r>
    </w:p>
    <w:p w14:paraId="14C349DF" w14:textId="77777777" w:rsidR="002741B8" w:rsidRPr="00A51A89" w:rsidRDefault="002741B8" w:rsidP="002741B8"/>
    <w:p w14:paraId="22F5B459" w14:textId="50F52D57" w:rsidR="002741B8" w:rsidRPr="00A51A89" w:rsidRDefault="002741B8" w:rsidP="002741B8">
      <w:proofErr w:type="gramStart"/>
      <w:r w:rsidRPr="00A51A89">
        <w:t>*</w:t>
      </w:r>
      <w:r w:rsidR="007F559F">
        <w:rPr>
          <w:vertAlign w:val="superscript"/>
        </w:rPr>
        <w:t>,</w:t>
      </w:r>
      <w:r w:rsidR="007F559F" w:rsidRPr="00A51A89">
        <w:rPr>
          <w:b/>
          <w:bCs/>
          <w:vertAlign w:val="superscript"/>
        </w:rPr>
        <w:t>†</w:t>
      </w:r>
      <w:proofErr w:type="gramEnd"/>
      <w:r w:rsidRPr="00A51A89">
        <w:t>These authors contributed equally to this work.</w:t>
      </w:r>
    </w:p>
    <w:p w14:paraId="471486FC" w14:textId="77777777" w:rsidR="002741B8" w:rsidRPr="00A51A89" w:rsidRDefault="002741B8" w:rsidP="002741B8"/>
    <w:p w14:paraId="798B446A" w14:textId="77777777" w:rsidR="002741B8" w:rsidRDefault="002741B8" w:rsidP="002741B8">
      <w:r w:rsidRPr="00A51A89">
        <w:t>†Corresponding Authors:</w:t>
      </w:r>
    </w:p>
    <w:p w14:paraId="6ECC92A9" w14:textId="77777777" w:rsidR="002741B8" w:rsidRPr="00A51A89" w:rsidRDefault="002741B8" w:rsidP="002741B8">
      <w:r w:rsidRPr="00A51A89">
        <w:t xml:space="preserve">Prof. Dr. Daniel </w:t>
      </w:r>
      <w:proofErr w:type="spellStart"/>
      <w:r w:rsidRPr="00A51A89">
        <w:t>Duerschmied</w:t>
      </w:r>
      <w:proofErr w:type="spellEnd"/>
    </w:p>
    <w:p w14:paraId="39235CD9" w14:textId="77777777" w:rsidR="002741B8" w:rsidRPr="00A51A89" w:rsidRDefault="002741B8" w:rsidP="002741B8">
      <w:r w:rsidRPr="00A51A89">
        <w:t>Medical Centre Mannheim, Medical Faculty Mannheim, Heidelberg University, Germany</w:t>
      </w:r>
    </w:p>
    <w:p w14:paraId="1CADC9A0" w14:textId="77777777" w:rsidR="002741B8" w:rsidRPr="00A51A89" w:rsidRDefault="002741B8" w:rsidP="002741B8">
      <w:hyperlink r:id="rId8" w:history="1">
        <w:r w:rsidRPr="00F73A1F">
          <w:rPr>
            <w:rStyle w:val="Hyperlink"/>
          </w:rPr>
          <w:t>Daniel.duerschmied@umm.de</w:t>
        </w:r>
      </w:hyperlink>
      <w:r>
        <w:t xml:space="preserve"> </w:t>
      </w:r>
      <w:r w:rsidRPr="00A51A89">
        <w:t xml:space="preserve">  </w:t>
      </w:r>
      <w:r>
        <w:t xml:space="preserve"> </w:t>
      </w:r>
    </w:p>
    <w:p w14:paraId="521CBBF7" w14:textId="77777777" w:rsidR="002741B8" w:rsidRPr="00A51A89" w:rsidRDefault="002741B8" w:rsidP="002741B8">
      <w:r w:rsidRPr="00A51A89">
        <w:t>Prof. Dr. Harald F. Langer</w:t>
      </w:r>
    </w:p>
    <w:p w14:paraId="3363DF74" w14:textId="77777777" w:rsidR="002741B8" w:rsidRPr="00A51A89" w:rsidRDefault="002741B8" w:rsidP="002741B8">
      <w:r w:rsidRPr="00A51A89">
        <w:t>Medical Centre Mannheim, Medical Faculty Mannheim, Heidelberg University, Germany</w:t>
      </w:r>
    </w:p>
    <w:p w14:paraId="5475F6B9" w14:textId="19802E20" w:rsidR="002741B8" w:rsidRDefault="002741B8" w:rsidP="002741B8">
      <w:hyperlink r:id="rId9" w:history="1">
        <w:r w:rsidRPr="00F73A1F">
          <w:rPr>
            <w:rStyle w:val="Hyperlink"/>
          </w:rPr>
          <w:t>Harald.langer@umm.de</w:t>
        </w:r>
      </w:hyperlink>
      <w:r>
        <w:t xml:space="preserve"> </w:t>
      </w:r>
      <w:r>
        <w:br w:type="page"/>
      </w:r>
    </w:p>
    <w:p w14:paraId="7A179419" w14:textId="61412D46" w:rsidR="009E6204" w:rsidRDefault="009E6204" w:rsidP="002741B8">
      <w:pPr>
        <w:pStyle w:val="Heading1"/>
      </w:pPr>
      <w:r>
        <w:lastRenderedPageBreak/>
        <w:t>Supplementary Methods &amp; Materials</w:t>
      </w:r>
    </w:p>
    <w:p w14:paraId="1006C57F" w14:textId="44AE9F06" w:rsidR="00B51FEB" w:rsidRPr="002741B8" w:rsidRDefault="00B51FEB" w:rsidP="002741B8">
      <w:pPr>
        <w:pStyle w:val="Heading1"/>
      </w:pPr>
      <w:r w:rsidRPr="002741B8">
        <w:t>Animals</w:t>
      </w:r>
    </w:p>
    <w:p w14:paraId="6ED35AB2" w14:textId="37F20269" w:rsidR="00B51FEB" w:rsidRPr="00B51FEB" w:rsidRDefault="00B51FEB" w:rsidP="002741B8">
      <w:r w:rsidRPr="00B51FEB">
        <w:t xml:space="preserve">Male mice aged 10–14 weeks on a C57BL/6J background were used throughout the study. Platelet-specific C5aR1–deficient mice were generated by crossing B6.C5aR1^tm1Jko mice carrying a </w:t>
      </w:r>
      <w:proofErr w:type="spellStart"/>
      <w:r w:rsidRPr="00B51FEB">
        <w:t>floxed</w:t>
      </w:r>
      <w:proofErr w:type="spellEnd"/>
      <w:r w:rsidRPr="00B51FEB">
        <w:t xml:space="preserve"> C5aR1 allele with B6.Tg(Pf4-Cre)Q3Rsko/J mice, resulting in C5aR1^fl/fl;Pf4-Cre</w:t>
      </w:r>
      <w:r w:rsidRPr="00B51FEB">
        <w:rPr>
          <w:rFonts w:ascii="Cambria Math" w:hAnsi="Cambria Math" w:cs="Cambria Math"/>
        </w:rPr>
        <w:t>⁺</w:t>
      </w:r>
      <w:r w:rsidRPr="00B51FEB">
        <w:t xml:space="preserve"> animals. Cre-negative littermates (C5aR1^fl/fl;Pf4-Cre</w:t>
      </w:r>
      <w:r w:rsidRPr="00B51FEB">
        <w:rPr>
          <w:rFonts w:ascii="Cambria Math" w:hAnsi="Cambria Math" w:cs="Cambria Math"/>
        </w:rPr>
        <w:t>⁻</w:t>
      </w:r>
      <w:r w:rsidRPr="00B51FEB">
        <w:t xml:space="preserve">) served as controls. </w:t>
      </w:r>
      <w:r w:rsidR="00C3541C" w:rsidRPr="00C3541C">
        <w:t xml:space="preserve">This platelet-specific C5aR1 knockout mouse line has been extensively characterized previously, including whole blood counts, platelet aggregation, bleeding time, platelet activation, and vascular phenotyping, and shows no baseline hematologic or hemostatic abnormalities under steady-state conditions (Nording </w:t>
      </w:r>
      <w:r w:rsidR="00C3541C" w:rsidRPr="00C3541C">
        <w:rPr>
          <w:i/>
          <w:iCs/>
        </w:rPr>
        <w:t>et al.</w:t>
      </w:r>
      <w:r w:rsidR="00C3541C" w:rsidRPr="00C3541C">
        <w:t xml:space="preserve">, </w:t>
      </w:r>
      <w:r w:rsidR="00C3541C" w:rsidRPr="00C3541C">
        <w:rPr>
          <w:i/>
          <w:iCs/>
        </w:rPr>
        <w:t>Nat Commun</w:t>
      </w:r>
      <w:r w:rsidR="00C3541C" w:rsidRPr="00C3541C">
        <w:t xml:space="preserve"> 2021).</w:t>
      </w:r>
    </w:p>
    <w:p w14:paraId="0F2460BE" w14:textId="4D617FA5" w:rsidR="00B51FEB" w:rsidRPr="00B51FEB" w:rsidRDefault="00B51FEB" w:rsidP="00A51A89">
      <w:r w:rsidRPr="00B51FEB">
        <w:t>All animal experiments were approved by the regional authorities of Baden-Württemberg (</w:t>
      </w:r>
      <w:proofErr w:type="spellStart"/>
      <w:r w:rsidRPr="00B51FEB">
        <w:t>Regierungspräsidium</w:t>
      </w:r>
      <w:proofErr w:type="spellEnd"/>
      <w:r w:rsidRPr="00B51FEB">
        <w:t xml:space="preserve"> Freiburg, approval no. 35-9185.81/G-20/105) and conducted in accordance with the German Animal Welfare Act.</w:t>
      </w:r>
    </w:p>
    <w:p w14:paraId="01A00888" w14:textId="4340B30E" w:rsidR="00B51FEB" w:rsidRPr="00B51FEB" w:rsidRDefault="00B51FEB" w:rsidP="002741B8">
      <w:pPr>
        <w:pStyle w:val="Heading1"/>
      </w:pPr>
      <w:r w:rsidRPr="00B51FEB">
        <w:t>Experimental Timeline</w:t>
      </w:r>
    </w:p>
    <w:p w14:paraId="73740306" w14:textId="77777777" w:rsidR="00B51FEB" w:rsidRPr="00B51FEB" w:rsidRDefault="00B51FEB" w:rsidP="00A51A89">
      <w:r w:rsidRPr="00B51FEB">
        <w:t>Day 0: Subcutaneous injection of PMX205 or PBS (where applicable), followed 4 h later by permanent LAD ligation</w:t>
      </w:r>
      <w:r w:rsidRPr="00B51FEB">
        <w:br/>
        <w:t>Day 1: Echocardiography and blood collection</w:t>
      </w:r>
      <w:r w:rsidRPr="00B51FEB">
        <w:br/>
        <w:t>Days 2–12: Daily subcutaneous PMX205 or PBS administration</w:t>
      </w:r>
      <w:r w:rsidRPr="00B51FEB">
        <w:br/>
        <w:t>Day 13: Echocardiography</w:t>
      </w:r>
      <w:r w:rsidRPr="00B51FEB">
        <w:br/>
        <w:t>Day 14: Terminal anesthesia, blood collection, cardiac perfusion, and tissue harvest</w:t>
      </w:r>
    </w:p>
    <w:p w14:paraId="06C4EAE5" w14:textId="77777777" w:rsidR="00B51FEB" w:rsidRPr="00B51FEB" w:rsidRDefault="00B51FEB" w:rsidP="002741B8">
      <w:pPr>
        <w:pStyle w:val="Heading1"/>
      </w:pPr>
      <w:r w:rsidRPr="00B51FEB">
        <w:t>Myocardial Infarction Surgery and Perioperative Care</w:t>
      </w:r>
    </w:p>
    <w:p w14:paraId="61A3FD5C" w14:textId="77777777" w:rsidR="00B51FEB" w:rsidRPr="00B51FEB" w:rsidRDefault="00B51FEB" w:rsidP="00A51A89">
      <w:r w:rsidRPr="00B51FEB">
        <w:t>Permanent, non-</w:t>
      </w:r>
      <w:proofErr w:type="spellStart"/>
      <w:r w:rsidRPr="00B51FEB">
        <w:t>reperfused</w:t>
      </w:r>
      <w:proofErr w:type="spellEnd"/>
      <w:r w:rsidRPr="00B51FEB">
        <w:t xml:space="preserve"> myocardial infarction was induced by ligation of the left anterior descending (LAD) coronary artery. To ensure adequate peri- and postoperative analgesia, mice received buprenorphine (0.1 mg/kg, subcutaneous) 30 min prior to surgery.</w:t>
      </w:r>
    </w:p>
    <w:p w14:paraId="6B3B8DC2" w14:textId="77777777" w:rsidR="00B51FEB" w:rsidRPr="00B51FEB" w:rsidRDefault="00B51FEB" w:rsidP="00A51A89">
      <w:r w:rsidRPr="00B51FEB">
        <w:t xml:space="preserve">Anesthesia was induced by intraperitoneal injection of ketamine (100 mg/kg), xylazine (5 mg/kg), and atropine (0.08 mg/kg). To compensate for expected perioperative fluid loss, mice received 20 µL/g body weight of isotonic 5% glucose solution intraperitoneally. Eyes were protected with </w:t>
      </w:r>
      <w:r w:rsidRPr="00B51FEB">
        <w:lastRenderedPageBreak/>
        <w:t>ophthalmic ointment, and animals were placed on a heated surgical table to maintain body temperature at 37 °C.</w:t>
      </w:r>
    </w:p>
    <w:p w14:paraId="66BA356C" w14:textId="77777777" w:rsidR="00B51FEB" w:rsidRPr="00B51FEB" w:rsidRDefault="00B51FEB" w:rsidP="00A51A89">
      <w:r w:rsidRPr="00B51FEB">
        <w:t xml:space="preserve">For intubation, mice were positioned supine and anesthesia was deepened by inhalation of isoflurane (2.5–4%). Orotracheal intubation was performed under direct visualization, and animals were mechanically ventilated using a small-animal ventilator under continuous oxygen and isoflurane delivery (PEEP 5 mbar; </w:t>
      </w:r>
      <w:proofErr w:type="spellStart"/>
      <w:r w:rsidRPr="00B51FEB">
        <w:t>FiO</w:t>
      </w:r>
      <w:proofErr w:type="spellEnd"/>
      <w:r w:rsidRPr="00B51FEB">
        <w:rPr>
          <w:rFonts w:ascii="Cambria Math" w:hAnsi="Cambria Math" w:cs="Cambria Math"/>
        </w:rPr>
        <w:t>₂</w:t>
      </w:r>
      <w:r w:rsidRPr="00B51FEB">
        <w:t xml:space="preserve"> 0.4; respiratory rate ~110/min; inspiratory/expiratory ratio 1:1.5; maintenance isoflurane 1.5%). Oxygen saturation, heart rate, and respiratory rate were monitored throughout the procedure using a pulse oximetry system.</w:t>
      </w:r>
    </w:p>
    <w:p w14:paraId="2C007EE9" w14:textId="77777777" w:rsidR="00B51FEB" w:rsidRPr="001F5776" w:rsidRDefault="00B51FEB" w:rsidP="00A51A89">
      <w:r w:rsidRPr="00B51FEB">
        <w:t>After induction of stable anesthesia, a left lateral thoracotomy was performed. The intercostal space was opened at the level of the fourth rib, a retractor was inserted, and the pericardium was carefully opened. The LAD was identified under microscopic visualization and ligated in the proximal portion of the mid-course using an 8-0 Prolene suture.</w:t>
      </w:r>
    </w:p>
    <w:p w14:paraId="10A06A72" w14:textId="2A1184B7" w:rsidR="00B51FEB" w:rsidRPr="00B51FEB" w:rsidRDefault="00B51FEB" w:rsidP="00A51A89">
      <w:r w:rsidRPr="00B51FEB">
        <w:t>To ensure sufficient survival while still inducing robust myocardial injury, medium-sized infarcts were intentionally generated.</w:t>
      </w:r>
    </w:p>
    <w:p w14:paraId="752054B4" w14:textId="77777777" w:rsidR="00B51FEB" w:rsidRPr="00B51FEB" w:rsidRDefault="00B51FEB" w:rsidP="00A51A89">
      <w:r w:rsidRPr="00B51FEB">
        <w:t>Following ligation, the thorax was closed with interrupted sutures. Residual intrathoracic air was evacuated to re-expand the lung, and the chest wall was sealed airtight. The skin was closed with a continuous suture. Mice were extubated after recovery of spontaneous respiration and placed on a warming pad in a quiet environment until fully awake.</w:t>
      </w:r>
    </w:p>
    <w:p w14:paraId="57AF872A" w14:textId="77777777" w:rsidR="0050218A" w:rsidRDefault="00B51FEB" w:rsidP="0050218A">
      <w:r w:rsidRPr="00B51FEB">
        <w:t>Postoperative analgesia with buprenorphine was continued at regular intervals for at least 72 h, with extension as required based on clinical assessment.</w:t>
      </w:r>
    </w:p>
    <w:p w14:paraId="72BF6C94" w14:textId="77777777" w:rsidR="0050218A" w:rsidRDefault="0050218A" w:rsidP="0050218A"/>
    <w:p w14:paraId="2764C767" w14:textId="77777777" w:rsidR="0050218A" w:rsidRDefault="00B51FEB" w:rsidP="0050218A">
      <w:pPr>
        <w:pStyle w:val="Heading1"/>
      </w:pPr>
      <w:r w:rsidRPr="00B51FEB">
        <w:t>Pharmacological C5aR1 Inhibition</w:t>
      </w:r>
    </w:p>
    <w:p w14:paraId="71C651CB" w14:textId="705C7E43" w:rsidR="00470BE2" w:rsidRPr="0050218A" w:rsidRDefault="00470BE2" w:rsidP="0050218A">
      <w:r w:rsidRPr="00470BE2">
        <w:t>Pharmacological C5aR1 inhibition. For pharmacological inhibition experiments, wild-type mice received the selective C5aR1 antagonist PMX205 (</w:t>
      </w:r>
      <w:proofErr w:type="spellStart"/>
      <w:r w:rsidRPr="00470BE2">
        <w:t>Tocris</w:t>
      </w:r>
      <w:proofErr w:type="spellEnd"/>
      <w:r w:rsidRPr="00470BE2">
        <w:t>/Bio-</w:t>
      </w:r>
      <w:proofErr w:type="gramStart"/>
      <w:r w:rsidRPr="00470BE2">
        <w:t>Techne;</w:t>
      </w:r>
      <w:proofErr w:type="gramEnd"/>
      <w:r w:rsidRPr="00470BE2">
        <w:t xml:space="preserve"> Cat. No. 5196; CAS 514814-49-4). PMX205 (lyophilized peptide) was dissolved in sterile PBS by adding solvent directly to the vial followed by vigorous </w:t>
      </w:r>
      <w:proofErr w:type="spellStart"/>
      <w:r w:rsidRPr="00470BE2">
        <w:t>vortexing</w:t>
      </w:r>
      <w:proofErr w:type="spellEnd"/>
      <w:r w:rsidRPr="00470BE2">
        <w:t xml:space="preserve"> and, if required, brief sonication to ensure complete dissolution (stock ≤ 1 mg/mL), in accordance with the manufacturer’s solubility guidance. Solutions were prepared using sterile technique and aliquoted and stored at −20 °C to avoid repeated freeze–thaw cycles (aliquots were thawed once and unused remainder </w:t>
      </w:r>
      <w:r w:rsidRPr="00470BE2">
        <w:lastRenderedPageBreak/>
        <w:t>discarded).  PMX205 was administered subcutaneously at 1 mg/kg (maximum injection volume 10 µL/g body weight). The first dose was given 4 h prior to permanent LAD ligation, followed by once-daily injections until sacrifice.</w:t>
      </w:r>
    </w:p>
    <w:p w14:paraId="4BA2EC22" w14:textId="77777777" w:rsidR="003926D5" w:rsidRDefault="00B51FEB" w:rsidP="003926D5">
      <w:pPr>
        <w:pStyle w:val="Heading1"/>
      </w:pPr>
      <w:r w:rsidRPr="00B51FEB">
        <w:t>Echocardiography</w:t>
      </w:r>
    </w:p>
    <w:p w14:paraId="146023B1" w14:textId="1670AB79" w:rsidR="003926D5" w:rsidRPr="003926D5" w:rsidRDefault="003926D5" w:rsidP="003926D5">
      <w:pPr>
        <w:rPr>
          <w:rFonts w:eastAsiaTheme="majorEastAsia"/>
          <w:b/>
          <w:bCs/>
          <w:color w:val="000000" w:themeColor="text1"/>
        </w:rPr>
      </w:pPr>
      <w:r w:rsidRPr="003926D5">
        <w:t xml:space="preserve">Transthoracic echocardiography was performed using a Vevo 3100 imaging system (FUJIFILM </w:t>
      </w:r>
      <w:proofErr w:type="spellStart"/>
      <w:r w:rsidRPr="003926D5">
        <w:t>VisualSonics</w:t>
      </w:r>
      <w:proofErr w:type="spellEnd"/>
      <w:r w:rsidRPr="003926D5">
        <w:t>) operated with Vevo LAB software and equipped with a 25–55 MHz linear array transducer. Mice were anesthetized with isoflurane (3% induction, 1.5–2% maintenance) and placed on a heated platform to maintain body temperature at 37 °C.</w:t>
      </w:r>
    </w:p>
    <w:p w14:paraId="6454CFE2" w14:textId="7B6EEC56" w:rsidR="003926D5" w:rsidRPr="003926D5" w:rsidRDefault="003926D5" w:rsidP="003926D5">
      <w:r w:rsidRPr="003926D5">
        <w:t>B-mode imaging was obtained from parasternal long-axis (PSLAX) and parasternal short-axis (SAX) views. Left ventricular end-diastolic and end-systolic areas were traced manually in B-mode PSLAX images, and left ventricular ejection fraction (EF) was calculated from these tracings using Vevo LAB software.</w:t>
      </w:r>
    </w:p>
    <w:p w14:paraId="6129D8DF" w14:textId="77777777" w:rsidR="003926D5" w:rsidRDefault="003926D5" w:rsidP="003926D5">
      <w:pPr>
        <w:rPr>
          <w:b/>
          <w:bCs/>
        </w:rPr>
      </w:pPr>
      <w:r w:rsidRPr="003926D5">
        <w:t>M-mode recordings were acquired from PSLAX and SAX views at the mid-papillary muscle level. Left ventricular internal diameters were measured from M-mode images, and fractional shortening (FS) was calculated using standard formulas. All measurements were averaged from three consecutive cardiac cycles and analyzed in a blinded manner.</w:t>
      </w:r>
    </w:p>
    <w:p w14:paraId="0B6D2275" w14:textId="0448351A" w:rsidR="00B51FEB" w:rsidRPr="00B51FEB" w:rsidRDefault="00B51FEB" w:rsidP="003926D5">
      <w:pPr>
        <w:pStyle w:val="Heading1"/>
      </w:pPr>
      <w:r w:rsidRPr="00B51FEB">
        <w:t>TTC Staining and Infarct Size Quantification</w:t>
      </w:r>
    </w:p>
    <w:p w14:paraId="2ADDEBA4" w14:textId="27FAC4E8" w:rsidR="001F5776" w:rsidRPr="001F5776" w:rsidRDefault="001F5776" w:rsidP="00A51A89">
      <w:r w:rsidRPr="001F5776">
        <w:t>Following terminal cardiac puncture and blood collection, hearts were perfused via the left ventricle with phosphate-buffered saline lacking Ca²</w:t>
      </w:r>
      <w:r w:rsidRPr="001F5776">
        <w:rPr>
          <w:rFonts w:ascii="Cambria Math" w:hAnsi="Cambria Math" w:cs="Cambria Math"/>
        </w:rPr>
        <w:t>⁺</w:t>
      </w:r>
      <w:r w:rsidRPr="001F5776">
        <w:t>/Mg²</w:t>
      </w:r>
      <w:r w:rsidRPr="001F5776">
        <w:rPr>
          <w:rFonts w:ascii="Cambria Math" w:hAnsi="Cambria Math" w:cs="Cambria Math"/>
        </w:rPr>
        <w:t>⁺</w:t>
      </w:r>
      <w:r w:rsidRPr="001F5776">
        <w:t xml:space="preserve"> until clearance of blood was evident. Hearts were excised, carefully dissected free of surrounding tissue, wrapped in aluminum foil, and briefly frozen at −20 °C to facilitate uniform sectioning.</w:t>
      </w:r>
    </w:p>
    <w:p w14:paraId="1EA5C441" w14:textId="77777777" w:rsidR="001F5776" w:rsidRPr="001F5776" w:rsidRDefault="001F5776" w:rsidP="00A51A89">
      <w:r w:rsidRPr="001F5776">
        <w:t>Hearts were cut into three transverse slices of 2-mm thickness distal to the LAD ligation site. Sections were incubated in 2,3,5-triphenyltetrazolium chloride (TTC) prepared in a phosphate buffer (</w:t>
      </w:r>
      <w:proofErr w:type="spellStart"/>
      <w:r w:rsidRPr="001F5776">
        <w:t>NaH</w:t>
      </w:r>
      <w:r w:rsidRPr="001F5776">
        <w:rPr>
          <w:rFonts w:ascii="Cambria Math" w:hAnsi="Cambria Math" w:cs="Cambria Math"/>
        </w:rPr>
        <w:t>₂</w:t>
      </w:r>
      <w:r w:rsidRPr="001F5776">
        <w:t>PO</w:t>
      </w:r>
      <w:proofErr w:type="spellEnd"/>
      <w:r w:rsidRPr="001F5776">
        <w:rPr>
          <w:rFonts w:ascii="Cambria Math" w:hAnsi="Cambria Math" w:cs="Cambria Math"/>
        </w:rPr>
        <w:t>₄</w:t>
      </w:r>
      <w:r w:rsidRPr="001F5776">
        <w:t>/</w:t>
      </w:r>
      <w:proofErr w:type="spellStart"/>
      <w:r w:rsidRPr="001F5776">
        <w:t>Na</w:t>
      </w:r>
      <w:r w:rsidRPr="001F5776">
        <w:rPr>
          <w:rFonts w:ascii="Cambria Math" w:hAnsi="Cambria Math" w:cs="Cambria Math"/>
        </w:rPr>
        <w:t>₂</w:t>
      </w:r>
      <w:r w:rsidRPr="001F5776">
        <w:t>HPO</w:t>
      </w:r>
      <w:proofErr w:type="spellEnd"/>
      <w:r w:rsidRPr="001F5776">
        <w:rPr>
          <w:rFonts w:ascii="Cambria Math" w:hAnsi="Cambria Math" w:cs="Cambria Math"/>
        </w:rPr>
        <w:t>₄</w:t>
      </w:r>
      <w:r w:rsidRPr="001F5776">
        <w:t>) titrated to pH 7.4 and equilibrated to 38 °C, for approximately 15 min, to distinguish viable (red) from non-viable (pale) myocardium.</w:t>
      </w:r>
    </w:p>
    <w:p w14:paraId="412AAE3B" w14:textId="3D77854D" w:rsidR="00B51FEB" w:rsidRPr="00B51FEB" w:rsidRDefault="001F5776" w:rsidP="00A51A89">
      <w:r w:rsidRPr="001F5776">
        <w:t xml:space="preserve">After staining, slices were rinsed, imaged under standardized conditions, and infarct size was quantified using ImageJ/Fiji by color-threshold analysis. Infarct size was expressed as the </w:t>
      </w:r>
      <w:r w:rsidRPr="001F5776">
        <w:lastRenderedPageBreak/>
        <w:t>percentage of non-viable myocardium relative to total left ventricular area, averaged across all slices per heart.</w:t>
      </w:r>
    </w:p>
    <w:p w14:paraId="1D6AE866" w14:textId="77777777" w:rsidR="00B51FEB" w:rsidRPr="00B51FEB" w:rsidRDefault="00B51FEB" w:rsidP="002741B8">
      <w:pPr>
        <w:pStyle w:val="Heading1"/>
      </w:pPr>
      <w:r w:rsidRPr="00B51FEB">
        <w:t>Blood Collection and Flow Cytometry</w:t>
      </w:r>
    </w:p>
    <w:p w14:paraId="7B365277" w14:textId="77777777" w:rsidR="00DA532F" w:rsidRDefault="00DA532F" w:rsidP="00A51A89">
      <w:r>
        <w:t xml:space="preserve">Terminal blood was collected by cardiac puncture using syringes coated with sodium heparin (25,000 IU/mL; </w:t>
      </w:r>
      <w:proofErr w:type="spellStart"/>
      <w:r>
        <w:t>Ratiopharm</w:t>
      </w:r>
      <w:proofErr w:type="spellEnd"/>
      <w:r>
        <w:t>) and immediately supplemented with enoxaparin (final concentration 150 µg/mL; Clexane®, Sanofi) to prevent clotting and platelet activation. A portion of the blood was reserved for plasma and serum preparation, while anticoagulated whole blood was used for flow cytometry.</w:t>
      </w:r>
    </w:p>
    <w:p w14:paraId="0D9AA25A" w14:textId="458E328E" w:rsidR="00F707B9" w:rsidRPr="00F707B9" w:rsidRDefault="00F707B9" w:rsidP="00A51A89">
      <w:r w:rsidRPr="00F707B9">
        <w:t>Whole blood was diluted 1:9 in PBS containing Ca²</w:t>
      </w:r>
      <w:r w:rsidRPr="00F707B9">
        <w:rPr>
          <w:rFonts w:ascii="Cambria Math" w:hAnsi="Cambria Math" w:cs="Cambria Math"/>
        </w:rPr>
        <w:t>⁺</w:t>
      </w:r>
      <w:r w:rsidRPr="00F707B9">
        <w:t xml:space="preserve"> and Mg²</w:t>
      </w:r>
      <w:r w:rsidRPr="00F707B9">
        <w:rPr>
          <w:rFonts w:ascii="Cambria Math" w:hAnsi="Cambria Math" w:cs="Cambria Math"/>
        </w:rPr>
        <w:t>⁺</w:t>
      </w:r>
      <w:r w:rsidRPr="00F707B9">
        <w:t xml:space="preserve"> (pre-warmed to room temperature). For stimulation experiments, diluted samples were incubated with phorbol 12-myristate 13-acetate (PMA; 100 </w:t>
      </w:r>
      <w:proofErr w:type="spellStart"/>
      <w:r w:rsidRPr="00F707B9">
        <w:t>nM</w:t>
      </w:r>
      <w:proofErr w:type="spellEnd"/>
      <w:r w:rsidRPr="00F707B9">
        <w:t xml:space="preserve"> final concentration) or vehicle control for 15 min at room temperature.</w:t>
      </w:r>
    </w:p>
    <w:p w14:paraId="005301B5" w14:textId="77777777" w:rsidR="00F707B9" w:rsidRPr="00F707B9" w:rsidRDefault="00F707B9" w:rsidP="00A51A89">
      <w:r w:rsidRPr="00F707B9">
        <w:t xml:space="preserve">Following stimulation, 90 µL of diluted blood was added to pre-prepared antibody mixes and incubated for 15 min at room temperature in the dark. Platelet activation and platelet–leukocyte interactions were assessed using fluorophore-conjugated antibodies directed against CD42b (platelets), P-selectin (CD62P), and activated </w:t>
      </w:r>
      <w:proofErr w:type="spellStart"/>
      <w:r w:rsidRPr="00F707B9">
        <w:t>GPIIb</w:t>
      </w:r>
      <w:proofErr w:type="spellEnd"/>
      <w:r w:rsidRPr="00F707B9">
        <w:t>/IIIa (CD41/61), as well as leukocyte markers for neutrophils (Ly6G) and monocytes (CD115). Corresponding isotype controls were included for each staining panel.</w:t>
      </w:r>
    </w:p>
    <w:p w14:paraId="0B753A46" w14:textId="77777777" w:rsidR="00F707B9" w:rsidRPr="00F707B9" w:rsidRDefault="00F707B9" w:rsidP="00A51A89">
      <w:r w:rsidRPr="00F707B9">
        <w:t xml:space="preserve">After antibody incubation, samples were fixed and erythrocytes lysed using BD </w:t>
      </w:r>
      <w:proofErr w:type="spellStart"/>
      <w:r w:rsidRPr="00F707B9">
        <w:t>Phosflow</w:t>
      </w:r>
      <w:proofErr w:type="spellEnd"/>
      <w:r w:rsidRPr="00F707B9">
        <w:t xml:space="preserve"> Lyse/Fix buffer (pre-warmed to 37 °C) for 30 min at room temperature in the dark. Cells were washed, resuspended in PBS containing Ca²</w:t>
      </w:r>
      <w:r w:rsidRPr="00F707B9">
        <w:rPr>
          <w:rFonts w:ascii="Cambria Math" w:hAnsi="Cambria Math" w:cs="Cambria Math"/>
        </w:rPr>
        <w:t>⁺</w:t>
      </w:r>
      <w:r w:rsidRPr="00F707B9">
        <w:t>/Mg²</w:t>
      </w:r>
      <w:r w:rsidRPr="00F707B9">
        <w:rPr>
          <w:rFonts w:ascii="Cambria Math" w:hAnsi="Cambria Math" w:cs="Cambria Math"/>
        </w:rPr>
        <w:t>⁺</w:t>
      </w:r>
      <w:r w:rsidRPr="00F707B9">
        <w:t>, filtered through cell strainers, and transferred to FACS tubes for acquisition.</w:t>
      </w:r>
    </w:p>
    <w:p w14:paraId="061D2303" w14:textId="29C69326" w:rsidR="00B51FEB" w:rsidRPr="00B51FEB" w:rsidRDefault="00F707B9" w:rsidP="00A51A89">
      <w:r w:rsidRPr="00F707B9">
        <w:t xml:space="preserve">Data were acquired on a BD </w:t>
      </w:r>
      <w:proofErr w:type="spellStart"/>
      <w:r w:rsidRPr="00F707B9">
        <w:t>FACSCanto</w:t>
      </w:r>
      <w:proofErr w:type="spellEnd"/>
      <w:r w:rsidRPr="00F707B9">
        <w:t xml:space="preserve"> II flow cytometer at low flow rate. Platelets were identified as CD42b</w:t>
      </w:r>
      <w:r w:rsidRPr="00F707B9">
        <w:rPr>
          <w:rFonts w:ascii="Cambria Math" w:hAnsi="Cambria Math" w:cs="Cambria Math"/>
        </w:rPr>
        <w:t>⁺</w:t>
      </w:r>
      <w:r w:rsidRPr="00F707B9">
        <w:t xml:space="preserve"> events, and acquisition was stopped after collection of a predefined number of platelet events. Platelet–neutrophil complexes (PNCs) and platelet–monocyte complexes (PMCs) were defined as CD42b</w:t>
      </w:r>
      <w:r w:rsidRPr="00F707B9">
        <w:rPr>
          <w:rFonts w:ascii="Cambria Math" w:hAnsi="Cambria Math" w:cs="Cambria Math"/>
        </w:rPr>
        <w:t>⁺</w:t>
      </w:r>
      <w:r w:rsidRPr="00F707B9">
        <w:t>Ly6G</w:t>
      </w:r>
      <w:r w:rsidRPr="00F707B9">
        <w:rPr>
          <w:rFonts w:ascii="Cambria Math" w:hAnsi="Cambria Math" w:cs="Cambria Math"/>
        </w:rPr>
        <w:t>⁺</w:t>
      </w:r>
      <w:r w:rsidRPr="00F707B9">
        <w:t xml:space="preserve"> and CD42b</w:t>
      </w:r>
      <w:r w:rsidRPr="00F707B9">
        <w:rPr>
          <w:rFonts w:ascii="Cambria Math" w:hAnsi="Cambria Math" w:cs="Cambria Math"/>
        </w:rPr>
        <w:t>⁺</w:t>
      </w:r>
      <w:r w:rsidRPr="00F707B9">
        <w:t>CD115</w:t>
      </w:r>
      <w:r w:rsidRPr="00F707B9">
        <w:rPr>
          <w:rFonts w:ascii="Cambria Math" w:hAnsi="Cambria Math" w:cs="Cambria Math"/>
        </w:rPr>
        <w:t>⁺</w:t>
      </w:r>
      <w:r w:rsidRPr="00F707B9">
        <w:t xml:space="preserve"> events, respectively. Platelet </w:t>
      </w:r>
      <w:r w:rsidRPr="00CE16CA">
        <w:t xml:space="preserve">activation was quantified by surface expression of P-selectin and activated </w:t>
      </w:r>
      <w:proofErr w:type="spellStart"/>
      <w:r w:rsidRPr="00CE16CA">
        <w:t>GPIIb</w:t>
      </w:r>
      <w:proofErr w:type="spellEnd"/>
      <w:r w:rsidRPr="00CE16CA">
        <w:t xml:space="preserve">/IIIa. Data analysis was performed using </w:t>
      </w:r>
      <w:proofErr w:type="spellStart"/>
      <w:r w:rsidRPr="00CE16CA">
        <w:t>FlowJo</w:t>
      </w:r>
      <w:proofErr w:type="spellEnd"/>
      <w:r w:rsidRPr="00CE16CA">
        <w:t xml:space="preserve"> software. Gating strategies are shown in Supplementary Figure </w:t>
      </w:r>
      <w:r w:rsidR="00CE16CA" w:rsidRPr="00CE16CA">
        <w:t>1 &amp; 4</w:t>
      </w:r>
      <w:r w:rsidRPr="00CE16CA">
        <w:t>.</w:t>
      </w:r>
    </w:p>
    <w:p w14:paraId="6914CEA0" w14:textId="77777777" w:rsidR="00CE6D4D" w:rsidRPr="00CE6D4D" w:rsidRDefault="00CE6D4D" w:rsidP="002741B8">
      <w:pPr>
        <w:pStyle w:val="Heading1"/>
      </w:pPr>
      <w:r w:rsidRPr="00CE6D4D">
        <w:lastRenderedPageBreak/>
        <w:t>Isolation of mouse neutrophils from bone marrow</w:t>
      </w:r>
    </w:p>
    <w:p w14:paraId="5E47B414" w14:textId="77777777" w:rsidR="00CE6D4D" w:rsidRPr="00CE6D4D" w:rsidRDefault="00CE6D4D" w:rsidP="00A51A89">
      <w:r w:rsidRPr="00CE6D4D">
        <w:t>Bone marrow–derived neutrophils were isolated using a negative selection strategy with a commercial mouse neutrophil isolation kit (</w:t>
      </w:r>
      <w:proofErr w:type="spellStart"/>
      <w:r w:rsidRPr="00CE6D4D">
        <w:t>Miltenyi</w:t>
      </w:r>
      <w:proofErr w:type="spellEnd"/>
      <w:r w:rsidRPr="00CE6D4D">
        <w:t xml:space="preserve"> Biotec) according to the manufacturer’s instructions with minor modifications.</w:t>
      </w:r>
    </w:p>
    <w:p w14:paraId="7FD448F1" w14:textId="3AFD5C91" w:rsidR="00CE6D4D" w:rsidRPr="00CE6D4D" w:rsidRDefault="00CE6D4D" w:rsidP="00A51A89">
      <w:r w:rsidRPr="00CE6D4D">
        <w:t>Femurs and tibias were harvested from mice and flushed with DPBS without Ca²</w:t>
      </w:r>
      <w:r w:rsidRPr="00CE6D4D">
        <w:rPr>
          <w:rFonts w:ascii="Cambria Math" w:hAnsi="Cambria Math" w:cs="Cambria Math"/>
        </w:rPr>
        <w:t>⁺</w:t>
      </w:r>
      <w:r w:rsidRPr="00CE6D4D">
        <w:t>/Mg²</w:t>
      </w:r>
      <w:r w:rsidRPr="00CE6D4D">
        <w:rPr>
          <w:rFonts w:ascii="Cambria Math" w:hAnsi="Cambria Math" w:cs="Cambria Math"/>
        </w:rPr>
        <w:t>⁺</w:t>
      </w:r>
      <w:r w:rsidRPr="00CE6D4D">
        <w:t xml:space="preserve"> using a syringe and cannula. Bone marrow suspensions were passed through 30-µm pre-separation filters, pelleted by centrifugation (300 × g, 10 min</w:t>
      </w:r>
      <w:r w:rsidR="00C74B5A">
        <w:t xml:space="preserve">, 22 </w:t>
      </w:r>
      <w:r w:rsidR="00C74B5A" w:rsidRPr="00CE6D4D">
        <w:t>°C</w:t>
      </w:r>
      <w:r w:rsidRPr="00CE6D4D">
        <w:t>), and resuspended in MACS buffer (PBS supplemented with 0.5% BSA and 2 mM EDTA, kept at 4 °C).</w:t>
      </w:r>
    </w:p>
    <w:p w14:paraId="0DFF320D" w14:textId="77777777" w:rsidR="00CE6D4D" w:rsidRPr="00CE6D4D" w:rsidRDefault="00CE6D4D" w:rsidP="00A51A89">
      <w:r w:rsidRPr="00CE6D4D">
        <w:t>Total cell numbers were determined using a Neubauer counting chamber. Up to 5 × 10⁷ total bone marrow cells were incubated with a biotin-conjugated antibody cocktail targeting non-neutrophil lineages for 10 min at 4 °C, followed by incubation with anti-biotin magnetic microbeads for 15 min at 4 °C.</w:t>
      </w:r>
    </w:p>
    <w:p w14:paraId="122FD0CD" w14:textId="77777777" w:rsidR="00CE6D4D" w:rsidRPr="00CE6D4D" w:rsidRDefault="00CE6D4D" w:rsidP="00A51A89">
      <w:r w:rsidRPr="00CE6D4D">
        <w:t xml:space="preserve">Cell suspensions were applied to LS magnetic columns placed in a </w:t>
      </w:r>
      <w:proofErr w:type="spellStart"/>
      <w:r w:rsidRPr="00CE6D4D">
        <w:t>MidiMACS</w:t>
      </w:r>
      <w:proofErr w:type="spellEnd"/>
      <w:r w:rsidRPr="00CE6D4D">
        <w:t xml:space="preserve"> separator. The flow-through fraction, containing unlabeled neutrophils, was collected and washed. Purified neutrophils were pelleted and resuspended in appropriate culture medium at the desired concentration for downstream applications.</w:t>
      </w:r>
    </w:p>
    <w:p w14:paraId="05088DF6" w14:textId="16E26AE2" w:rsidR="00CD4BDF" w:rsidRDefault="00CE6D4D" w:rsidP="00A51A89">
      <w:r w:rsidRPr="00CE6D4D">
        <w:t>Neutrophil purity and yield were assessed by</w:t>
      </w:r>
      <w:r w:rsidR="00CF3625">
        <w:t xml:space="preserve"> flow cytometry and</w:t>
      </w:r>
      <w:r w:rsidRPr="00CE6D4D">
        <w:t xml:space="preserve"> cell counting and were consistently sufficient </w:t>
      </w:r>
      <w:r w:rsidR="00F03ACF">
        <w:t xml:space="preserve">(purity &gt; 95%) </w:t>
      </w:r>
      <w:r w:rsidRPr="00CE6D4D">
        <w:t>for subsequent co-culture and stimulation experiments.</w:t>
      </w:r>
    </w:p>
    <w:p w14:paraId="0332C457" w14:textId="77777777" w:rsidR="00CD4BDF" w:rsidRPr="00CD4BDF" w:rsidRDefault="00CD4BDF" w:rsidP="002741B8">
      <w:pPr>
        <w:pStyle w:val="Heading1"/>
      </w:pPr>
      <w:r w:rsidRPr="00CD4BDF">
        <w:t>Isolation of murine platelets</w:t>
      </w:r>
    </w:p>
    <w:p w14:paraId="4DA2E59E" w14:textId="77777777" w:rsidR="00CD4BDF" w:rsidRPr="00CD4BDF" w:rsidRDefault="00CD4BDF" w:rsidP="00A51A89">
      <w:r w:rsidRPr="00CD4BDF">
        <w:t>Murine platelets were isolated from whole blood by differential centrifugation under conditions minimizing activation. Blood was collected by cardiac puncture into acid–citrate–dextrose (ACD) anticoagulant and centrifuged at low speed to obtain platelet-rich plasma (PRP). PRP was washed by centrifugation to pellet platelets.</w:t>
      </w:r>
    </w:p>
    <w:p w14:paraId="76562517" w14:textId="011D49D8" w:rsidR="00CD4BDF" w:rsidRPr="002741B8" w:rsidRDefault="00CD4BDF" w:rsidP="00A51A89">
      <w:r w:rsidRPr="00CD4BDF">
        <w:t xml:space="preserve">The platelet pellet was first resuspended in HEPES-buffered Tyrode’s solution adjusted to pH 6.5, followed by resuspension in Tyrode’s solution adjusted to pH 7.4 for experimental use. Prior to stimulation or co-incubation, Tyrode’s buffer was supplemented with 1 mM </w:t>
      </w:r>
      <w:proofErr w:type="spellStart"/>
      <w:r w:rsidRPr="00CD4BDF">
        <w:t>CaCl</w:t>
      </w:r>
      <w:proofErr w:type="spellEnd"/>
      <w:r w:rsidRPr="00CD4BDF">
        <w:rPr>
          <w:rFonts w:ascii="Cambria Math" w:hAnsi="Cambria Math" w:cs="Cambria Math"/>
        </w:rPr>
        <w:t>₂</w:t>
      </w:r>
      <w:r w:rsidRPr="00CD4BDF">
        <w:t xml:space="preserve"> and 1 mM </w:t>
      </w:r>
      <w:proofErr w:type="spellStart"/>
      <w:r w:rsidRPr="00CD4BDF">
        <w:t>MgCl</w:t>
      </w:r>
      <w:proofErr w:type="spellEnd"/>
      <w:r w:rsidRPr="00CD4BDF">
        <w:rPr>
          <w:rFonts w:ascii="Cambria Math" w:hAnsi="Cambria Math" w:cs="Cambria Math"/>
        </w:rPr>
        <w:t>₂</w:t>
      </w:r>
      <w:r w:rsidRPr="00CD4BDF">
        <w:t>. Platelet concentrations were determined by automated cell counting and adjusted to the required density for downstream assays.</w:t>
      </w:r>
    </w:p>
    <w:p w14:paraId="61D9E25B" w14:textId="77777777" w:rsidR="00CD4BDF" w:rsidRPr="00CD4BDF" w:rsidRDefault="00CD4BDF" w:rsidP="002741B8">
      <w:pPr>
        <w:pStyle w:val="Heading1"/>
      </w:pPr>
      <w:r w:rsidRPr="00CD4BDF">
        <w:lastRenderedPageBreak/>
        <w:t>Platelet stimulation</w:t>
      </w:r>
    </w:p>
    <w:p w14:paraId="7ECDB8C3" w14:textId="77777777" w:rsidR="00CD4BDF" w:rsidRPr="00CD4BDF" w:rsidRDefault="00CD4BDF" w:rsidP="00A51A89">
      <w:r w:rsidRPr="00CD4BDF">
        <w:t>Where indicated, isolated platelets were stimulated with recombinant mouse C5a (R&amp;D Systems) or collagen-related peptide XL (CRP-XL) (</w:t>
      </w:r>
      <w:proofErr w:type="spellStart"/>
      <w:r w:rsidRPr="00CD4BDF">
        <w:t>CambCol</w:t>
      </w:r>
      <w:proofErr w:type="spellEnd"/>
      <w:r w:rsidRPr="00CD4BDF">
        <w:t>).</w:t>
      </w:r>
      <w:r w:rsidRPr="00CD4BDF">
        <w:br/>
        <w:t xml:space="preserve">Unless otherwise stated, C5a was used at a final concentration of 30 </w:t>
      </w:r>
      <w:proofErr w:type="spellStart"/>
      <w:r w:rsidRPr="00CD4BDF">
        <w:t>nM</w:t>
      </w:r>
      <w:proofErr w:type="spellEnd"/>
      <w:r w:rsidRPr="00CD4BDF">
        <w:t xml:space="preserve"> and CRP-XL at 2 µg/mL, based on established protocols and prior optimization. Platelets were stimulated at 37 °C and directly used for co-incubation experiments without collection of supernatants.</w:t>
      </w:r>
    </w:p>
    <w:p w14:paraId="7594CC30" w14:textId="6A3A90ED" w:rsidR="00CD4BDF" w:rsidRPr="00CD4BDF" w:rsidRDefault="00CD4BDF" w:rsidP="002741B8">
      <w:pPr>
        <w:pStyle w:val="Heading1"/>
      </w:pPr>
      <w:r w:rsidRPr="00CD4BDF">
        <w:t xml:space="preserve">Platelet–neutrophil co-culture and NET formation </w:t>
      </w:r>
    </w:p>
    <w:p w14:paraId="686A397B" w14:textId="77777777" w:rsidR="00CD4BDF" w:rsidRPr="00CD4BDF" w:rsidRDefault="00CD4BDF" w:rsidP="00A51A89">
      <w:r w:rsidRPr="00CD4BDF">
        <w:t>Platelet–neutrophil co-culture experiments were performed using isolated murine platelets and bone marrow–derived neutrophils.</w:t>
      </w:r>
    </w:p>
    <w:p w14:paraId="4E2C2130" w14:textId="77777777" w:rsidR="00CD4BDF" w:rsidRPr="002741B8" w:rsidRDefault="00CD4BDF" w:rsidP="002741B8">
      <w:pPr>
        <w:pStyle w:val="Heading2"/>
      </w:pPr>
      <w:r w:rsidRPr="002741B8">
        <w:t>Coverslip preparation</w:t>
      </w:r>
    </w:p>
    <w:p w14:paraId="0E0211CC" w14:textId="77777777" w:rsidR="00CD4BDF" w:rsidRPr="00CD4BDF" w:rsidRDefault="00CD4BDF" w:rsidP="00A51A89">
      <w:r w:rsidRPr="00CD4BDF">
        <w:t>Glass coverslips (12 mm) were coated with poly-L-lysine (PLL, 0.1 mg/mL) for 15 min at room temperature, washed twice with PBS, and placed into 24-well plates.</w:t>
      </w:r>
    </w:p>
    <w:p w14:paraId="00716D0B" w14:textId="77777777" w:rsidR="00CD4BDF" w:rsidRPr="00CD4BDF" w:rsidRDefault="00CD4BDF" w:rsidP="002741B8">
      <w:pPr>
        <w:pStyle w:val="Heading2"/>
      </w:pPr>
      <w:r w:rsidRPr="00CD4BDF">
        <w:t>Neutrophil seeding</w:t>
      </w:r>
    </w:p>
    <w:p w14:paraId="1A70FFBD" w14:textId="77777777" w:rsidR="00CD4BDF" w:rsidRPr="00CD4BDF" w:rsidRDefault="00CD4BDF" w:rsidP="00A51A89">
      <w:r w:rsidRPr="00CD4BDF">
        <w:t>Neutrophils were adjusted to 2.5 × 10⁵ cells/mL, and 50,000 neutrophils in 200 µL were seeded per coverslip. Cells were allowed to adhere for 15–20 min at 37 °C, 5% CO</w:t>
      </w:r>
      <w:r w:rsidRPr="00CD4BDF">
        <w:rPr>
          <w:rFonts w:ascii="Cambria Math" w:hAnsi="Cambria Math" w:cs="Cambria Math"/>
        </w:rPr>
        <w:t>₂</w:t>
      </w:r>
      <w:r w:rsidRPr="00CD4BDF">
        <w:t>. Coverslips were subsequently incubated with HBSS containing 1% BSA for 15 min to passivate remaining PLL binding sites and gently rinsed once with HBSS containing 0.5–1% BSA.</w:t>
      </w:r>
    </w:p>
    <w:p w14:paraId="7C0FA6BC" w14:textId="77777777" w:rsidR="00CD4BDF" w:rsidRPr="00CD4BDF" w:rsidRDefault="00CD4BDF" w:rsidP="002741B8">
      <w:pPr>
        <w:pStyle w:val="Heading2"/>
      </w:pPr>
      <w:r w:rsidRPr="00CD4BDF">
        <w:t>Platelet addition and stimulation</w:t>
      </w:r>
    </w:p>
    <w:p w14:paraId="7F7C8506" w14:textId="77777777" w:rsidR="00CD4BDF" w:rsidRPr="00CD4BDF" w:rsidRDefault="00CD4BDF" w:rsidP="00A51A89">
      <w:r w:rsidRPr="00CD4BDF">
        <w:t>Platelets were added at a platelet-to-neutrophil ratio of 50:1 (2.5 × 10⁶ platelets per well) in 50–80 µL, resulting in a final volume of 250–300 µL per well. Platelets were resuspended in buffer containing 0.5–1% BSA.</w:t>
      </w:r>
    </w:p>
    <w:p w14:paraId="67083009" w14:textId="77777777" w:rsidR="00CD4BDF" w:rsidRPr="00CD4BDF" w:rsidRDefault="00CD4BDF" w:rsidP="00A51A89">
      <w:r w:rsidRPr="00CD4BDF">
        <w:t xml:space="preserve">The following experimental conditions were used (unless otherwise indicated, </w:t>
      </w:r>
      <w:r w:rsidRPr="00CD4BDF">
        <w:rPr>
          <w:i/>
          <w:iCs/>
        </w:rPr>
        <w:t>n</w:t>
      </w:r>
      <w:r w:rsidRPr="00CD4BDF">
        <w:t xml:space="preserve"> = 3):</w:t>
      </w:r>
    </w:p>
    <w:p w14:paraId="4027C906" w14:textId="77777777" w:rsidR="00CD4BDF" w:rsidRPr="00A51A89" w:rsidRDefault="00CD4BDF" w:rsidP="00A51A89">
      <w:pPr>
        <w:pStyle w:val="ListParagraph"/>
        <w:numPr>
          <w:ilvl w:val="0"/>
          <w:numId w:val="2"/>
        </w:numPr>
        <w:rPr>
          <w:lang w:val="de-DE"/>
        </w:rPr>
      </w:pPr>
      <w:r w:rsidRPr="00A51A89">
        <w:rPr>
          <w:lang w:val="de-DE"/>
        </w:rPr>
        <w:t xml:space="preserve">Baseline: Neutrophils + WT </w:t>
      </w:r>
      <w:proofErr w:type="spellStart"/>
      <w:r w:rsidRPr="00A51A89">
        <w:rPr>
          <w:lang w:val="de-DE"/>
        </w:rPr>
        <w:t>platelets</w:t>
      </w:r>
      <w:proofErr w:type="spellEnd"/>
    </w:p>
    <w:p w14:paraId="5157B967" w14:textId="657785E1" w:rsidR="00CD4BDF" w:rsidRPr="00CD4BDF" w:rsidRDefault="00CD4BDF" w:rsidP="00A51A89">
      <w:pPr>
        <w:pStyle w:val="ListParagraph"/>
        <w:numPr>
          <w:ilvl w:val="0"/>
          <w:numId w:val="2"/>
        </w:numPr>
      </w:pPr>
      <w:r w:rsidRPr="00CD4BDF">
        <w:t xml:space="preserve">C5a stimulation: Neutrophils + </w:t>
      </w:r>
      <w:r w:rsidR="00D868BE">
        <w:t xml:space="preserve">WT </w:t>
      </w:r>
      <w:r w:rsidRPr="00CD4BDF">
        <w:t xml:space="preserve">platelets + C5a (30 </w:t>
      </w:r>
      <w:proofErr w:type="spellStart"/>
      <w:r w:rsidRPr="00CD4BDF">
        <w:t>nM</w:t>
      </w:r>
      <w:proofErr w:type="spellEnd"/>
      <w:r w:rsidRPr="00CD4BDF">
        <w:t>)</w:t>
      </w:r>
    </w:p>
    <w:p w14:paraId="2D709689" w14:textId="77777777" w:rsidR="00CD4BDF" w:rsidRPr="00CD4BDF" w:rsidRDefault="00CD4BDF" w:rsidP="00A51A89">
      <w:pPr>
        <w:pStyle w:val="ListParagraph"/>
        <w:numPr>
          <w:ilvl w:val="0"/>
          <w:numId w:val="2"/>
        </w:numPr>
      </w:pPr>
      <w:r w:rsidRPr="00CD4BDF">
        <w:t xml:space="preserve">Heparin condition: Neutrophils + WT platelets + C5a (30 </w:t>
      </w:r>
      <w:proofErr w:type="spellStart"/>
      <w:r w:rsidRPr="00CD4BDF">
        <w:t>nM</w:t>
      </w:r>
      <w:proofErr w:type="spellEnd"/>
      <w:r w:rsidRPr="00CD4BDF">
        <w:t>) + heparin (0.3 IU/mL)</w:t>
      </w:r>
    </w:p>
    <w:p w14:paraId="534BD1BF" w14:textId="77777777" w:rsidR="00CD4BDF" w:rsidRPr="00CD4BDF" w:rsidRDefault="00CD4BDF" w:rsidP="00A51A89">
      <w:pPr>
        <w:pStyle w:val="ListParagraph"/>
        <w:numPr>
          <w:ilvl w:val="0"/>
          <w:numId w:val="2"/>
        </w:numPr>
      </w:pPr>
      <w:r w:rsidRPr="00CD4BDF">
        <w:t>KO platelets: Neutrophils + C5a-stimulated KO platelets</w:t>
      </w:r>
    </w:p>
    <w:p w14:paraId="1EBA6D45" w14:textId="77777777" w:rsidR="00CD4BDF" w:rsidRPr="00CD4BDF" w:rsidRDefault="00CD4BDF" w:rsidP="00A51A89">
      <w:pPr>
        <w:pStyle w:val="ListParagraph"/>
        <w:numPr>
          <w:ilvl w:val="0"/>
          <w:numId w:val="2"/>
        </w:numPr>
      </w:pPr>
      <w:r w:rsidRPr="00CD4BDF">
        <w:lastRenderedPageBreak/>
        <w:t xml:space="preserve">CXCL4 rescue: Neutrophils + KO platelets + C5a (30 </w:t>
      </w:r>
      <w:proofErr w:type="spellStart"/>
      <w:r w:rsidRPr="00CD4BDF">
        <w:t>nM</w:t>
      </w:r>
      <w:proofErr w:type="spellEnd"/>
      <w:r w:rsidRPr="00CD4BDF">
        <w:t>) + recombinant CXCL4 (100 ng/mL)</w:t>
      </w:r>
    </w:p>
    <w:p w14:paraId="70FEC495" w14:textId="77777777" w:rsidR="00CD4BDF" w:rsidRPr="00CD4BDF" w:rsidRDefault="00CD4BDF" w:rsidP="00A51A89">
      <w:pPr>
        <w:pStyle w:val="ListParagraph"/>
        <w:numPr>
          <w:ilvl w:val="0"/>
          <w:numId w:val="2"/>
        </w:numPr>
      </w:pPr>
      <w:r w:rsidRPr="00CD4BDF">
        <w:t>CRP-XL stimulation: Neutrophils + platelets + CRP-XL (2 µg/mL)</w:t>
      </w:r>
    </w:p>
    <w:p w14:paraId="78C88422" w14:textId="77777777" w:rsidR="00CD4BDF" w:rsidRPr="00CD4BDF" w:rsidRDefault="00CD4BDF" w:rsidP="00A51A89">
      <w:pPr>
        <w:pStyle w:val="ListParagraph"/>
        <w:numPr>
          <w:ilvl w:val="0"/>
          <w:numId w:val="2"/>
        </w:numPr>
      </w:pPr>
      <w:r w:rsidRPr="00CD4BDF">
        <w:t xml:space="preserve">Positive control: Neutrophils stimulated with PMA (10 </w:t>
      </w:r>
      <w:proofErr w:type="spellStart"/>
      <w:r w:rsidRPr="00CD4BDF">
        <w:t>nM</w:t>
      </w:r>
      <w:proofErr w:type="spellEnd"/>
      <w:r w:rsidRPr="00CD4BDF">
        <w:t>)</w:t>
      </w:r>
    </w:p>
    <w:p w14:paraId="3F81FDDE" w14:textId="77777777" w:rsidR="00CD4BDF" w:rsidRPr="00CD4BDF" w:rsidRDefault="00CD4BDF" w:rsidP="00A51A89">
      <w:r w:rsidRPr="00CD4BDF">
        <w:t>Co-cultures were incubated for 3 h at 37 °C, 5% CO</w:t>
      </w:r>
      <w:r w:rsidRPr="00CD4BDF">
        <w:rPr>
          <w:rFonts w:ascii="Cambria Math" w:hAnsi="Cambria Math" w:cs="Cambria Math"/>
        </w:rPr>
        <w:t>₂</w:t>
      </w:r>
      <w:r w:rsidRPr="00CD4BDF">
        <w:t>.</w:t>
      </w:r>
    </w:p>
    <w:p w14:paraId="6C410BAA" w14:textId="77777777" w:rsidR="00CD4BDF" w:rsidRPr="00CD4BDF" w:rsidRDefault="00CD4BDF" w:rsidP="002741B8">
      <w:pPr>
        <w:pStyle w:val="Heading1"/>
      </w:pPr>
      <w:r w:rsidRPr="00CD4BDF">
        <w:t>Immunofluorescence staining and imaging of NETs</w:t>
      </w:r>
    </w:p>
    <w:p w14:paraId="16696CAD" w14:textId="77777777" w:rsidR="00CD4BDF" w:rsidRPr="00CD4BDF" w:rsidRDefault="00CD4BDF" w:rsidP="00A51A89">
      <w:r w:rsidRPr="00CD4BDF">
        <w:t>Following co-incubation, cells were fixed and permeabilized, and NETs were detected by immunofluorescence staining for citrullinated histone H3 (H3Cit), myeloperoxidase (MPO), and DNA (DAPI) as described above.</w:t>
      </w:r>
    </w:p>
    <w:p w14:paraId="5C122620" w14:textId="348D02EB" w:rsidR="00D60E6E" w:rsidRDefault="00CD4BDF" w:rsidP="00A51A89">
      <w:r w:rsidRPr="00CD4BDF">
        <w:t xml:space="preserve">Imaging was performed using confocal microscopy. Representative images were acquired using a </w:t>
      </w:r>
      <w:r w:rsidR="00692C75" w:rsidRPr="00692C75">
        <w:t xml:space="preserve">Leica MICA </w:t>
      </w:r>
      <w:proofErr w:type="spellStart"/>
      <w:r w:rsidR="00692C75" w:rsidRPr="00692C75">
        <w:t>Microhub</w:t>
      </w:r>
      <w:proofErr w:type="spellEnd"/>
      <w:r w:rsidR="00692C75" w:rsidRPr="00692C75">
        <w:t xml:space="preserve"> </w:t>
      </w:r>
      <w:r w:rsidRPr="00CD4BDF">
        <w:t>or ZEISS Axio Observer microscope. Image acquisition parameters were kept constant within experiments. NET formation was quantified as the percentage of neutrophils exhibiting extracellular H3Cit</w:t>
      </w:r>
      <w:r w:rsidRPr="00CD4BDF">
        <w:rPr>
          <w:rFonts w:ascii="Cambria Math" w:hAnsi="Cambria Math" w:cs="Cambria Math"/>
        </w:rPr>
        <w:t>⁺</w:t>
      </w:r>
      <w:r w:rsidRPr="00CD4BDF">
        <w:t>/MPO</w:t>
      </w:r>
      <w:r w:rsidRPr="00CD4BDF">
        <w:rPr>
          <w:rFonts w:ascii="Cambria Math" w:hAnsi="Cambria Math" w:cs="Cambria Math"/>
        </w:rPr>
        <w:t>⁺</w:t>
      </w:r>
      <w:r w:rsidRPr="00CD4BDF">
        <w:t xml:space="preserve"> DNA structures.</w:t>
      </w:r>
    </w:p>
    <w:p w14:paraId="4815AF53" w14:textId="77777777" w:rsidR="00B51FEB" w:rsidRPr="00B51FEB" w:rsidRDefault="00B51FEB" w:rsidP="002741B8">
      <w:pPr>
        <w:pStyle w:val="Heading1"/>
      </w:pPr>
      <w:r w:rsidRPr="00B51FEB">
        <w:t>Immunofluorescence Staining of Heart Sections</w:t>
      </w:r>
    </w:p>
    <w:p w14:paraId="603570A9" w14:textId="5BA5F027" w:rsidR="00B51FEB" w:rsidRPr="00B51FEB" w:rsidRDefault="00B51FEB" w:rsidP="00A51A89">
      <w:r w:rsidRPr="00B51FEB">
        <w:t xml:space="preserve">Hearts were embedded in OCT compound and </w:t>
      </w:r>
      <w:proofErr w:type="spellStart"/>
      <w:r w:rsidRPr="00B51FEB">
        <w:t>cryosectioned</w:t>
      </w:r>
      <w:proofErr w:type="spellEnd"/>
      <w:r w:rsidRPr="00B51FEB">
        <w:t xml:space="preserve"> at 6–8 µm thickness. Sections were fixed, permeabilized with 0.1% Triton X-100, blocked with normal</w:t>
      </w:r>
      <w:r w:rsidR="00150F7A">
        <w:t xml:space="preserve"> goat</w:t>
      </w:r>
      <w:r w:rsidRPr="00B51FEB">
        <w:t xml:space="preserve"> serum, and incubated with primary antibodies overnight at 4 °C. After incubation with secondary antibodies, sections were mounted with DAPI-containing mounting medium.</w:t>
      </w:r>
    </w:p>
    <w:p w14:paraId="7D2FE699" w14:textId="77777777" w:rsidR="00B51FEB" w:rsidRPr="00B51FEB" w:rsidRDefault="00B51FEB" w:rsidP="002741B8">
      <w:pPr>
        <w:pStyle w:val="Heading1"/>
      </w:pPr>
      <w:r w:rsidRPr="00B51FEB">
        <w:t>CXCL4 ELISA</w:t>
      </w:r>
    </w:p>
    <w:p w14:paraId="0E56B9C4" w14:textId="7632A5F7" w:rsidR="00B51FEB" w:rsidRPr="00B51FEB" w:rsidRDefault="00B51FEB" w:rsidP="00A51A89">
      <w:r w:rsidRPr="00B51FEB">
        <w:t xml:space="preserve">Plasma CXCL4 levels were measured using a mouse CXCL4 (platelet factor 4) </w:t>
      </w:r>
      <w:proofErr w:type="spellStart"/>
      <w:r w:rsidRPr="00B51FEB">
        <w:t>Quantikine</w:t>
      </w:r>
      <w:proofErr w:type="spellEnd"/>
      <w:r w:rsidRPr="00B51FEB">
        <w:t xml:space="preserve"> ELISA kit (R&amp;D Systems, MCX400) according to the manufacturer’s instructions. Absorbance was measured using a microplate reader, and concentrations were calculated from a standard curve.</w:t>
      </w:r>
    </w:p>
    <w:p w14:paraId="09EBE4E1" w14:textId="77777777" w:rsidR="00D73DA7" w:rsidRPr="00D73DA7" w:rsidRDefault="00D73DA7" w:rsidP="002741B8">
      <w:pPr>
        <w:pStyle w:val="Heading1"/>
      </w:pPr>
      <w:r w:rsidRPr="00D73DA7">
        <w:t>Image acquisition and quantitative analysis</w:t>
      </w:r>
    </w:p>
    <w:p w14:paraId="39B831A7" w14:textId="77777777" w:rsidR="00D73DA7" w:rsidRPr="00D73DA7" w:rsidRDefault="00D73DA7" w:rsidP="00A51A89">
      <w:r w:rsidRPr="00D73DA7">
        <w:t xml:space="preserve">Fluorescence imaging was performed using confocal microscopy on a Leica MICA </w:t>
      </w:r>
      <w:proofErr w:type="spellStart"/>
      <w:r w:rsidRPr="00D73DA7">
        <w:t>Microhub</w:t>
      </w:r>
      <w:proofErr w:type="spellEnd"/>
      <w:r w:rsidRPr="00D73DA7">
        <w:t xml:space="preserve"> imaging system (Leica Microsystems) and, where indicated, on a ZEISS Axio Observer </w:t>
      </w:r>
      <w:r w:rsidRPr="00D73DA7">
        <w:lastRenderedPageBreak/>
        <w:t xml:space="preserve">fluorescence microscope. Imaging was applied both to platelet–neutrophil co-culture experiments and to </w:t>
      </w:r>
      <w:proofErr w:type="spellStart"/>
      <w:r w:rsidRPr="00D73DA7">
        <w:t>cryosectioned</w:t>
      </w:r>
      <w:proofErr w:type="spellEnd"/>
      <w:r w:rsidRPr="00D73DA7">
        <w:t xml:space="preserve"> myocardial tissue.</w:t>
      </w:r>
    </w:p>
    <w:p w14:paraId="6A55AA0F" w14:textId="77777777" w:rsidR="00D73DA7" w:rsidRPr="00D73DA7" w:rsidRDefault="00D73DA7" w:rsidP="00A51A89">
      <w:r w:rsidRPr="00D73DA7">
        <w:t>Images were acquired using identical acquisition settings (laser power, detector gain, exposure time, and pinhole size where applicable) within each experiment to allow direct comparison between experimental groups. Representative fields were selected based on nuclear staining and cellular morphology, avoiding areas with tissue damage or technical artifacts.</w:t>
      </w:r>
    </w:p>
    <w:p w14:paraId="7369EBD8" w14:textId="027ABA0B" w:rsidR="00D73DA7" w:rsidRPr="00D73DA7" w:rsidRDefault="00D73DA7" w:rsidP="00A51A89">
      <w:r w:rsidRPr="00D73DA7">
        <w:t xml:space="preserve">For NET quantification, neutrophils were identified based on nuclear morphology and MPO staining. NETs were defined as extracellular DNA structures positive for myeloperoxidase (MPO) and citrullinated histone H3 (H3Cit) extending beyond the boundaries of intact nuclei. Quantification was performed manually or </w:t>
      </w:r>
      <w:proofErr w:type="spellStart"/>
      <w:r w:rsidR="00B4342A">
        <w:t>SD</w:t>
      </w:r>
      <w:r w:rsidRPr="00D73DA7">
        <w:t>i</w:t>
      </w:r>
      <w:proofErr w:type="spellEnd"/>
      <w:r w:rsidRPr="00D73DA7">
        <w:t>-automatically using ImageJ/Fiji, depending on the experimental setup.</w:t>
      </w:r>
    </w:p>
    <w:p w14:paraId="4189BAF9" w14:textId="77777777" w:rsidR="00D73DA7" w:rsidRPr="00D73DA7" w:rsidRDefault="00D73DA7" w:rsidP="00A51A89">
      <w:r w:rsidRPr="00D73DA7">
        <w:t>NET formation was expressed as the percentage of neutrophils forming extracellular MPO</w:t>
      </w:r>
      <w:r w:rsidRPr="00D73DA7">
        <w:rPr>
          <w:rFonts w:ascii="Cambria Math" w:hAnsi="Cambria Math" w:cs="Cambria Math"/>
        </w:rPr>
        <w:t>⁺</w:t>
      </w:r>
      <w:r w:rsidRPr="00D73DA7">
        <w:t xml:space="preserve"> H3Cit</w:t>
      </w:r>
      <w:r w:rsidRPr="00D73DA7">
        <w:rPr>
          <w:rFonts w:ascii="Cambria Math" w:hAnsi="Cambria Math" w:cs="Cambria Math"/>
        </w:rPr>
        <w:t>⁺</w:t>
      </w:r>
      <w:r w:rsidRPr="00D73DA7">
        <w:t xml:space="preserve"> DNA</w:t>
      </w:r>
      <w:r w:rsidRPr="00D73DA7">
        <w:rPr>
          <w:rFonts w:ascii="Cambria Math" w:hAnsi="Cambria Math" w:cs="Cambria Math"/>
        </w:rPr>
        <w:t>⁺</w:t>
      </w:r>
      <w:r w:rsidRPr="00D73DA7">
        <w:t xml:space="preserve"> structures relative to the total number of neutrophils per field. For each biological replicate, multiple randomly selected fields were analyzed and averaged. All image acquisition and quantification were performed by investigators blinded to genotype and treatment condition.</w:t>
      </w:r>
    </w:p>
    <w:p w14:paraId="597270BA" w14:textId="5D8EAC09" w:rsidR="00D73DA7" w:rsidRPr="00D73DA7" w:rsidRDefault="00D73DA7" w:rsidP="002741B8">
      <w:pPr>
        <w:pStyle w:val="Heading1"/>
      </w:pPr>
      <w:r w:rsidRPr="00D73DA7">
        <w:t xml:space="preserve">Statistical analysis </w:t>
      </w:r>
    </w:p>
    <w:p w14:paraId="165B728E" w14:textId="77777777" w:rsidR="00D73DA7" w:rsidRPr="00D73DA7" w:rsidRDefault="00D73DA7" w:rsidP="002741B8">
      <w:pPr>
        <w:pStyle w:val="Heading2"/>
      </w:pPr>
      <w:r w:rsidRPr="00D73DA7">
        <w:t>General approach</w:t>
      </w:r>
    </w:p>
    <w:p w14:paraId="4D46630A" w14:textId="11305FDA" w:rsidR="00D73DA7" w:rsidRPr="00D73DA7" w:rsidRDefault="00D73DA7" w:rsidP="00A51A89">
      <w:r w:rsidRPr="00D73DA7">
        <w:t>All statistical analyses were performed using a two-sided significance level (</w:t>
      </w:r>
      <w:r w:rsidRPr="00D73DA7">
        <w:rPr>
          <w:lang w:val="de-DE"/>
        </w:rPr>
        <w:t>α</w:t>
      </w:r>
      <w:r w:rsidRPr="00D73DA7">
        <w:t xml:space="preserve"> = 0.05). Data are presented as mean ± SD as specified in the figure legends.</w:t>
      </w:r>
    </w:p>
    <w:p w14:paraId="20524BFA" w14:textId="77777777" w:rsidR="00D73DA7" w:rsidRPr="00D73DA7" w:rsidRDefault="00D73DA7" w:rsidP="002741B8">
      <w:pPr>
        <w:pStyle w:val="Heading2"/>
      </w:pPr>
      <w:r w:rsidRPr="00D73DA7">
        <w:t>Assessment of distribution and variance</w:t>
      </w:r>
    </w:p>
    <w:p w14:paraId="10398B64" w14:textId="77777777" w:rsidR="00D73DA7" w:rsidRPr="00D73DA7" w:rsidRDefault="00D73DA7" w:rsidP="00A51A89">
      <w:r w:rsidRPr="00D73DA7">
        <w:t>Data distribution was assessed using the D’Agostino–Pearson omnibus test or Kolmogorov–Smirnov test, complemented by visual inspection of Q–Q plots. Homogeneity of variance was evaluated by visual inspection of residuals versus predicted value plots and, where appropriate, by formal testing using Levene’s or Brown–Forsythe tests.</w:t>
      </w:r>
    </w:p>
    <w:p w14:paraId="0AA53F71" w14:textId="77777777" w:rsidR="00D73DA7" w:rsidRPr="00D73DA7" w:rsidRDefault="00D73DA7" w:rsidP="00A51A89">
      <w:r w:rsidRPr="00D73DA7">
        <w:t>Statistical testing</w:t>
      </w:r>
    </w:p>
    <w:p w14:paraId="007F89CD" w14:textId="77777777" w:rsidR="00D73DA7" w:rsidRPr="00D73DA7" w:rsidRDefault="00D73DA7" w:rsidP="00A51A89">
      <w:r w:rsidRPr="00D73DA7">
        <w:t>When assumptions of normality and homogeneity of variance were met, parametric tests were applied, including:</w:t>
      </w:r>
    </w:p>
    <w:p w14:paraId="37D63658" w14:textId="77777777" w:rsidR="00D73DA7" w:rsidRPr="00D73DA7" w:rsidRDefault="00D73DA7" w:rsidP="00A51A89">
      <w:pPr>
        <w:pStyle w:val="ListParagraph"/>
        <w:numPr>
          <w:ilvl w:val="0"/>
          <w:numId w:val="3"/>
        </w:numPr>
      </w:pPr>
      <w:r w:rsidRPr="00D73DA7">
        <w:t>Two-tailed unpaired t-tests for comparisons between two independent groups</w:t>
      </w:r>
    </w:p>
    <w:p w14:paraId="2FEFA2A4" w14:textId="77777777" w:rsidR="00D73DA7" w:rsidRPr="00D73DA7" w:rsidRDefault="00D73DA7" w:rsidP="00A51A89">
      <w:pPr>
        <w:pStyle w:val="ListParagraph"/>
        <w:numPr>
          <w:ilvl w:val="0"/>
          <w:numId w:val="3"/>
        </w:numPr>
      </w:pPr>
      <w:r w:rsidRPr="00D73DA7">
        <w:lastRenderedPageBreak/>
        <w:t>One-way or two-way ANOVA for comparisons involving more than two groups or multiple factors</w:t>
      </w:r>
    </w:p>
    <w:p w14:paraId="173F3643" w14:textId="77777777" w:rsidR="00D73DA7" w:rsidRPr="00D73DA7" w:rsidRDefault="00D73DA7" w:rsidP="00A51A89">
      <w:r w:rsidRPr="00D73DA7">
        <w:t xml:space="preserve">When data were approximately normally </w:t>
      </w:r>
      <w:proofErr w:type="gramStart"/>
      <w:r w:rsidRPr="00D73DA7">
        <w:t>distributed</w:t>
      </w:r>
      <w:proofErr w:type="gramEnd"/>
      <w:r w:rsidRPr="00D73DA7">
        <w:t xml:space="preserve"> but variances were unequal, Welch’s t-test (two groups) or Welch’s ANOVA (more than two groups) was used.</w:t>
      </w:r>
    </w:p>
    <w:p w14:paraId="6F116328" w14:textId="77777777" w:rsidR="00D73DA7" w:rsidRPr="00D73DA7" w:rsidRDefault="00D73DA7" w:rsidP="00A51A89">
      <w:r w:rsidRPr="00D73DA7">
        <w:t>For non-normally distributed data, non-parametric tests were applied:</w:t>
      </w:r>
    </w:p>
    <w:p w14:paraId="0915E5ED" w14:textId="77777777" w:rsidR="00D73DA7" w:rsidRPr="00D73DA7" w:rsidRDefault="00D73DA7" w:rsidP="00A51A89">
      <w:pPr>
        <w:pStyle w:val="ListParagraph"/>
        <w:numPr>
          <w:ilvl w:val="0"/>
          <w:numId w:val="4"/>
        </w:numPr>
      </w:pPr>
      <w:r w:rsidRPr="00D73DA7">
        <w:t>Mann–Whitney U test for two-group comparisons</w:t>
      </w:r>
    </w:p>
    <w:p w14:paraId="28227A42" w14:textId="77777777" w:rsidR="00D73DA7" w:rsidRPr="00D73DA7" w:rsidRDefault="00D73DA7" w:rsidP="00A51A89">
      <w:pPr>
        <w:pStyle w:val="ListParagraph"/>
        <w:numPr>
          <w:ilvl w:val="0"/>
          <w:numId w:val="4"/>
        </w:numPr>
      </w:pPr>
      <w:r w:rsidRPr="00D73DA7">
        <w:t>Kruskal–</w:t>
      </w:r>
      <w:proofErr w:type="gramStart"/>
      <w:r w:rsidRPr="00D73DA7">
        <w:t>Wallis</w:t>
      </w:r>
      <w:proofErr w:type="gramEnd"/>
      <w:r w:rsidRPr="00D73DA7">
        <w:t xml:space="preserve"> test for comparisons involving more than two groups</w:t>
      </w:r>
    </w:p>
    <w:p w14:paraId="4DA3CD7D" w14:textId="77777777" w:rsidR="00D73DA7" w:rsidRPr="00D73DA7" w:rsidRDefault="00D73DA7" w:rsidP="00A51A89">
      <w:r w:rsidRPr="00D73DA7">
        <w:t>Multiple comparisons were adjusted as indicated using:</w:t>
      </w:r>
    </w:p>
    <w:p w14:paraId="200F0E54" w14:textId="77777777" w:rsidR="00D73DA7" w:rsidRPr="00D73DA7" w:rsidRDefault="00D73DA7" w:rsidP="00A51A89">
      <w:pPr>
        <w:pStyle w:val="ListParagraph"/>
        <w:numPr>
          <w:ilvl w:val="0"/>
          <w:numId w:val="5"/>
        </w:numPr>
      </w:pPr>
      <w:r w:rsidRPr="00D73DA7">
        <w:t>Tukey’s post hoc test for one-way ANOVA</w:t>
      </w:r>
    </w:p>
    <w:p w14:paraId="7CA55ECA" w14:textId="77777777" w:rsidR="00D73DA7" w:rsidRPr="00D73DA7" w:rsidRDefault="00D73DA7" w:rsidP="00A51A89">
      <w:pPr>
        <w:pStyle w:val="ListParagraph"/>
        <w:numPr>
          <w:ilvl w:val="0"/>
          <w:numId w:val="5"/>
        </w:numPr>
      </w:pPr>
      <w:proofErr w:type="spellStart"/>
      <w:r w:rsidRPr="00D73DA7">
        <w:t>Šidák’s</w:t>
      </w:r>
      <w:proofErr w:type="spellEnd"/>
      <w:r w:rsidRPr="00D73DA7">
        <w:t xml:space="preserve"> correction for two-way ANOVA</w:t>
      </w:r>
    </w:p>
    <w:p w14:paraId="6F326703" w14:textId="77777777" w:rsidR="00D73DA7" w:rsidRPr="00D73DA7" w:rsidRDefault="00D73DA7" w:rsidP="00A51A89">
      <w:pPr>
        <w:pStyle w:val="ListParagraph"/>
        <w:numPr>
          <w:ilvl w:val="0"/>
          <w:numId w:val="5"/>
        </w:numPr>
      </w:pPr>
      <w:r w:rsidRPr="00D73DA7">
        <w:t>Bonferroni correction for repeated-measures designs</w:t>
      </w:r>
    </w:p>
    <w:p w14:paraId="7185EFB5" w14:textId="1293C2D9" w:rsidR="00362122" w:rsidRPr="00362122" w:rsidRDefault="00D73DA7" w:rsidP="00A51A89">
      <w:pPr>
        <w:pStyle w:val="ListParagraph"/>
        <w:numPr>
          <w:ilvl w:val="0"/>
          <w:numId w:val="5"/>
        </w:numPr>
      </w:pPr>
      <w:r w:rsidRPr="00D73DA7">
        <w:t>Dunn’s post hoc test following Kruskal–</w:t>
      </w:r>
      <w:proofErr w:type="gramStart"/>
      <w:r w:rsidRPr="00D73DA7">
        <w:t>Wallis</w:t>
      </w:r>
      <w:proofErr w:type="gramEnd"/>
      <w:r w:rsidRPr="00D73DA7">
        <w:t xml:space="preserve"> analysis</w:t>
      </w:r>
    </w:p>
    <w:p w14:paraId="4A014822" w14:textId="4035F85D" w:rsidR="00D73DA7" w:rsidRPr="00D73DA7" w:rsidRDefault="00D73DA7" w:rsidP="002741B8">
      <w:pPr>
        <w:pStyle w:val="Heading2"/>
      </w:pPr>
      <w:r w:rsidRPr="00D73DA7">
        <w:t>Reporting</w:t>
      </w:r>
    </w:p>
    <w:p w14:paraId="46C48E44" w14:textId="3C50261F" w:rsidR="00A51A89" w:rsidRDefault="00D73DA7" w:rsidP="00A51A89">
      <w:r w:rsidRPr="00D73DA7">
        <w:t>Exact sample sizes (n), statistical tests, and P values are reported in the figure legends</w:t>
      </w:r>
      <w:r>
        <w:t>.</w:t>
      </w:r>
    </w:p>
    <w:p w14:paraId="3A0F3F0E" w14:textId="77777777" w:rsidR="00A51A89" w:rsidRDefault="00A51A89" w:rsidP="00A51A89"/>
    <w:p w14:paraId="7C739FE4" w14:textId="77777777" w:rsidR="00A51A89" w:rsidRDefault="00A51A89" w:rsidP="00A51A89"/>
    <w:p w14:paraId="649A925F" w14:textId="4BC4A320" w:rsidR="00A51A89" w:rsidRPr="00A51A89" w:rsidRDefault="00A51A89" w:rsidP="00A51A89">
      <w:r w:rsidRPr="00A51A89">
        <w:br/>
      </w:r>
    </w:p>
    <w:p w14:paraId="12BE0451" w14:textId="5C6C735A" w:rsidR="00E82F49" w:rsidRDefault="00E82F49">
      <w:pPr>
        <w:spacing w:line="240" w:lineRule="auto"/>
      </w:pPr>
      <w:r>
        <w:br w:type="page"/>
      </w:r>
    </w:p>
    <w:p w14:paraId="4F7D74A9" w14:textId="6493D8DD" w:rsidR="00E82F49" w:rsidRDefault="00E82F49" w:rsidP="00E82F49">
      <w:pPr>
        <w:pStyle w:val="Heading1"/>
      </w:pPr>
      <w:r>
        <w:lastRenderedPageBreak/>
        <w:t>Supplementary Figures</w:t>
      </w:r>
    </w:p>
    <w:p w14:paraId="68025349" w14:textId="4028D06C" w:rsidR="00DB3759" w:rsidRDefault="00E82F49" w:rsidP="003D16EB">
      <w:r>
        <w:rPr>
          <w:noProof/>
        </w:rPr>
        <w:drawing>
          <wp:inline distT="0" distB="0" distL="0" distR="0" wp14:anchorId="09569C54" wp14:editId="3939F76B">
            <wp:extent cx="5578998" cy="5276887"/>
            <wp:effectExtent l="0" t="0" r="0" b="0"/>
            <wp:docPr id="1852772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72447" name="Grafik 1852772447"/>
                    <pic:cNvPicPr/>
                  </pic:nvPicPr>
                  <pic:blipFill rotWithShape="1">
                    <a:blip r:embed="rId10"/>
                    <a:srcRect r="18162" b="41022"/>
                    <a:stretch/>
                  </pic:blipFill>
                  <pic:spPr bwMode="auto">
                    <a:xfrm>
                      <a:off x="0" y="0"/>
                      <a:ext cx="5585559" cy="5283092"/>
                    </a:xfrm>
                    <a:prstGeom prst="rect">
                      <a:avLst/>
                    </a:prstGeom>
                    <a:ln>
                      <a:noFill/>
                    </a:ln>
                    <a:extLst>
                      <a:ext uri="{53640926-AAD7-44D8-BBD7-CCE9431645EC}">
                        <a14:shadowObscured xmlns:a14="http://schemas.microsoft.com/office/drawing/2010/main"/>
                      </a:ext>
                    </a:extLst>
                  </pic:spPr>
                </pic:pic>
              </a:graphicData>
            </a:graphic>
          </wp:inline>
        </w:drawing>
      </w:r>
      <w:r w:rsidRPr="003D16EB">
        <w:rPr>
          <w:rStyle w:val="Heading1Char"/>
        </w:rPr>
        <w:t>Supplementary Figure 1</w:t>
      </w:r>
      <w:r w:rsidR="00F26DC0">
        <w:rPr>
          <w:rStyle w:val="Heading1Char"/>
        </w:rPr>
        <w:t xml:space="preserve"> |</w:t>
      </w:r>
      <w:r w:rsidRPr="003D16EB">
        <w:rPr>
          <w:rStyle w:val="Heading1Char"/>
        </w:rPr>
        <w:t xml:space="preserve"> </w:t>
      </w:r>
      <w:r w:rsidR="003D16EB" w:rsidRPr="003D16EB">
        <w:rPr>
          <w:rStyle w:val="Heading1Char"/>
        </w:rPr>
        <w:t>Flow cytometric identification of platelet–leukocyte aggregates in whole blood after myocardial infarction.</w:t>
      </w:r>
      <w:r w:rsidR="003D16EB" w:rsidRPr="003D16EB">
        <w:br/>
        <w:t xml:space="preserve">(A) Schematic overview of the experimental workflow. Whole blood was collected 24 h after permanent LAD ligation into enoxaparin-coated tubes, diluted 1:9 in PBS, and analyzed by flow cytometry either without ex vivo stimulation or after stimulation with 100 </w:t>
      </w:r>
      <w:proofErr w:type="spellStart"/>
      <w:r w:rsidR="003D16EB" w:rsidRPr="003D16EB">
        <w:t>nM</w:t>
      </w:r>
      <w:proofErr w:type="spellEnd"/>
      <w:r w:rsidR="003D16EB" w:rsidRPr="003D16EB">
        <w:t xml:space="preserve"> agonist, as shown in Supplementary Figures 2 and 3.</w:t>
      </w:r>
      <w:r w:rsidR="003D16EB" w:rsidRPr="003D16EB">
        <w:br/>
        <w:t>(B) Representative gating strategy for the identification of platelet–neutrophil complexes (PNCs) and platelet–monocyte complexes (PMCs). After exclusion of debris and doublets based on FSC-A/FSC-H and SSC parameters, neutrophils were identified as Ly6G</w:t>
      </w:r>
      <w:r w:rsidR="003D16EB" w:rsidRPr="003D16EB">
        <w:rPr>
          <w:rFonts w:ascii="Cambria Math" w:hAnsi="Cambria Math" w:cs="Cambria Math"/>
        </w:rPr>
        <w:t>⁺</w:t>
      </w:r>
      <w:r w:rsidR="003D16EB" w:rsidRPr="003D16EB">
        <w:t xml:space="preserve"> cells and monocytes as CD115</w:t>
      </w:r>
      <w:r w:rsidR="003D16EB" w:rsidRPr="003D16EB">
        <w:rPr>
          <w:rFonts w:ascii="Cambria Math" w:hAnsi="Cambria Math" w:cs="Cambria Math"/>
        </w:rPr>
        <w:t>⁺</w:t>
      </w:r>
      <w:r w:rsidR="003D16EB" w:rsidRPr="003D16EB">
        <w:t xml:space="preserve"> cells. Platelet association was detected by co-expression of CD42b on Ly6G</w:t>
      </w:r>
      <w:r w:rsidR="003D16EB" w:rsidRPr="003D16EB">
        <w:rPr>
          <w:rFonts w:ascii="Cambria Math" w:hAnsi="Cambria Math" w:cs="Cambria Math"/>
        </w:rPr>
        <w:t>⁺</w:t>
      </w:r>
      <w:r w:rsidR="003D16EB" w:rsidRPr="003D16EB">
        <w:t xml:space="preserve"> neutrophils (PNCs) or CD115</w:t>
      </w:r>
      <w:r w:rsidR="003D16EB" w:rsidRPr="003D16EB">
        <w:rPr>
          <w:rFonts w:ascii="Cambria Math" w:hAnsi="Cambria Math" w:cs="Cambria Math"/>
        </w:rPr>
        <w:t>⁺</w:t>
      </w:r>
      <w:r w:rsidR="003D16EB" w:rsidRPr="003D16EB">
        <w:t xml:space="preserve"> monocytes (PMCs). Representative dot plots and corresponding histograms </w:t>
      </w:r>
      <w:r w:rsidR="003D16EB" w:rsidRPr="003D16EB">
        <w:lastRenderedPageBreak/>
        <w:t>illustrate CD42b signal distribution on leukocyte subsets, demonstrating platelet binding in circulating platelet–leukocyte aggregates.</w:t>
      </w:r>
    </w:p>
    <w:p w14:paraId="30FE7A20" w14:textId="5B98C820" w:rsidR="00122456" w:rsidRPr="00122456" w:rsidRDefault="00122456" w:rsidP="00F360A4">
      <w:pPr>
        <w:spacing w:line="240" w:lineRule="auto"/>
      </w:pPr>
    </w:p>
    <w:p w14:paraId="7CACEC80" w14:textId="5B2A15B1" w:rsidR="00122456" w:rsidRPr="00122456" w:rsidRDefault="00122456" w:rsidP="00122456">
      <w:r>
        <w:rPr>
          <w:noProof/>
        </w:rPr>
        <w:drawing>
          <wp:inline distT="0" distB="0" distL="0" distR="0" wp14:anchorId="788F002A" wp14:editId="0EC9E95C">
            <wp:extent cx="5879940" cy="6800442"/>
            <wp:effectExtent l="0" t="0" r="635" b="0"/>
            <wp:docPr id="100556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69305" name="Grafik 1005569305"/>
                    <pic:cNvPicPr/>
                  </pic:nvPicPr>
                  <pic:blipFill rotWithShape="1">
                    <a:blip r:embed="rId11"/>
                    <a:srcRect l="5228" r="6106" b="21868"/>
                    <a:stretch/>
                  </pic:blipFill>
                  <pic:spPr bwMode="auto">
                    <a:xfrm>
                      <a:off x="0" y="0"/>
                      <a:ext cx="5883874" cy="6804992"/>
                    </a:xfrm>
                    <a:prstGeom prst="rect">
                      <a:avLst/>
                    </a:prstGeom>
                    <a:ln>
                      <a:noFill/>
                    </a:ln>
                    <a:extLst>
                      <a:ext uri="{53640926-AAD7-44D8-BBD7-CCE9431645EC}">
                        <a14:shadowObscured xmlns:a14="http://schemas.microsoft.com/office/drawing/2010/main"/>
                      </a:ext>
                    </a:extLst>
                  </pic:spPr>
                </pic:pic>
              </a:graphicData>
            </a:graphic>
          </wp:inline>
        </w:drawing>
      </w:r>
    </w:p>
    <w:p w14:paraId="71533E1E" w14:textId="073433F4" w:rsidR="00FC134B" w:rsidRPr="00DD24BC" w:rsidRDefault="00122456" w:rsidP="00FC134B">
      <w:pPr>
        <w:pStyle w:val="Heading1"/>
      </w:pPr>
      <w:r>
        <w:lastRenderedPageBreak/>
        <w:t>Supplementary Figure 2</w:t>
      </w:r>
      <w:r w:rsidR="00761BCC">
        <w:t xml:space="preserve"> |</w:t>
      </w:r>
      <w:r>
        <w:t xml:space="preserve"> </w:t>
      </w:r>
      <w:r w:rsidR="00FC134B" w:rsidRPr="00DD24BC">
        <w:t>Quantification of circulating platelet–neutrophil and platelet-monocyte complexes after myocardial infarction.</w:t>
      </w:r>
    </w:p>
    <w:p w14:paraId="2182FD76" w14:textId="63FA1579" w:rsidR="00FC134B" w:rsidRPr="00B4342A" w:rsidRDefault="00FC134B" w:rsidP="00FC134B">
      <w:r w:rsidRPr="00DD24BC">
        <w:t>(A) Geometric mean fluorescence intensity (GMFI) of platelet CD42b on Ly6G</w:t>
      </w:r>
      <w:r w:rsidRPr="00DD24BC">
        <w:rPr>
          <w:rFonts w:ascii="Cambria Math" w:hAnsi="Cambria Math" w:cs="Cambria Math"/>
        </w:rPr>
        <w:t>⁺</w:t>
      </w:r>
      <w:r w:rsidRPr="00DD24BC">
        <w:t xml:space="preserve"> neutrophils, reflecting platelet load per neutrophil, measured in unstimulated whole blood at day 1 and day 14 after permanent LAD ligation in Pf4^cre− and Pf4^cre+ mice.</w:t>
      </w:r>
      <w:r w:rsidRPr="00DD24BC">
        <w:br/>
        <w:t>(B) Frequency of platelet–neutrophil complexes (PNCs), defined as CD42b</w:t>
      </w:r>
      <w:r w:rsidRPr="00DD24BC">
        <w:rPr>
          <w:rFonts w:ascii="Cambria Math" w:hAnsi="Cambria Math" w:cs="Cambria Math"/>
        </w:rPr>
        <w:t>⁺</w:t>
      </w:r>
      <w:r w:rsidRPr="00DD24BC">
        <w:t xml:space="preserve"> Ly6G</w:t>
      </w:r>
      <w:r w:rsidRPr="00DD24BC">
        <w:rPr>
          <w:rFonts w:ascii="Cambria Math" w:hAnsi="Cambria Math" w:cs="Cambria Math"/>
        </w:rPr>
        <w:t>⁺</w:t>
      </w:r>
      <w:r w:rsidRPr="00DD24BC">
        <w:t xml:space="preserve"> events, following stimulation with 100 </w:t>
      </w:r>
      <w:proofErr w:type="spellStart"/>
      <w:r w:rsidRPr="00DD24BC">
        <w:t>nM</w:t>
      </w:r>
      <w:proofErr w:type="spellEnd"/>
      <w:r w:rsidRPr="00DD24BC">
        <w:t xml:space="preserve"> PMA.</w:t>
      </w:r>
      <w:r w:rsidRPr="00DD24BC">
        <w:br/>
        <w:t xml:space="preserve">(C) GMFI of CD42b on PNCs after stimulation with 100 </w:t>
      </w:r>
      <w:proofErr w:type="spellStart"/>
      <w:r w:rsidRPr="00DD24BC">
        <w:t>nM</w:t>
      </w:r>
      <w:proofErr w:type="spellEnd"/>
      <w:r w:rsidRPr="00DD24BC">
        <w:t xml:space="preserve"> PMA, indicating the extent of platelet association per neutrophil.</w:t>
      </w:r>
      <w:r w:rsidRPr="00DD24BC">
        <w:br/>
      </w:r>
      <w:r w:rsidR="00DD24BC" w:rsidRPr="00DD24BC">
        <w:t>(D) Frequency of platelet–monocyte complexes (PMCs), defined as CD42b</w:t>
      </w:r>
      <w:r w:rsidR="00DD24BC" w:rsidRPr="00DD24BC">
        <w:rPr>
          <w:rFonts w:ascii="Cambria Math" w:hAnsi="Cambria Math" w:cs="Cambria Math"/>
        </w:rPr>
        <w:t>⁺</w:t>
      </w:r>
      <w:r w:rsidR="00DD24BC" w:rsidRPr="00DD24BC">
        <w:t xml:space="preserve"> CD115</w:t>
      </w:r>
      <w:r w:rsidR="00DD24BC" w:rsidRPr="00DD24BC">
        <w:rPr>
          <w:rFonts w:ascii="Cambria Math" w:hAnsi="Cambria Math" w:cs="Cambria Math"/>
        </w:rPr>
        <w:t>⁺</w:t>
      </w:r>
      <w:r w:rsidR="00DD24BC" w:rsidRPr="00DD24BC">
        <w:t xml:space="preserve"> events, measured in unstimulated whole blood at day 1 and day 14 after permanent LAD ligation in Pf4^cre− and Pf4^cre+ mice.</w:t>
      </w:r>
      <w:r w:rsidR="00DD24BC" w:rsidRPr="00DD24BC">
        <w:br/>
        <w:t>(E) GMFI of platelet CD42b on CD115</w:t>
      </w:r>
      <w:r w:rsidR="00DD24BC" w:rsidRPr="00DD24BC">
        <w:rPr>
          <w:rFonts w:ascii="Cambria Math" w:hAnsi="Cambria Math" w:cs="Cambria Math"/>
        </w:rPr>
        <w:t>⁺</w:t>
      </w:r>
      <w:r w:rsidR="00DD24BC" w:rsidRPr="00DD24BC">
        <w:t xml:space="preserve"> monocytes in unstimulated samples, reflecting platelet load per monocyte.</w:t>
      </w:r>
      <w:r w:rsidR="00DD24BC" w:rsidRPr="00DD24BC">
        <w:br/>
        <w:t xml:space="preserve">(F) Frequency of PMCs following stimulation with 100 </w:t>
      </w:r>
      <w:proofErr w:type="spellStart"/>
      <w:r w:rsidR="00DD24BC" w:rsidRPr="00DD24BC">
        <w:t>nM</w:t>
      </w:r>
      <w:proofErr w:type="spellEnd"/>
      <w:r w:rsidR="00DD24BC" w:rsidRPr="00DD24BC">
        <w:t xml:space="preserve"> PMA.</w:t>
      </w:r>
      <w:r w:rsidR="00DD24BC" w:rsidRPr="00DD24BC">
        <w:br/>
        <w:t xml:space="preserve">(G) GMFI of CD42b on PMCs after stimulation with 100 </w:t>
      </w:r>
      <w:proofErr w:type="spellStart"/>
      <w:r w:rsidR="00DD24BC" w:rsidRPr="00DD24BC">
        <w:t>nM</w:t>
      </w:r>
      <w:proofErr w:type="spellEnd"/>
      <w:r w:rsidR="00DD24BC" w:rsidRPr="00DD24BC">
        <w:t xml:space="preserve"> PMA.</w:t>
      </w:r>
      <w:r w:rsidR="00DD24BC" w:rsidRPr="00DD24BC">
        <w:br/>
        <w:t xml:space="preserve">Each dot represents one mouse; data are shown as mean ± </w:t>
      </w:r>
      <w:r w:rsidR="00B4342A">
        <w:t>SD</w:t>
      </w:r>
      <w:r w:rsidR="00DD24BC" w:rsidRPr="00DD24BC">
        <w:t>. Statistical significance is indicated as *P &lt; 0.05 and ***P &lt; 0.001.</w:t>
      </w:r>
    </w:p>
    <w:p w14:paraId="6A389E64" w14:textId="39425562" w:rsidR="00122456" w:rsidRDefault="00122456" w:rsidP="00122456">
      <w:pPr>
        <w:pStyle w:val="Heading1"/>
      </w:pPr>
    </w:p>
    <w:p w14:paraId="2A121605" w14:textId="77777777" w:rsidR="00122456" w:rsidRDefault="00122456" w:rsidP="00122456"/>
    <w:p w14:paraId="3CE8201D" w14:textId="77777777" w:rsidR="00122456" w:rsidRDefault="00122456" w:rsidP="00122456"/>
    <w:p w14:paraId="73016FFA" w14:textId="77777777" w:rsidR="00F93F4B" w:rsidRDefault="00F93F4B" w:rsidP="00122456">
      <w:r>
        <w:rPr>
          <w:noProof/>
        </w:rPr>
        <w:lastRenderedPageBreak/>
        <w:drawing>
          <wp:inline distT="0" distB="0" distL="0" distR="0" wp14:anchorId="26A77131" wp14:editId="1B68ED8E">
            <wp:extent cx="5595257" cy="6074425"/>
            <wp:effectExtent l="0" t="0" r="5715" b="0"/>
            <wp:docPr id="2852576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3290" name="Grafik 561733290"/>
                    <pic:cNvPicPr/>
                  </pic:nvPicPr>
                  <pic:blipFill rotWithShape="1">
                    <a:blip r:embed="rId12"/>
                    <a:srcRect l="6770" r="33341" b="50463"/>
                    <a:stretch/>
                  </pic:blipFill>
                  <pic:spPr bwMode="auto">
                    <a:xfrm>
                      <a:off x="0" y="0"/>
                      <a:ext cx="5606820" cy="6086978"/>
                    </a:xfrm>
                    <a:prstGeom prst="rect">
                      <a:avLst/>
                    </a:prstGeom>
                    <a:ln>
                      <a:noFill/>
                    </a:ln>
                    <a:extLst>
                      <a:ext uri="{53640926-AAD7-44D8-BBD7-CCE9431645EC}">
                        <a14:shadowObscured xmlns:a14="http://schemas.microsoft.com/office/drawing/2010/main"/>
                      </a:ext>
                    </a:extLst>
                  </pic:spPr>
                </pic:pic>
              </a:graphicData>
            </a:graphic>
          </wp:inline>
        </w:drawing>
      </w:r>
    </w:p>
    <w:p w14:paraId="231FC8E4" w14:textId="6B7D6F2B" w:rsidR="003535BD" w:rsidRPr="003535BD" w:rsidRDefault="00F93F4B" w:rsidP="003535BD">
      <w:pPr>
        <w:pStyle w:val="Heading1"/>
      </w:pPr>
      <w:r>
        <w:t xml:space="preserve">Supplementary Figure </w:t>
      </w:r>
      <w:r w:rsidR="00DB3759">
        <w:t>3</w:t>
      </w:r>
      <w:r w:rsidR="005A0DBF">
        <w:t>.1</w:t>
      </w:r>
      <w:r w:rsidR="001966E6">
        <w:t xml:space="preserve"> |</w:t>
      </w:r>
      <w:r w:rsidR="003535BD" w:rsidRPr="003535BD">
        <w:rPr>
          <w:rFonts w:ascii="Times New Roman" w:eastAsia="Times New Roman" w:hAnsi="Times New Roman" w:cs="Times New Roman"/>
          <w:b w:val="0"/>
          <w:bCs w:val="0"/>
          <w:color w:val="auto"/>
          <w:kern w:val="0"/>
          <w:sz w:val="27"/>
          <w:szCs w:val="27"/>
          <w:lang w:eastAsia="de-DE"/>
          <w14:ligatures w14:val="none"/>
        </w:rPr>
        <w:t xml:space="preserve"> </w:t>
      </w:r>
      <w:r w:rsidR="003535BD" w:rsidRPr="003535BD">
        <w:t>Pharmacological C5aR1 inhibition modulates circulating platelet–neutrophil complexes after myocardial infarction.</w:t>
      </w:r>
    </w:p>
    <w:p w14:paraId="156A8914" w14:textId="77777777" w:rsidR="003535BD" w:rsidRPr="003535BD" w:rsidRDefault="003535BD" w:rsidP="003535BD">
      <w:r w:rsidRPr="003535BD">
        <w:t>(A) Frequency of platelet–neutrophil complexes (PNCs), defined as CD42b</w:t>
      </w:r>
      <w:r w:rsidRPr="003535BD">
        <w:rPr>
          <w:rFonts w:ascii="Cambria Math" w:hAnsi="Cambria Math" w:cs="Cambria Math"/>
        </w:rPr>
        <w:t>⁺</w:t>
      </w:r>
      <w:r w:rsidRPr="003535BD">
        <w:t xml:space="preserve"> Ly6G</w:t>
      </w:r>
      <w:r w:rsidRPr="003535BD">
        <w:rPr>
          <w:rFonts w:ascii="Cambria Math" w:hAnsi="Cambria Math" w:cs="Cambria Math"/>
        </w:rPr>
        <w:t>⁺</w:t>
      </w:r>
      <w:r w:rsidRPr="003535BD">
        <w:t xml:space="preserve"> events, measured in unstimulated whole blood at day 1 and day 14 after permanent LAD ligation in PBS- and PMX205-treated mice.</w:t>
      </w:r>
      <w:r w:rsidRPr="003535BD">
        <w:br/>
        <w:t>(B) Geometric mean fluorescence intensity (GMFI) of platelet CD42b on Ly6G</w:t>
      </w:r>
      <w:r w:rsidRPr="003535BD">
        <w:rPr>
          <w:rFonts w:ascii="Cambria Math" w:hAnsi="Cambria Math" w:cs="Cambria Math"/>
        </w:rPr>
        <w:t>⁺</w:t>
      </w:r>
      <w:r w:rsidRPr="003535BD">
        <w:t xml:space="preserve"> neutrophils in unstimulated samples, reflecting platelet load per neutrophil.</w:t>
      </w:r>
      <w:r w:rsidRPr="003535BD">
        <w:br/>
      </w:r>
      <w:r w:rsidRPr="003535BD">
        <w:lastRenderedPageBreak/>
        <w:t xml:space="preserve">(C) Frequency of PNCs following ex vivo stimulation with 100 </w:t>
      </w:r>
      <w:proofErr w:type="spellStart"/>
      <w:r w:rsidRPr="003535BD">
        <w:t>nM</w:t>
      </w:r>
      <w:proofErr w:type="spellEnd"/>
      <w:r w:rsidRPr="003535BD">
        <w:t xml:space="preserve"> PMA.</w:t>
      </w:r>
      <w:r w:rsidRPr="003535BD">
        <w:br/>
        <w:t xml:space="preserve">(D) GMFI of CD42b on PNCs after stimulation with 100 </w:t>
      </w:r>
      <w:proofErr w:type="spellStart"/>
      <w:r w:rsidRPr="003535BD">
        <w:t>nM</w:t>
      </w:r>
      <w:proofErr w:type="spellEnd"/>
      <w:r w:rsidRPr="003535BD">
        <w:t xml:space="preserve"> PMA.</w:t>
      </w:r>
    </w:p>
    <w:p w14:paraId="32705B12" w14:textId="6001F0CC" w:rsidR="00F93F4B" w:rsidRPr="003535BD" w:rsidRDefault="003535BD" w:rsidP="003535BD">
      <w:r w:rsidRPr="003535BD">
        <w:t xml:space="preserve">Each dot represents one mouse; data are shown as mean ± </w:t>
      </w:r>
      <w:r w:rsidR="00B4342A">
        <w:t>SD</w:t>
      </w:r>
      <w:r w:rsidRPr="003535BD">
        <w:t>. Statistical significance is indicated as *P &lt; 0.05, **P &lt; 0.01, ***P &lt; 0.001, and ****P &lt; 0.0001.</w:t>
      </w:r>
    </w:p>
    <w:p w14:paraId="2C10063B" w14:textId="77777777" w:rsidR="003535BD" w:rsidRPr="003535BD" w:rsidRDefault="003535BD" w:rsidP="003535BD"/>
    <w:p w14:paraId="17F2CDD1" w14:textId="798598CC" w:rsidR="00450CB1" w:rsidRPr="00450CB1" w:rsidRDefault="00F93F4B" w:rsidP="00450CB1">
      <w:pPr>
        <w:rPr>
          <w:b/>
          <w:bCs/>
          <w:color w:val="000000" w:themeColor="text1"/>
        </w:rPr>
      </w:pPr>
      <w:r>
        <w:rPr>
          <w:noProof/>
        </w:rPr>
        <w:drawing>
          <wp:inline distT="0" distB="0" distL="0" distR="0" wp14:anchorId="14DB0631" wp14:editId="11F56A35">
            <wp:extent cx="5573485" cy="5984967"/>
            <wp:effectExtent l="0" t="0" r="1905" b="0"/>
            <wp:docPr id="5617332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3290" name="Grafik 561733290"/>
                    <pic:cNvPicPr/>
                  </pic:nvPicPr>
                  <pic:blipFill rotWithShape="1">
                    <a:blip r:embed="rId12"/>
                    <a:srcRect l="6770" t="51002" r="33341"/>
                    <a:stretch/>
                  </pic:blipFill>
                  <pic:spPr bwMode="auto">
                    <a:xfrm>
                      <a:off x="0" y="0"/>
                      <a:ext cx="5586507" cy="5998951"/>
                    </a:xfrm>
                    <a:prstGeom prst="rect">
                      <a:avLst/>
                    </a:prstGeom>
                    <a:ln>
                      <a:noFill/>
                    </a:ln>
                    <a:extLst>
                      <a:ext uri="{53640926-AAD7-44D8-BBD7-CCE9431645EC}">
                        <a14:shadowObscured xmlns:a14="http://schemas.microsoft.com/office/drawing/2010/main"/>
                      </a:ext>
                    </a:extLst>
                  </pic:spPr>
                </pic:pic>
              </a:graphicData>
            </a:graphic>
          </wp:inline>
        </w:drawing>
      </w:r>
      <w:r w:rsidRPr="009B1FF2">
        <w:rPr>
          <w:rStyle w:val="Heading1Char"/>
        </w:rPr>
        <w:t xml:space="preserve">Supplementary Figure </w:t>
      </w:r>
      <w:r w:rsidR="003535BD">
        <w:rPr>
          <w:rStyle w:val="Heading1Char"/>
        </w:rPr>
        <w:t>3</w:t>
      </w:r>
      <w:r w:rsidR="005A0DBF" w:rsidRPr="009B1FF2">
        <w:rPr>
          <w:rStyle w:val="Heading1Char"/>
        </w:rPr>
        <w:t>.2</w:t>
      </w:r>
      <w:r w:rsidR="008B2645">
        <w:rPr>
          <w:rStyle w:val="Heading1Char"/>
        </w:rPr>
        <w:t xml:space="preserve"> |</w:t>
      </w:r>
      <w:r w:rsidR="00450CB1">
        <w:rPr>
          <w:rStyle w:val="Heading1Char"/>
        </w:rPr>
        <w:t xml:space="preserve"> </w:t>
      </w:r>
      <w:r w:rsidR="00450CB1" w:rsidRPr="00450CB1">
        <w:rPr>
          <w:b/>
          <w:bCs/>
          <w:color w:val="000000" w:themeColor="text1"/>
        </w:rPr>
        <w:t>Pharmacological C5aR1 inhibition modulates circulating platelet–monocyte complexes after myocardial infarction.</w:t>
      </w:r>
    </w:p>
    <w:p w14:paraId="58CE85E5" w14:textId="77777777" w:rsidR="00450CB1" w:rsidRPr="00450CB1" w:rsidRDefault="00450CB1" w:rsidP="00450CB1">
      <w:pPr>
        <w:rPr>
          <w:rFonts w:eastAsiaTheme="majorEastAsia"/>
          <w:color w:val="000000" w:themeColor="text1"/>
        </w:rPr>
      </w:pPr>
      <w:r w:rsidRPr="00450CB1">
        <w:rPr>
          <w:rFonts w:eastAsiaTheme="majorEastAsia"/>
          <w:color w:val="000000" w:themeColor="text1"/>
        </w:rPr>
        <w:t>(E) Frequency of platelet–monocyte complexes (PMCs), defined as CD42b</w:t>
      </w:r>
      <w:r w:rsidRPr="00450CB1">
        <w:rPr>
          <w:rFonts w:ascii="Cambria Math" w:eastAsiaTheme="majorEastAsia" w:hAnsi="Cambria Math" w:cs="Cambria Math"/>
          <w:color w:val="000000" w:themeColor="text1"/>
        </w:rPr>
        <w:t>⁺</w:t>
      </w:r>
      <w:r w:rsidRPr="00450CB1">
        <w:rPr>
          <w:rFonts w:eastAsiaTheme="majorEastAsia"/>
          <w:color w:val="000000" w:themeColor="text1"/>
        </w:rPr>
        <w:t xml:space="preserve"> CD115</w:t>
      </w:r>
      <w:r w:rsidRPr="00450CB1">
        <w:rPr>
          <w:rFonts w:ascii="Cambria Math" w:eastAsiaTheme="majorEastAsia" w:hAnsi="Cambria Math" w:cs="Cambria Math"/>
          <w:color w:val="000000" w:themeColor="text1"/>
        </w:rPr>
        <w:t>⁺</w:t>
      </w:r>
      <w:r w:rsidRPr="00450CB1">
        <w:rPr>
          <w:rFonts w:eastAsiaTheme="majorEastAsia"/>
          <w:color w:val="000000" w:themeColor="text1"/>
        </w:rPr>
        <w:t xml:space="preserve"> events, measured in unstimulated whole blood at day 1 and day 14 after permanent LAD ligation in PBS- and PMX205-treated mice.</w:t>
      </w:r>
      <w:r w:rsidRPr="00450CB1">
        <w:rPr>
          <w:rFonts w:eastAsiaTheme="majorEastAsia"/>
          <w:color w:val="000000" w:themeColor="text1"/>
        </w:rPr>
        <w:br/>
      </w:r>
      <w:r w:rsidRPr="00450CB1">
        <w:rPr>
          <w:rFonts w:eastAsiaTheme="majorEastAsia"/>
          <w:color w:val="000000" w:themeColor="text1"/>
        </w:rPr>
        <w:lastRenderedPageBreak/>
        <w:t>(F) Geometric mean fluorescence intensity (GMFI) of platelet CD42b on CD115</w:t>
      </w:r>
      <w:r w:rsidRPr="00450CB1">
        <w:rPr>
          <w:rFonts w:ascii="Cambria Math" w:eastAsiaTheme="majorEastAsia" w:hAnsi="Cambria Math" w:cs="Cambria Math"/>
          <w:color w:val="000000" w:themeColor="text1"/>
        </w:rPr>
        <w:t>⁺</w:t>
      </w:r>
      <w:r w:rsidRPr="00450CB1">
        <w:rPr>
          <w:rFonts w:eastAsiaTheme="majorEastAsia"/>
          <w:color w:val="000000" w:themeColor="text1"/>
        </w:rPr>
        <w:t xml:space="preserve"> monocytes in unstimulated samples, reflecting platelet load per monocyte.</w:t>
      </w:r>
      <w:r w:rsidRPr="00450CB1">
        <w:rPr>
          <w:rFonts w:eastAsiaTheme="majorEastAsia"/>
          <w:color w:val="000000" w:themeColor="text1"/>
        </w:rPr>
        <w:br/>
        <w:t xml:space="preserve">(G) Frequency of PMCs following ex vivo stimulation with 100 </w:t>
      </w:r>
      <w:proofErr w:type="spellStart"/>
      <w:r w:rsidRPr="00450CB1">
        <w:rPr>
          <w:rFonts w:eastAsiaTheme="majorEastAsia"/>
          <w:color w:val="000000" w:themeColor="text1"/>
        </w:rPr>
        <w:t>nM</w:t>
      </w:r>
      <w:proofErr w:type="spellEnd"/>
      <w:r w:rsidRPr="00450CB1">
        <w:rPr>
          <w:rFonts w:eastAsiaTheme="majorEastAsia"/>
          <w:color w:val="000000" w:themeColor="text1"/>
        </w:rPr>
        <w:t xml:space="preserve"> PMA.</w:t>
      </w:r>
      <w:r w:rsidRPr="00450CB1">
        <w:rPr>
          <w:rFonts w:eastAsiaTheme="majorEastAsia"/>
          <w:color w:val="000000" w:themeColor="text1"/>
        </w:rPr>
        <w:br/>
        <w:t xml:space="preserve">(H) GMFI of CD42b on PMCs after stimulation with 100 </w:t>
      </w:r>
      <w:proofErr w:type="spellStart"/>
      <w:r w:rsidRPr="00450CB1">
        <w:rPr>
          <w:rFonts w:eastAsiaTheme="majorEastAsia"/>
          <w:color w:val="000000" w:themeColor="text1"/>
        </w:rPr>
        <w:t>nM</w:t>
      </w:r>
      <w:proofErr w:type="spellEnd"/>
      <w:r w:rsidRPr="00450CB1">
        <w:rPr>
          <w:rFonts w:eastAsiaTheme="majorEastAsia"/>
          <w:color w:val="000000" w:themeColor="text1"/>
        </w:rPr>
        <w:t xml:space="preserve"> PMA.</w:t>
      </w:r>
    </w:p>
    <w:p w14:paraId="592A1EFE" w14:textId="4F6E3E55" w:rsidR="009B1FF2" w:rsidRPr="00D41ACE" w:rsidRDefault="00450CB1" w:rsidP="00D41ACE">
      <w:pPr>
        <w:rPr>
          <w:rFonts w:eastAsiaTheme="majorEastAsia"/>
          <w:color w:val="000000" w:themeColor="text1"/>
        </w:rPr>
      </w:pPr>
      <w:r w:rsidRPr="00450CB1">
        <w:rPr>
          <w:rFonts w:eastAsiaTheme="majorEastAsia"/>
          <w:color w:val="000000" w:themeColor="text1"/>
        </w:rPr>
        <w:t xml:space="preserve">Each dot represents one mouse; data are shown as mean ± </w:t>
      </w:r>
      <w:r w:rsidR="00B4342A">
        <w:rPr>
          <w:rFonts w:eastAsiaTheme="majorEastAsia"/>
          <w:color w:val="000000" w:themeColor="text1"/>
        </w:rPr>
        <w:t>SD</w:t>
      </w:r>
      <w:r w:rsidRPr="00450CB1">
        <w:rPr>
          <w:rFonts w:eastAsiaTheme="majorEastAsia"/>
          <w:color w:val="000000" w:themeColor="text1"/>
        </w:rPr>
        <w:t>. Statistical significance is indicated as *P &lt; 0.05, **P &lt; 0.01, and ****P &lt; 0.0001.</w:t>
      </w:r>
    </w:p>
    <w:p w14:paraId="24AF2211" w14:textId="06C8E29E" w:rsidR="00F93F4B" w:rsidRDefault="009B1FF2" w:rsidP="00F93F4B">
      <w:pPr>
        <w:pStyle w:val="Heading1"/>
      </w:pPr>
      <w:r>
        <w:rPr>
          <w:noProof/>
        </w:rPr>
        <w:drawing>
          <wp:inline distT="0" distB="0" distL="0" distR="0" wp14:anchorId="63AA79C0" wp14:editId="60E76CA1">
            <wp:extent cx="5486400" cy="5162031"/>
            <wp:effectExtent l="0" t="0" r="0" b="0"/>
            <wp:docPr id="20308772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77264" name="Grafik 2030877264"/>
                    <pic:cNvPicPr/>
                  </pic:nvPicPr>
                  <pic:blipFill rotWithShape="1">
                    <a:blip r:embed="rId13"/>
                    <a:srcRect l="2803" t="3561" r="18004" b="39669"/>
                    <a:stretch/>
                  </pic:blipFill>
                  <pic:spPr bwMode="auto">
                    <a:xfrm>
                      <a:off x="0" y="0"/>
                      <a:ext cx="5492182" cy="5167471"/>
                    </a:xfrm>
                    <a:prstGeom prst="rect">
                      <a:avLst/>
                    </a:prstGeom>
                    <a:ln>
                      <a:noFill/>
                    </a:ln>
                    <a:extLst>
                      <a:ext uri="{53640926-AAD7-44D8-BBD7-CCE9431645EC}">
                        <a14:shadowObscured xmlns:a14="http://schemas.microsoft.com/office/drawing/2010/main"/>
                      </a:ext>
                    </a:extLst>
                  </pic:spPr>
                </pic:pic>
              </a:graphicData>
            </a:graphic>
          </wp:inline>
        </w:drawing>
      </w:r>
      <w:r w:rsidR="00F93F4B">
        <w:t xml:space="preserve"> </w:t>
      </w:r>
    </w:p>
    <w:p w14:paraId="7421BA2E" w14:textId="10B70983" w:rsidR="008D65F4" w:rsidRDefault="00A1526A" w:rsidP="008D65F4">
      <w:pPr>
        <w:rPr>
          <w:b/>
          <w:bCs/>
        </w:rPr>
      </w:pPr>
      <w:r w:rsidRPr="008D65F4">
        <w:rPr>
          <w:b/>
          <w:bCs/>
        </w:rPr>
        <w:t xml:space="preserve">Supplementary Figure </w:t>
      </w:r>
      <w:r w:rsidR="00D41ACE" w:rsidRPr="008D65F4">
        <w:rPr>
          <w:b/>
          <w:bCs/>
        </w:rPr>
        <w:t>4</w:t>
      </w:r>
      <w:r w:rsidR="00D64DA6">
        <w:rPr>
          <w:b/>
          <w:bCs/>
        </w:rPr>
        <w:t xml:space="preserve"> |</w:t>
      </w:r>
      <w:r w:rsidRPr="008D65F4">
        <w:rPr>
          <w:b/>
          <w:bCs/>
        </w:rPr>
        <w:t xml:space="preserve"> </w:t>
      </w:r>
      <w:r w:rsidR="00705610" w:rsidRPr="008D65F4">
        <w:rPr>
          <w:b/>
          <w:bCs/>
        </w:rPr>
        <w:t>Flow cytometric assessment of platelet activation in whole blood after myocardial infarction.</w:t>
      </w:r>
    </w:p>
    <w:p w14:paraId="2DE56DC9" w14:textId="3B457EE4" w:rsidR="00705610" w:rsidRPr="008D65F4" w:rsidRDefault="00705610" w:rsidP="008D65F4">
      <w:pPr>
        <w:rPr>
          <w:b/>
          <w:bCs/>
        </w:rPr>
      </w:pPr>
      <w:r w:rsidRPr="00705610">
        <w:t xml:space="preserve">(A) Experimental workflow. Whole blood was collected 24 h after permanent LAD ligation into enoxaparin-coated tubes, diluted 1:9 in PBS, stimulated ex vivo with 100 </w:t>
      </w:r>
      <w:proofErr w:type="spellStart"/>
      <w:r w:rsidRPr="00705610">
        <w:t>nM</w:t>
      </w:r>
      <w:proofErr w:type="spellEnd"/>
      <w:r w:rsidRPr="00705610">
        <w:t xml:space="preserve"> PMA for 15 min, and analyzed by flow cytometry to assess platelet activation markers.</w:t>
      </w:r>
      <w:r w:rsidRPr="00705610">
        <w:br/>
      </w:r>
      <w:r w:rsidRPr="00705610">
        <w:lastRenderedPageBreak/>
        <w:t xml:space="preserve">(B) Representative gating strategy for platelet identification and activation analysis. After exclusion of doublets based on FSC-A/FSC-H, platelets were identified by FSC/SSC characteristics and CD42b expression. Platelet activation was quantified by surface expression of P-selectin (CD62P) and activation-dependent </w:t>
      </w:r>
      <w:r w:rsidRPr="00705610">
        <w:rPr>
          <w:lang w:val="de-DE"/>
        </w:rPr>
        <w:t>α</w:t>
      </w:r>
      <w:r w:rsidRPr="00705610">
        <w:t>IIb</w:t>
      </w:r>
      <w:r w:rsidRPr="00705610">
        <w:rPr>
          <w:lang w:val="de-DE"/>
        </w:rPr>
        <w:t>β</w:t>
      </w:r>
      <w:r w:rsidRPr="00705610">
        <w:t xml:space="preserve">3 integrin (CD41/60). </w:t>
      </w:r>
      <w:proofErr w:type="spellStart"/>
      <w:r w:rsidRPr="00705610">
        <w:rPr>
          <w:lang w:val="de-DE"/>
        </w:rPr>
        <w:t>Isotype</w:t>
      </w:r>
      <w:proofErr w:type="spellEnd"/>
      <w:r w:rsidRPr="00705610">
        <w:rPr>
          <w:lang w:val="de-DE"/>
        </w:rPr>
        <w:t xml:space="preserve"> </w:t>
      </w:r>
      <w:proofErr w:type="spellStart"/>
      <w:r w:rsidRPr="00705610">
        <w:rPr>
          <w:lang w:val="de-DE"/>
        </w:rPr>
        <w:t>controls</w:t>
      </w:r>
      <w:proofErr w:type="spellEnd"/>
      <w:r w:rsidRPr="00705610">
        <w:rPr>
          <w:lang w:val="de-DE"/>
        </w:rPr>
        <w:t xml:space="preserve"> </w:t>
      </w:r>
      <w:proofErr w:type="spellStart"/>
      <w:r w:rsidRPr="00705610">
        <w:rPr>
          <w:lang w:val="de-DE"/>
        </w:rPr>
        <w:t>were</w:t>
      </w:r>
      <w:proofErr w:type="spellEnd"/>
      <w:r w:rsidRPr="00705610">
        <w:rPr>
          <w:lang w:val="de-DE"/>
        </w:rPr>
        <w:t xml:space="preserve"> </w:t>
      </w:r>
      <w:proofErr w:type="spellStart"/>
      <w:r w:rsidRPr="00705610">
        <w:rPr>
          <w:lang w:val="de-DE"/>
        </w:rPr>
        <w:t>used</w:t>
      </w:r>
      <w:proofErr w:type="spellEnd"/>
      <w:r w:rsidRPr="00705610">
        <w:rPr>
          <w:lang w:val="de-DE"/>
        </w:rPr>
        <w:t xml:space="preserve"> </w:t>
      </w:r>
      <w:proofErr w:type="spellStart"/>
      <w:r w:rsidRPr="00705610">
        <w:rPr>
          <w:lang w:val="de-DE"/>
        </w:rPr>
        <w:t>to</w:t>
      </w:r>
      <w:proofErr w:type="spellEnd"/>
      <w:r w:rsidRPr="00705610">
        <w:rPr>
          <w:lang w:val="de-DE"/>
        </w:rPr>
        <w:t xml:space="preserve"> </w:t>
      </w:r>
      <w:proofErr w:type="spellStart"/>
      <w:r w:rsidRPr="00705610">
        <w:rPr>
          <w:lang w:val="de-DE"/>
        </w:rPr>
        <w:t>define</w:t>
      </w:r>
      <w:proofErr w:type="spellEnd"/>
      <w:r w:rsidRPr="00705610">
        <w:rPr>
          <w:lang w:val="de-DE"/>
        </w:rPr>
        <w:t xml:space="preserve"> positive </w:t>
      </w:r>
      <w:proofErr w:type="spellStart"/>
      <w:r w:rsidRPr="00705610">
        <w:rPr>
          <w:lang w:val="de-DE"/>
        </w:rPr>
        <w:t>gates</w:t>
      </w:r>
      <w:proofErr w:type="spellEnd"/>
      <w:r w:rsidRPr="00705610">
        <w:rPr>
          <w:lang w:val="de-DE"/>
        </w:rPr>
        <w:t>.</w:t>
      </w:r>
    </w:p>
    <w:p w14:paraId="243957D2" w14:textId="55B193E1" w:rsidR="00A1526A" w:rsidRDefault="00A1526A" w:rsidP="00A1526A">
      <w:pPr>
        <w:pStyle w:val="Heading1"/>
      </w:pPr>
    </w:p>
    <w:p w14:paraId="7F06920F" w14:textId="77777777" w:rsidR="008E433D" w:rsidRDefault="008E433D" w:rsidP="008E433D"/>
    <w:p w14:paraId="37865735" w14:textId="348552F4" w:rsidR="008E433D" w:rsidRDefault="008E433D" w:rsidP="008E433D">
      <w:r>
        <w:rPr>
          <w:noProof/>
        </w:rPr>
        <w:lastRenderedPageBreak/>
        <w:drawing>
          <wp:inline distT="0" distB="0" distL="0" distR="0" wp14:anchorId="79CC2B7C" wp14:editId="5705597D">
            <wp:extent cx="5942819" cy="7739144"/>
            <wp:effectExtent l="0" t="0" r="1270" b="0"/>
            <wp:docPr id="173071790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17905" name="Grafik 1730717905"/>
                    <pic:cNvPicPr/>
                  </pic:nvPicPr>
                  <pic:blipFill rotWithShape="1">
                    <a:blip r:embed="rId14"/>
                    <a:srcRect l="1614" r="10195" b="12494"/>
                    <a:stretch/>
                  </pic:blipFill>
                  <pic:spPr bwMode="auto">
                    <a:xfrm>
                      <a:off x="0" y="0"/>
                      <a:ext cx="5948189" cy="7746138"/>
                    </a:xfrm>
                    <a:prstGeom prst="rect">
                      <a:avLst/>
                    </a:prstGeom>
                    <a:ln>
                      <a:noFill/>
                    </a:ln>
                    <a:extLst>
                      <a:ext uri="{53640926-AAD7-44D8-BBD7-CCE9431645EC}">
                        <a14:shadowObscured xmlns:a14="http://schemas.microsoft.com/office/drawing/2010/main"/>
                      </a:ext>
                    </a:extLst>
                  </pic:spPr>
                </pic:pic>
              </a:graphicData>
            </a:graphic>
          </wp:inline>
        </w:drawing>
      </w:r>
    </w:p>
    <w:p w14:paraId="125877B0" w14:textId="5CE61E89" w:rsidR="00267345" w:rsidRPr="00CF4301" w:rsidRDefault="008E433D" w:rsidP="00267345">
      <w:pPr>
        <w:pStyle w:val="Heading1"/>
      </w:pPr>
      <w:r w:rsidRPr="00A1526A">
        <w:lastRenderedPageBreak/>
        <w:t xml:space="preserve">Supplementary Figure </w:t>
      </w:r>
      <w:r w:rsidR="000411A2">
        <w:t>5</w:t>
      </w:r>
      <w:r w:rsidR="00A403CC">
        <w:t xml:space="preserve"> |</w:t>
      </w:r>
      <w:r w:rsidRPr="00A1526A">
        <w:t xml:space="preserve"> </w:t>
      </w:r>
      <w:r w:rsidR="00267345" w:rsidRPr="00CF4301">
        <w:t>Platelet-specific C5aR1 deficiency attenuates platelet activation after myocardial infarction.</w:t>
      </w:r>
    </w:p>
    <w:p w14:paraId="66F45049" w14:textId="77777777" w:rsidR="00267345" w:rsidRPr="00CF4301" w:rsidRDefault="00267345" w:rsidP="00267345">
      <w:r w:rsidRPr="00CF4301">
        <w:t xml:space="preserve">(A) Representative flow cytometric dot plots showing P-selectin (CD62P) surface expression and activated </w:t>
      </w:r>
      <w:r w:rsidRPr="00267345">
        <w:rPr>
          <w:lang w:val="de-DE"/>
        </w:rPr>
        <w:t>α</w:t>
      </w:r>
      <w:r w:rsidRPr="00CF4301">
        <w:t>IIb</w:t>
      </w:r>
      <w:r w:rsidRPr="00267345">
        <w:rPr>
          <w:lang w:val="de-DE"/>
        </w:rPr>
        <w:t>β</w:t>
      </w:r>
      <w:r w:rsidRPr="00CF4301">
        <w:t>3 integrin (CD41/60) on CD42b</w:t>
      </w:r>
      <w:r w:rsidRPr="00CF4301">
        <w:rPr>
          <w:rFonts w:ascii="Cambria Math" w:hAnsi="Cambria Math" w:cs="Cambria Math"/>
        </w:rPr>
        <w:t>⁺</w:t>
      </w:r>
      <w:r w:rsidRPr="00CF4301">
        <w:t xml:space="preserve"> platelets from Pf4^cre− and Pf4^cre+ mice following ex vivo stimulation with 100 </w:t>
      </w:r>
      <w:proofErr w:type="spellStart"/>
      <w:r w:rsidRPr="00CF4301">
        <w:t>nM</w:t>
      </w:r>
      <w:proofErr w:type="spellEnd"/>
      <w:r w:rsidRPr="00CF4301">
        <w:t xml:space="preserve"> PMA.</w:t>
      </w:r>
    </w:p>
    <w:p w14:paraId="45B8E6F2" w14:textId="77777777" w:rsidR="00267345" w:rsidRPr="00CF4301" w:rsidRDefault="00267345" w:rsidP="00267345">
      <w:r w:rsidRPr="00CF4301">
        <w:t xml:space="preserve">(B–C) Quantification of the percentage of P-selectin–positive platelets (B) and activated </w:t>
      </w:r>
      <w:r w:rsidRPr="00267345">
        <w:rPr>
          <w:lang w:val="de-DE"/>
        </w:rPr>
        <w:t>α</w:t>
      </w:r>
      <w:r w:rsidRPr="00CF4301">
        <w:t>IIb</w:t>
      </w:r>
      <w:r w:rsidRPr="00267345">
        <w:rPr>
          <w:lang w:val="de-DE"/>
        </w:rPr>
        <w:t>β</w:t>
      </w:r>
      <w:r w:rsidRPr="00CF4301">
        <w:t xml:space="preserve">3–positive platelets (C) after stimulation with 100 </w:t>
      </w:r>
      <w:proofErr w:type="spellStart"/>
      <w:r w:rsidRPr="00CF4301">
        <w:t>nM</w:t>
      </w:r>
      <w:proofErr w:type="spellEnd"/>
      <w:r w:rsidRPr="00CF4301">
        <w:t xml:space="preserve"> PMA at day 1 and day 14 after permanent LAD ligation.</w:t>
      </w:r>
    </w:p>
    <w:p w14:paraId="6180B75E" w14:textId="77777777" w:rsidR="00267345" w:rsidRPr="00CF4301" w:rsidRDefault="00267345" w:rsidP="00267345">
      <w:r w:rsidRPr="00CF4301">
        <w:t>(E) Geometric mean fluorescence intensity (GMFI) of P-selectin on CD42b</w:t>
      </w:r>
      <w:r w:rsidRPr="00CF4301">
        <w:rPr>
          <w:rFonts w:ascii="Cambria Math" w:hAnsi="Cambria Math" w:cs="Cambria Math"/>
        </w:rPr>
        <w:t>⁺</w:t>
      </w:r>
      <w:r w:rsidRPr="00CF4301">
        <w:t xml:space="preserve"> platelets following PMA stimulation.</w:t>
      </w:r>
    </w:p>
    <w:p w14:paraId="220768BE" w14:textId="77777777" w:rsidR="00267345" w:rsidRPr="00CF4301" w:rsidRDefault="00267345" w:rsidP="00267345">
      <w:r w:rsidRPr="00CF4301">
        <w:t>(F–G) Percentage (F) and GMFI (G) of P-selectin on CD42b</w:t>
      </w:r>
      <w:r w:rsidRPr="00CF4301">
        <w:rPr>
          <w:rFonts w:ascii="Cambria Math" w:hAnsi="Cambria Math" w:cs="Cambria Math"/>
        </w:rPr>
        <w:t>⁺</w:t>
      </w:r>
      <w:r w:rsidRPr="00CF4301">
        <w:t xml:space="preserve"> platelets in unstimulated whole blood at day 1 and day 14 after myocardial infarction.</w:t>
      </w:r>
    </w:p>
    <w:p w14:paraId="114A0177" w14:textId="77777777" w:rsidR="00267345" w:rsidRPr="00CF4301" w:rsidRDefault="00267345" w:rsidP="00267345">
      <w:r w:rsidRPr="00CF4301">
        <w:t xml:space="preserve">(H) GMFI of activated </w:t>
      </w:r>
      <w:r w:rsidRPr="00267345">
        <w:rPr>
          <w:lang w:val="de-DE"/>
        </w:rPr>
        <w:t>α</w:t>
      </w:r>
      <w:r w:rsidRPr="00CF4301">
        <w:t>IIb</w:t>
      </w:r>
      <w:r w:rsidRPr="00267345">
        <w:rPr>
          <w:lang w:val="de-DE"/>
        </w:rPr>
        <w:t>β</w:t>
      </w:r>
      <w:r w:rsidRPr="00CF4301">
        <w:t>3 on CD42b</w:t>
      </w:r>
      <w:r w:rsidRPr="00CF4301">
        <w:rPr>
          <w:rFonts w:ascii="Cambria Math" w:hAnsi="Cambria Math" w:cs="Cambria Math"/>
        </w:rPr>
        <w:t>⁺</w:t>
      </w:r>
      <w:r w:rsidRPr="00CF4301">
        <w:t xml:space="preserve"> platelets after stimulation with 100 </w:t>
      </w:r>
      <w:proofErr w:type="spellStart"/>
      <w:r w:rsidRPr="00CF4301">
        <w:t>nM</w:t>
      </w:r>
      <w:proofErr w:type="spellEnd"/>
      <w:r w:rsidRPr="00CF4301">
        <w:t xml:space="preserve"> PMA.</w:t>
      </w:r>
    </w:p>
    <w:p w14:paraId="5F26EDCC" w14:textId="77777777" w:rsidR="00267345" w:rsidRPr="00CF4301" w:rsidRDefault="00267345" w:rsidP="00267345">
      <w:r w:rsidRPr="00CF4301">
        <w:t xml:space="preserve">(I–J) Percentage (I) and GMFI (J) of activated </w:t>
      </w:r>
      <w:r w:rsidRPr="00267345">
        <w:rPr>
          <w:lang w:val="de-DE"/>
        </w:rPr>
        <w:t>α</w:t>
      </w:r>
      <w:r w:rsidRPr="00CF4301">
        <w:t>IIb</w:t>
      </w:r>
      <w:r w:rsidRPr="00267345">
        <w:rPr>
          <w:lang w:val="de-DE"/>
        </w:rPr>
        <w:t>β</w:t>
      </w:r>
      <w:r w:rsidRPr="00CF4301">
        <w:t>3 on CD42b</w:t>
      </w:r>
      <w:r w:rsidRPr="00CF4301">
        <w:rPr>
          <w:rFonts w:ascii="Cambria Math" w:hAnsi="Cambria Math" w:cs="Cambria Math"/>
        </w:rPr>
        <w:t>⁺</w:t>
      </w:r>
      <w:r w:rsidRPr="00CF4301">
        <w:t xml:space="preserve"> platelets in unstimulated whole blood.</w:t>
      </w:r>
    </w:p>
    <w:p w14:paraId="306B6FDC" w14:textId="42A2354D" w:rsidR="00F93F4B" w:rsidRPr="00122456" w:rsidRDefault="00267345" w:rsidP="00787B6B">
      <w:r w:rsidRPr="00CF4301">
        <w:t xml:space="preserve">Each dot represents one mouse; data are shown as mean ± </w:t>
      </w:r>
      <w:r w:rsidR="00B4342A">
        <w:t>SD</w:t>
      </w:r>
      <w:r w:rsidRPr="00CF4301">
        <w:t>. Statistical significance is indicated as *P &lt; 0.05, **P &lt; 0.01.</w:t>
      </w:r>
    </w:p>
    <w:p w14:paraId="55F7DC2E" w14:textId="77777777" w:rsidR="007C2E89" w:rsidRDefault="007C2E89" w:rsidP="00A51A89">
      <w:r>
        <w:rPr>
          <w:noProof/>
        </w:rPr>
        <w:lastRenderedPageBreak/>
        <w:drawing>
          <wp:inline distT="0" distB="0" distL="0" distR="0" wp14:anchorId="6EF678FB" wp14:editId="5CCB940C">
            <wp:extent cx="5152293" cy="5610873"/>
            <wp:effectExtent l="0" t="0" r="4445" b="2540"/>
            <wp:docPr id="176553833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0830" name="Grafik 423930830"/>
                    <pic:cNvPicPr/>
                  </pic:nvPicPr>
                  <pic:blipFill rotWithShape="1">
                    <a:blip r:embed="rId15"/>
                    <a:srcRect t="1" r="41647" b="51582"/>
                    <a:stretch/>
                  </pic:blipFill>
                  <pic:spPr bwMode="auto">
                    <a:xfrm>
                      <a:off x="0" y="0"/>
                      <a:ext cx="5159814" cy="5619063"/>
                    </a:xfrm>
                    <a:prstGeom prst="rect">
                      <a:avLst/>
                    </a:prstGeom>
                    <a:ln>
                      <a:noFill/>
                    </a:ln>
                    <a:extLst>
                      <a:ext uri="{53640926-AAD7-44D8-BBD7-CCE9431645EC}">
                        <a14:shadowObscured xmlns:a14="http://schemas.microsoft.com/office/drawing/2010/main"/>
                      </a:ext>
                    </a:extLst>
                  </pic:spPr>
                </pic:pic>
              </a:graphicData>
            </a:graphic>
          </wp:inline>
        </w:drawing>
      </w:r>
    </w:p>
    <w:p w14:paraId="387E9066" w14:textId="52A704F6" w:rsidR="00CF4301" w:rsidRPr="00787B6B" w:rsidRDefault="007C2E89" w:rsidP="00CF4301">
      <w:pPr>
        <w:pStyle w:val="Heading1"/>
      </w:pPr>
      <w:r w:rsidRPr="00A1526A">
        <w:t xml:space="preserve">Supplementary Figure </w:t>
      </w:r>
      <w:r w:rsidR="00CF4301">
        <w:t>6</w:t>
      </w:r>
      <w:r w:rsidRPr="00A1526A">
        <w:t>.</w:t>
      </w:r>
      <w:r>
        <w:t>1</w:t>
      </w:r>
      <w:r w:rsidR="00735C4F">
        <w:t xml:space="preserve"> |</w:t>
      </w:r>
      <w:r w:rsidRPr="00A1526A">
        <w:t xml:space="preserve"> </w:t>
      </w:r>
      <w:r w:rsidR="00CF4301" w:rsidRPr="00787B6B">
        <w:t>Pharmacological C5aR1 inhibition reduces PMA-induced platelet activation after myocardial infarction.</w:t>
      </w:r>
    </w:p>
    <w:p w14:paraId="6A7665A1" w14:textId="77777777" w:rsidR="00CF4301" w:rsidRPr="00787B6B" w:rsidRDefault="00CF4301" w:rsidP="00CF4301">
      <w:r w:rsidRPr="00787B6B">
        <w:t>(A–B) Percentage of P-selectin–positive platelets (A) and geometric mean fluorescence intensity (GMFI) of P-selectin (B) on CD42b</w:t>
      </w:r>
      <w:r w:rsidRPr="00787B6B">
        <w:rPr>
          <w:rFonts w:ascii="Cambria Math" w:hAnsi="Cambria Math" w:cs="Cambria Math"/>
        </w:rPr>
        <w:t>⁺</w:t>
      </w:r>
      <w:r w:rsidRPr="00787B6B">
        <w:t xml:space="preserve"> platelets following ex vivo stimulation with 100 </w:t>
      </w:r>
      <w:proofErr w:type="spellStart"/>
      <w:r w:rsidRPr="00787B6B">
        <w:t>nM</w:t>
      </w:r>
      <w:proofErr w:type="spellEnd"/>
      <w:r w:rsidRPr="00787B6B">
        <w:t xml:space="preserve"> PMA at day 1 and day 14 after permanent LAD ligation in PBS- and PMX205-treated mice.</w:t>
      </w:r>
    </w:p>
    <w:p w14:paraId="5B25C3C1" w14:textId="77777777" w:rsidR="00CF4301" w:rsidRPr="00787B6B" w:rsidRDefault="00CF4301" w:rsidP="00CF4301">
      <w:r w:rsidRPr="00787B6B">
        <w:t xml:space="preserve">(C–D) Percentage of activated </w:t>
      </w:r>
      <w:r w:rsidRPr="00CF4301">
        <w:rPr>
          <w:lang w:val="de-DE"/>
        </w:rPr>
        <w:t>α</w:t>
      </w:r>
      <w:r w:rsidRPr="00787B6B">
        <w:t>IIb</w:t>
      </w:r>
      <w:r w:rsidRPr="00CF4301">
        <w:rPr>
          <w:lang w:val="de-DE"/>
        </w:rPr>
        <w:t>β</w:t>
      </w:r>
      <w:r w:rsidRPr="00787B6B">
        <w:t xml:space="preserve">3–positive platelets (C) and GMFI of activated </w:t>
      </w:r>
      <w:r w:rsidRPr="00CF4301">
        <w:rPr>
          <w:lang w:val="de-DE"/>
        </w:rPr>
        <w:t>α</w:t>
      </w:r>
      <w:r w:rsidRPr="00787B6B">
        <w:t>IIb</w:t>
      </w:r>
      <w:r w:rsidRPr="00CF4301">
        <w:rPr>
          <w:lang w:val="de-DE"/>
        </w:rPr>
        <w:t>β</w:t>
      </w:r>
      <w:r w:rsidRPr="00787B6B">
        <w:t>3 (D) on CD42b</w:t>
      </w:r>
      <w:r w:rsidRPr="00787B6B">
        <w:rPr>
          <w:rFonts w:ascii="Cambria Math" w:hAnsi="Cambria Math" w:cs="Cambria Math"/>
        </w:rPr>
        <w:t>⁺</w:t>
      </w:r>
      <w:r w:rsidRPr="00787B6B">
        <w:t xml:space="preserve"> platelets after stimulation with 100 </w:t>
      </w:r>
      <w:proofErr w:type="spellStart"/>
      <w:r w:rsidRPr="00787B6B">
        <w:t>nM</w:t>
      </w:r>
      <w:proofErr w:type="spellEnd"/>
      <w:r w:rsidRPr="00787B6B">
        <w:t xml:space="preserve"> PMA.</w:t>
      </w:r>
    </w:p>
    <w:p w14:paraId="52D39D07" w14:textId="2EFFF3B1" w:rsidR="00CF4301" w:rsidRPr="00787B6B" w:rsidRDefault="00CF4301" w:rsidP="00CF4301">
      <w:r w:rsidRPr="00787B6B">
        <w:t xml:space="preserve">Each dot represents one mouse; data are shown as mean ± </w:t>
      </w:r>
      <w:r w:rsidR="00B4342A">
        <w:t>SD</w:t>
      </w:r>
      <w:r w:rsidRPr="00787B6B">
        <w:t>. Statistical significance is indicated as *P &lt; 0.05, **P &lt; 0.01, ***P &lt; 0.001.</w:t>
      </w:r>
    </w:p>
    <w:p w14:paraId="5AF88DED" w14:textId="1B3BEE30" w:rsidR="007C2E89" w:rsidRPr="00A51A89" w:rsidRDefault="007C2E89" w:rsidP="007C2E89">
      <w:pPr>
        <w:pStyle w:val="Heading1"/>
      </w:pPr>
    </w:p>
    <w:p w14:paraId="51FFBCBD" w14:textId="77777777" w:rsidR="007C2E89" w:rsidRDefault="007C2E89" w:rsidP="00A51A89"/>
    <w:p w14:paraId="5E43BEFA" w14:textId="370856D4" w:rsidR="00E82F49" w:rsidRDefault="007C2E89" w:rsidP="00A51A89">
      <w:r>
        <w:rPr>
          <w:noProof/>
        </w:rPr>
        <w:drawing>
          <wp:inline distT="0" distB="0" distL="0" distR="0" wp14:anchorId="79ECA27C" wp14:editId="1F8833C0">
            <wp:extent cx="5644662" cy="5587600"/>
            <wp:effectExtent l="0" t="0" r="0" b="635"/>
            <wp:docPr id="42393083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0830" name="Grafik 423930830"/>
                    <pic:cNvPicPr/>
                  </pic:nvPicPr>
                  <pic:blipFill rotWithShape="1">
                    <a:blip r:embed="rId15"/>
                    <a:srcRect t="48418" r="38604" b="5277"/>
                    <a:stretch/>
                  </pic:blipFill>
                  <pic:spPr bwMode="auto">
                    <a:xfrm>
                      <a:off x="0" y="0"/>
                      <a:ext cx="5653529" cy="5596377"/>
                    </a:xfrm>
                    <a:prstGeom prst="rect">
                      <a:avLst/>
                    </a:prstGeom>
                    <a:ln>
                      <a:noFill/>
                    </a:ln>
                    <a:extLst>
                      <a:ext uri="{53640926-AAD7-44D8-BBD7-CCE9431645EC}">
                        <a14:shadowObscured xmlns:a14="http://schemas.microsoft.com/office/drawing/2010/main"/>
                      </a:ext>
                    </a:extLst>
                  </pic:spPr>
                </pic:pic>
              </a:graphicData>
            </a:graphic>
          </wp:inline>
        </w:drawing>
      </w:r>
    </w:p>
    <w:p w14:paraId="6F4F7F05" w14:textId="213D894D" w:rsidR="0013690E" w:rsidRPr="00B4342A" w:rsidRDefault="007C2E89" w:rsidP="0013690E">
      <w:pPr>
        <w:pStyle w:val="Heading1"/>
      </w:pPr>
      <w:r w:rsidRPr="00A1526A">
        <w:t xml:space="preserve">Supplementary Figure </w:t>
      </w:r>
      <w:r w:rsidR="0013690E">
        <w:t>6</w:t>
      </w:r>
      <w:r w:rsidRPr="00A1526A">
        <w:t>.</w:t>
      </w:r>
      <w:r>
        <w:t>2</w:t>
      </w:r>
      <w:r w:rsidR="000E24DF">
        <w:t xml:space="preserve"> | </w:t>
      </w:r>
      <w:r w:rsidR="0013690E" w:rsidRPr="00B4342A">
        <w:t>Baseline platelet activation is not markedly altered by pharmacological C5aR1 inhibition after myocardial infarction.</w:t>
      </w:r>
    </w:p>
    <w:p w14:paraId="57C8C678" w14:textId="77777777" w:rsidR="0013690E" w:rsidRPr="0013690E" w:rsidRDefault="0013690E" w:rsidP="00035B33">
      <w:r w:rsidRPr="0013690E">
        <w:t>(E–F) Percentage of P-selectin–positive platelets (E) and geometric mean fluorescence intensity (GMFI) of P-selectin (F) on CD42b</w:t>
      </w:r>
      <w:r w:rsidRPr="0013690E">
        <w:rPr>
          <w:rFonts w:ascii="Cambria Math" w:hAnsi="Cambria Math" w:cs="Cambria Math"/>
        </w:rPr>
        <w:t>⁺</w:t>
      </w:r>
      <w:r w:rsidRPr="0013690E">
        <w:t xml:space="preserve"> platelets in unstimulated whole blood at day 1 and day 14 after permanent LAD ligation in PBS- and PMX205-treated mice.</w:t>
      </w:r>
    </w:p>
    <w:p w14:paraId="4C72D9E9" w14:textId="77777777" w:rsidR="0013690E" w:rsidRPr="0013690E" w:rsidRDefault="0013690E" w:rsidP="00035B33">
      <w:r w:rsidRPr="0013690E">
        <w:t xml:space="preserve">(G–H) Percentage of activated </w:t>
      </w:r>
      <w:r w:rsidRPr="0013690E">
        <w:rPr>
          <w:lang w:val="de-DE"/>
        </w:rPr>
        <w:t>α</w:t>
      </w:r>
      <w:r w:rsidRPr="0013690E">
        <w:t>IIb</w:t>
      </w:r>
      <w:r w:rsidRPr="0013690E">
        <w:rPr>
          <w:lang w:val="de-DE"/>
        </w:rPr>
        <w:t>β</w:t>
      </w:r>
      <w:r w:rsidRPr="0013690E">
        <w:t xml:space="preserve">3–positive platelets (G) and GMFI of activated </w:t>
      </w:r>
      <w:r w:rsidRPr="0013690E">
        <w:rPr>
          <w:lang w:val="de-DE"/>
        </w:rPr>
        <w:t>α</w:t>
      </w:r>
      <w:r w:rsidRPr="0013690E">
        <w:t>IIb</w:t>
      </w:r>
      <w:r w:rsidRPr="0013690E">
        <w:rPr>
          <w:lang w:val="de-DE"/>
        </w:rPr>
        <w:t>β</w:t>
      </w:r>
      <w:r w:rsidRPr="0013690E">
        <w:t>3 (H) on CD42b</w:t>
      </w:r>
      <w:r w:rsidRPr="0013690E">
        <w:rPr>
          <w:rFonts w:ascii="Cambria Math" w:hAnsi="Cambria Math" w:cs="Cambria Math"/>
        </w:rPr>
        <w:t>⁺</w:t>
      </w:r>
      <w:r w:rsidRPr="0013690E">
        <w:t xml:space="preserve"> platelets in unstimulated samples.</w:t>
      </w:r>
    </w:p>
    <w:p w14:paraId="441E24CB" w14:textId="6F04697B" w:rsidR="00854610" w:rsidRDefault="0013690E" w:rsidP="00854610">
      <w:r w:rsidRPr="0013690E">
        <w:t xml:space="preserve">Each dot represents one mouse; data are shown as mean ± </w:t>
      </w:r>
      <w:r w:rsidR="00B4342A">
        <w:t>SD</w:t>
      </w:r>
      <w:r w:rsidRPr="0013690E">
        <w:t>.</w:t>
      </w:r>
    </w:p>
    <w:p w14:paraId="1AB33269" w14:textId="77777777" w:rsidR="001835E4" w:rsidRDefault="00F948F2" w:rsidP="001835E4">
      <w:r>
        <w:rPr>
          <w:noProof/>
        </w:rPr>
        <w:lastRenderedPageBreak/>
        <w:drawing>
          <wp:inline distT="0" distB="0" distL="0" distR="0" wp14:anchorId="3D8EAB48" wp14:editId="493532D2">
            <wp:extent cx="4853305" cy="6770077"/>
            <wp:effectExtent l="0" t="0" r="0" b="0"/>
            <wp:docPr id="14305986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98682" name="Grafik 1430598682"/>
                    <pic:cNvPicPr/>
                  </pic:nvPicPr>
                  <pic:blipFill rotWithShape="1">
                    <a:blip r:embed="rId16"/>
                    <a:srcRect r="15695" b="10399"/>
                    <a:stretch/>
                  </pic:blipFill>
                  <pic:spPr bwMode="auto">
                    <a:xfrm>
                      <a:off x="0" y="0"/>
                      <a:ext cx="4853354" cy="6770145"/>
                    </a:xfrm>
                    <a:prstGeom prst="rect">
                      <a:avLst/>
                    </a:prstGeom>
                    <a:ln>
                      <a:noFill/>
                    </a:ln>
                    <a:extLst>
                      <a:ext uri="{53640926-AAD7-44D8-BBD7-CCE9431645EC}">
                        <a14:shadowObscured xmlns:a14="http://schemas.microsoft.com/office/drawing/2010/main"/>
                      </a:ext>
                    </a:extLst>
                  </pic:spPr>
                </pic:pic>
              </a:graphicData>
            </a:graphic>
          </wp:inline>
        </w:drawing>
      </w:r>
    </w:p>
    <w:p w14:paraId="45948CC3" w14:textId="75B3CC8C" w:rsidR="003E093C" w:rsidRPr="00933A3B" w:rsidRDefault="00F948F2" w:rsidP="001835E4">
      <w:pPr>
        <w:pStyle w:val="Heading1"/>
        <w:rPr>
          <w:color w:val="auto"/>
        </w:rPr>
      </w:pPr>
      <w:r w:rsidRPr="00A1526A">
        <w:t xml:space="preserve">Supplementary Figure </w:t>
      </w:r>
      <w:r w:rsidR="00976F59">
        <w:t>7</w:t>
      </w:r>
      <w:r w:rsidR="0023640C">
        <w:t xml:space="preserve"> |</w:t>
      </w:r>
      <w:r w:rsidRPr="00A1526A">
        <w:t xml:space="preserve"> </w:t>
      </w:r>
      <w:r w:rsidR="003E093C" w:rsidRPr="00933A3B">
        <w:t>Representative echocardiographic assessment of left ventricular function after myocardial infarction.</w:t>
      </w:r>
    </w:p>
    <w:p w14:paraId="6EE8F665" w14:textId="77777777" w:rsidR="003E093C" w:rsidRPr="00933A3B" w:rsidRDefault="003E093C" w:rsidP="003E093C">
      <w:r w:rsidRPr="00933A3B">
        <w:t>(A) Representative parasternal long-axis (PSLAX) B-mode echocardiographic image of the left ventricle with endocardial tracing used for volumetric analysis and calculation of ejection fraction after permanent LAD ligation. ECG recording is shown below.</w:t>
      </w:r>
    </w:p>
    <w:p w14:paraId="7A416D8F" w14:textId="77777777" w:rsidR="003E093C" w:rsidRPr="003E093C" w:rsidRDefault="003E093C" w:rsidP="003E093C">
      <w:pPr>
        <w:rPr>
          <w:lang w:val="de-DE"/>
        </w:rPr>
      </w:pPr>
      <w:r w:rsidRPr="00933A3B">
        <w:lastRenderedPageBreak/>
        <w:t xml:space="preserve">(B) Representative parasternal short-axis (SAX) M-mode echocardiographic image acquired at the mid-papillary level illustrating left ventricular wall motion and chamber dimensions used for assessment of systolic function. </w:t>
      </w:r>
      <w:r w:rsidRPr="003E093C">
        <w:rPr>
          <w:lang w:val="de-DE"/>
        </w:rPr>
        <w:t xml:space="preserve">ECG </w:t>
      </w:r>
      <w:proofErr w:type="spellStart"/>
      <w:r w:rsidRPr="003E093C">
        <w:rPr>
          <w:lang w:val="de-DE"/>
        </w:rPr>
        <w:t>recording</w:t>
      </w:r>
      <w:proofErr w:type="spellEnd"/>
      <w:r w:rsidRPr="003E093C">
        <w:rPr>
          <w:lang w:val="de-DE"/>
        </w:rPr>
        <w:t xml:space="preserve"> </w:t>
      </w:r>
      <w:proofErr w:type="spellStart"/>
      <w:r w:rsidRPr="003E093C">
        <w:rPr>
          <w:lang w:val="de-DE"/>
        </w:rPr>
        <w:t>is</w:t>
      </w:r>
      <w:proofErr w:type="spellEnd"/>
      <w:r w:rsidRPr="003E093C">
        <w:rPr>
          <w:lang w:val="de-DE"/>
        </w:rPr>
        <w:t xml:space="preserve"> </w:t>
      </w:r>
      <w:proofErr w:type="spellStart"/>
      <w:r w:rsidRPr="003E093C">
        <w:rPr>
          <w:lang w:val="de-DE"/>
        </w:rPr>
        <w:t>shown</w:t>
      </w:r>
      <w:proofErr w:type="spellEnd"/>
      <w:r w:rsidRPr="003E093C">
        <w:rPr>
          <w:lang w:val="de-DE"/>
        </w:rPr>
        <w:t xml:space="preserve"> </w:t>
      </w:r>
      <w:proofErr w:type="spellStart"/>
      <w:r w:rsidRPr="003E093C">
        <w:rPr>
          <w:lang w:val="de-DE"/>
        </w:rPr>
        <w:t>below</w:t>
      </w:r>
      <w:proofErr w:type="spellEnd"/>
      <w:r w:rsidRPr="003E093C">
        <w:rPr>
          <w:lang w:val="de-DE"/>
        </w:rPr>
        <w:t>.</w:t>
      </w:r>
    </w:p>
    <w:p w14:paraId="770F89F9" w14:textId="3B15044E" w:rsidR="00F948F2" w:rsidRDefault="00F948F2" w:rsidP="00F948F2">
      <w:pPr>
        <w:pStyle w:val="Heading1"/>
      </w:pPr>
    </w:p>
    <w:p w14:paraId="7F62D8C4" w14:textId="77777777" w:rsidR="00893D01" w:rsidRPr="00893D01" w:rsidRDefault="00893D01" w:rsidP="00893D01"/>
    <w:p w14:paraId="5219DA03" w14:textId="1FFD8A9E" w:rsidR="00F948F2" w:rsidRDefault="00893D01" w:rsidP="00F948F2">
      <w:pPr>
        <w:pStyle w:val="Heading1"/>
      </w:pPr>
      <w:r>
        <w:rPr>
          <w:noProof/>
        </w:rPr>
        <w:lastRenderedPageBreak/>
        <w:drawing>
          <wp:inline distT="0" distB="0" distL="0" distR="0" wp14:anchorId="5CBB8712" wp14:editId="6C021420">
            <wp:extent cx="5257800" cy="7139353"/>
            <wp:effectExtent l="0" t="0" r="0" b="0"/>
            <wp:docPr id="19556954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95463" name="Grafik 1955695463"/>
                    <pic:cNvPicPr/>
                  </pic:nvPicPr>
                  <pic:blipFill rotWithShape="1">
                    <a:blip r:embed="rId17"/>
                    <a:srcRect t="2327" r="8670" b="3185"/>
                    <a:stretch/>
                  </pic:blipFill>
                  <pic:spPr bwMode="auto">
                    <a:xfrm>
                      <a:off x="0" y="0"/>
                      <a:ext cx="5257800" cy="7139353"/>
                    </a:xfrm>
                    <a:prstGeom prst="rect">
                      <a:avLst/>
                    </a:prstGeom>
                    <a:ln>
                      <a:noFill/>
                    </a:ln>
                    <a:extLst>
                      <a:ext uri="{53640926-AAD7-44D8-BBD7-CCE9431645EC}">
                        <a14:shadowObscured xmlns:a14="http://schemas.microsoft.com/office/drawing/2010/main"/>
                      </a:ext>
                    </a:extLst>
                  </pic:spPr>
                </pic:pic>
              </a:graphicData>
            </a:graphic>
          </wp:inline>
        </w:drawing>
      </w:r>
      <w:r w:rsidR="00F948F2">
        <w:t xml:space="preserve">  </w:t>
      </w:r>
    </w:p>
    <w:p w14:paraId="1E494A82" w14:textId="3D73F115" w:rsidR="00BC76CC" w:rsidRPr="00E92BDD" w:rsidRDefault="000473D9" w:rsidP="00BC76CC">
      <w:pPr>
        <w:pStyle w:val="Heading1"/>
      </w:pPr>
      <w:r w:rsidRPr="00A1526A">
        <w:t xml:space="preserve">Supplementary Figure </w:t>
      </w:r>
      <w:r w:rsidR="00942B6E">
        <w:t>8</w:t>
      </w:r>
      <w:r w:rsidR="00B977E5">
        <w:t xml:space="preserve"> |</w:t>
      </w:r>
      <w:r w:rsidRPr="00A1526A">
        <w:t xml:space="preserve"> </w:t>
      </w:r>
      <w:r w:rsidR="00BC76CC" w:rsidRPr="00E92BDD">
        <w:t>Echocardiographic assessment of volumetric and hemodynamic parameters after myocardial infarction.</w:t>
      </w:r>
    </w:p>
    <w:p w14:paraId="7CBC24DB" w14:textId="77777777" w:rsidR="00BC76CC" w:rsidRPr="00E92BDD" w:rsidRDefault="00BC76CC" w:rsidP="00BC76CC">
      <w:pPr>
        <w:rPr>
          <w:rFonts w:eastAsiaTheme="majorEastAsia"/>
        </w:rPr>
      </w:pPr>
      <w:r w:rsidRPr="00E92BDD">
        <w:rPr>
          <w:rFonts w:eastAsiaTheme="majorEastAsia"/>
        </w:rPr>
        <w:t>(A) Left ventricular end-systolic volume (ESV).</w:t>
      </w:r>
      <w:r w:rsidRPr="00E92BDD">
        <w:rPr>
          <w:rFonts w:eastAsiaTheme="majorEastAsia"/>
        </w:rPr>
        <w:br/>
        <w:t>(B) Left ventricular end-diastolic volume (EDV).</w:t>
      </w:r>
      <w:r w:rsidRPr="00E92BDD">
        <w:rPr>
          <w:rFonts w:eastAsiaTheme="majorEastAsia"/>
        </w:rPr>
        <w:br/>
        <w:t>(C) Stroke volume (SV).</w:t>
      </w:r>
      <w:r w:rsidRPr="00E92BDD">
        <w:rPr>
          <w:rFonts w:eastAsiaTheme="majorEastAsia"/>
        </w:rPr>
        <w:br/>
      </w:r>
      <w:r w:rsidRPr="00E92BDD">
        <w:rPr>
          <w:rFonts w:eastAsiaTheme="majorEastAsia"/>
        </w:rPr>
        <w:lastRenderedPageBreak/>
        <w:t>(D) Cardiac output (CO).</w:t>
      </w:r>
      <w:r w:rsidRPr="00E92BDD">
        <w:rPr>
          <w:rFonts w:eastAsiaTheme="majorEastAsia"/>
        </w:rPr>
        <w:br/>
        <w:t>(E) Heart rate (HR).</w:t>
      </w:r>
    </w:p>
    <w:p w14:paraId="58DED846" w14:textId="605C0F93" w:rsidR="00BC76CC" w:rsidRPr="00BC76CC" w:rsidRDefault="00BC76CC" w:rsidP="00BC76CC">
      <w:pPr>
        <w:rPr>
          <w:rFonts w:eastAsiaTheme="majorEastAsia"/>
          <w:lang w:val="de-DE"/>
        </w:rPr>
      </w:pPr>
      <w:r w:rsidRPr="00E92BDD">
        <w:rPr>
          <w:rFonts w:eastAsiaTheme="majorEastAsia"/>
        </w:rPr>
        <w:t xml:space="preserve">All parameters were measured by transthoracic echocardiography at day 1 and day 13 after permanent LAD ligation in Pf4^cre− and Pf4^cre+ mice. Each dot represents one mouse; data are shown as mean ± </w:t>
      </w:r>
      <w:r w:rsidR="00371D51">
        <w:rPr>
          <w:rFonts w:eastAsiaTheme="majorEastAsia"/>
        </w:rPr>
        <w:t>SD</w:t>
      </w:r>
      <w:r w:rsidRPr="00E92BDD">
        <w:rPr>
          <w:rFonts w:eastAsiaTheme="majorEastAsia"/>
        </w:rPr>
        <w:t xml:space="preserve">. </w:t>
      </w:r>
      <w:r w:rsidRPr="00BC76CC">
        <w:rPr>
          <w:rFonts w:eastAsiaTheme="majorEastAsia"/>
          <w:lang w:val="de-DE"/>
        </w:rPr>
        <w:t xml:space="preserve">Statistical </w:t>
      </w:r>
      <w:proofErr w:type="spellStart"/>
      <w:r w:rsidRPr="00BC76CC">
        <w:rPr>
          <w:rFonts w:eastAsiaTheme="majorEastAsia"/>
          <w:lang w:val="de-DE"/>
        </w:rPr>
        <w:t>significance</w:t>
      </w:r>
      <w:proofErr w:type="spellEnd"/>
      <w:r w:rsidRPr="00BC76CC">
        <w:rPr>
          <w:rFonts w:eastAsiaTheme="majorEastAsia"/>
          <w:lang w:val="de-DE"/>
        </w:rPr>
        <w:t xml:space="preserve"> </w:t>
      </w:r>
      <w:proofErr w:type="spellStart"/>
      <w:r w:rsidRPr="00BC76CC">
        <w:rPr>
          <w:rFonts w:eastAsiaTheme="majorEastAsia"/>
          <w:lang w:val="de-DE"/>
        </w:rPr>
        <w:t>is</w:t>
      </w:r>
      <w:proofErr w:type="spellEnd"/>
      <w:r w:rsidRPr="00BC76CC">
        <w:rPr>
          <w:rFonts w:eastAsiaTheme="majorEastAsia"/>
          <w:lang w:val="de-DE"/>
        </w:rPr>
        <w:t xml:space="preserve"> </w:t>
      </w:r>
      <w:proofErr w:type="spellStart"/>
      <w:r w:rsidRPr="00BC76CC">
        <w:rPr>
          <w:rFonts w:eastAsiaTheme="majorEastAsia"/>
          <w:lang w:val="de-DE"/>
        </w:rPr>
        <w:t>indicated</w:t>
      </w:r>
      <w:proofErr w:type="spellEnd"/>
      <w:r w:rsidRPr="00BC76CC">
        <w:rPr>
          <w:rFonts w:eastAsiaTheme="majorEastAsia"/>
          <w:lang w:val="de-DE"/>
        </w:rPr>
        <w:t xml:space="preserve"> </w:t>
      </w:r>
      <w:proofErr w:type="spellStart"/>
      <w:r w:rsidRPr="00BC76CC">
        <w:rPr>
          <w:rFonts w:eastAsiaTheme="majorEastAsia"/>
          <w:lang w:val="de-DE"/>
        </w:rPr>
        <w:t>as</w:t>
      </w:r>
      <w:proofErr w:type="spellEnd"/>
      <w:r w:rsidRPr="00BC76CC">
        <w:rPr>
          <w:rFonts w:eastAsiaTheme="majorEastAsia"/>
          <w:lang w:val="de-DE"/>
        </w:rPr>
        <w:t xml:space="preserve"> *P &lt; 0.05 and ***P &lt; 0.001.</w:t>
      </w:r>
    </w:p>
    <w:p w14:paraId="620D70F1" w14:textId="781BD2DD" w:rsidR="000473D9" w:rsidRDefault="000473D9" w:rsidP="000473D9">
      <w:pPr>
        <w:pStyle w:val="Heading1"/>
      </w:pPr>
    </w:p>
    <w:p w14:paraId="61004942" w14:textId="77777777" w:rsidR="000473D9" w:rsidRDefault="000473D9" w:rsidP="000473D9"/>
    <w:p w14:paraId="2861A030" w14:textId="0DD18DA1" w:rsidR="000473D9" w:rsidRDefault="000473D9" w:rsidP="000473D9">
      <w:r>
        <w:rPr>
          <w:noProof/>
        </w:rPr>
        <w:lastRenderedPageBreak/>
        <w:drawing>
          <wp:inline distT="0" distB="0" distL="0" distR="0" wp14:anchorId="3B331EF3" wp14:editId="78632DE8">
            <wp:extent cx="5756910" cy="7555865"/>
            <wp:effectExtent l="0" t="0" r="0" b="635"/>
            <wp:docPr id="4780421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42143" name="Grafik 478042143"/>
                    <pic:cNvPicPr/>
                  </pic:nvPicPr>
                  <pic:blipFill>
                    <a:blip r:embed="rId18"/>
                    <a:stretch>
                      <a:fillRect/>
                    </a:stretch>
                  </pic:blipFill>
                  <pic:spPr>
                    <a:xfrm>
                      <a:off x="0" y="0"/>
                      <a:ext cx="5756910" cy="7555865"/>
                    </a:xfrm>
                    <a:prstGeom prst="rect">
                      <a:avLst/>
                    </a:prstGeom>
                  </pic:spPr>
                </pic:pic>
              </a:graphicData>
            </a:graphic>
          </wp:inline>
        </w:drawing>
      </w:r>
    </w:p>
    <w:p w14:paraId="19123F54" w14:textId="6ED61E51" w:rsidR="003D3A3C" w:rsidRPr="00344405" w:rsidRDefault="000473D9" w:rsidP="003D3A3C">
      <w:pPr>
        <w:pStyle w:val="Heading1"/>
      </w:pPr>
      <w:r w:rsidRPr="00A1526A">
        <w:t xml:space="preserve">Supplementary Figure </w:t>
      </w:r>
      <w:r w:rsidR="00E92BDD">
        <w:t>9</w:t>
      </w:r>
      <w:r w:rsidR="00137F1D">
        <w:t xml:space="preserve"> |</w:t>
      </w:r>
      <w:r w:rsidRPr="00A1526A">
        <w:t xml:space="preserve"> </w:t>
      </w:r>
      <w:r w:rsidR="003D3A3C" w:rsidRPr="00344405">
        <w:t>Effects of pharmacological C5aR1 inhibition on volumetric and hemodynamic parameters after myocardial infarction.</w:t>
      </w:r>
    </w:p>
    <w:p w14:paraId="6C143B00" w14:textId="77777777" w:rsidR="003D3A3C" w:rsidRPr="00344405" w:rsidRDefault="003D3A3C" w:rsidP="003D3A3C">
      <w:r w:rsidRPr="00344405">
        <w:t>(A) Left ventricular end-systolic volume (ESV).</w:t>
      </w:r>
      <w:r w:rsidRPr="00344405">
        <w:br/>
        <w:t>(B) Left ventricular end-diastolic volume (EDV).</w:t>
      </w:r>
      <w:r w:rsidRPr="00344405">
        <w:br/>
      </w:r>
      <w:r w:rsidRPr="00344405">
        <w:lastRenderedPageBreak/>
        <w:t>(C) Stroke volume (SV).</w:t>
      </w:r>
      <w:r w:rsidRPr="00344405">
        <w:br/>
        <w:t>(D) Cardiac output (CO).</w:t>
      </w:r>
      <w:r w:rsidRPr="00344405">
        <w:br/>
        <w:t>(E) Heart rate (HR).</w:t>
      </w:r>
    </w:p>
    <w:p w14:paraId="5F2865C3" w14:textId="76F26421" w:rsidR="003D3A3C" w:rsidRPr="003D3A3C" w:rsidRDefault="003D3A3C" w:rsidP="003D3A3C">
      <w:pPr>
        <w:rPr>
          <w:lang w:val="de-DE"/>
        </w:rPr>
      </w:pPr>
      <w:r w:rsidRPr="00344405">
        <w:t xml:space="preserve">All parameters were measured by transthoracic echocardiography at day 1 and day 13 after permanent LAD ligation in PBS- and PMX205-treated mice. Each dot represents one mouse; data are shown as mean ± </w:t>
      </w:r>
      <w:r w:rsidR="00371D51">
        <w:t>SD</w:t>
      </w:r>
      <w:r w:rsidRPr="00344405">
        <w:t xml:space="preserve">. </w:t>
      </w:r>
      <w:r w:rsidRPr="003D3A3C">
        <w:rPr>
          <w:lang w:val="de-DE"/>
        </w:rPr>
        <w:t xml:space="preserve">Statistical </w:t>
      </w:r>
      <w:proofErr w:type="spellStart"/>
      <w:r w:rsidRPr="003D3A3C">
        <w:rPr>
          <w:lang w:val="de-DE"/>
        </w:rPr>
        <w:t>significance</w:t>
      </w:r>
      <w:proofErr w:type="spellEnd"/>
      <w:r w:rsidRPr="003D3A3C">
        <w:rPr>
          <w:lang w:val="de-DE"/>
        </w:rPr>
        <w:t xml:space="preserve"> </w:t>
      </w:r>
      <w:proofErr w:type="spellStart"/>
      <w:r w:rsidRPr="003D3A3C">
        <w:rPr>
          <w:lang w:val="de-DE"/>
        </w:rPr>
        <w:t>is</w:t>
      </w:r>
      <w:proofErr w:type="spellEnd"/>
      <w:r w:rsidRPr="003D3A3C">
        <w:rPr>
          <w:lang w:val="de-DE"/>
        </w:rPr>
        <w:t xml:space="preserve"> </w:t>
      </w:r>
      <w:proofErr w:type="spellStart"/>
      <w:r w:rsidRPr="003D3A3C">
        <w:rPr>
          <w:lang w:val="de-DE"/>
        </w:rPr>
        <w:t>indicated</w:t>
      </w:r>
      <w:proofErr w:type="spellEnd"/>
      <w:r w:rsidRPr="003D3A3C">
        <w:rPr>
          <w:lang w:val="de-DE"/>
        </w:rPr>
        <w:t xml:space="preserve"> </w:t>
      </w:r>
      <w:proofErr w:type="spellStart"/>
      <w:r w:rsidRPr="003D3A3C">
        <w:rPr>
          <w:lang w:val="de-DE"/>
        </w:rPr>
        <w:t>as</w:t>
      </w:r>
      <w:proofErr w:type="spellEnd"/>
      <w:r w:rsidRPr="003D3A3C">
        <w:rPr>
          <w:lang w:val="de-DE"/>
        </w:rPr>
        <w:t xml:space="preserve"> *P &lt; 0.05, **P &lt; 0.01, and ***P &lt; 0.001.</w:t>
      </w:r>
    </w:p>
    <w:p w14:paraId="77ECB8AF" w14:textId="77777777" w:rsidR="000473D9" w:rsidRDefault="000473D9" w:rsidP="000473D9"/>
    <w:p w14:paraId="62A1605E" w14:textId="77777777" w:rsidR="001835E4" w:rsidRDefault="001835E4" w:rsidP="000473D9"/>
    <w:p w14:paraId="2BE9A1F7" w14:textId="77777777" w:rsidR="001835E4" w:rsidRDefault="001835E4" w:rsidP="000473D9"/>
    <w:p w14:paraId="77F0097E" w14:textId="77777777" w:rsidR="001835E4" w:rsidRDefault="001835E4" w:rsidP="000473D9"/>
    <w:p w14:paraId="4A2445AC" w14:textId="54770A65" w:rsidR="000473D9" w:rsidRDefault="00F6269B" w:rsidP="000473D9">
      <w:r>
        <w:rPr>
          <w:noProof/>
        </w:rPr>
        <w:lastRenderedPageBreak/>
        <w:drawing>
          <wp:inline distT="0" distB="0" distL="0" distR="0" wp14:anchorId="75D6AE43" wp14:editId="3BA001CA">
            <wp:extent cx="5797868" cy="5838093"/>
            <wp:effectExtent l="0" t="0" r="0" b="4445"/>
            <wp:docPr id="18633035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03536" name="Grafik 1863303536"/>
                    <pic:cNvPicPr/>
                  </pic:nvPicPr>
                  <pic:blipFill rotWithShape="1">
                    <a:blip r:embed="rId19"/>
                    <a:srcRect t="5353" r="13242" b="28086"/>
                    <a:stretch/>
                  </pic:blipFill>
                  <pic:spPr bwMode="auto">
                    <a:xfrm>
                      <a:off x="0" y="0"/>
                      <a:ext cx="5803033" cy="5843293"/>
                    </a:xfrm>
                    <a:prstGeom prst="rect">
                      <a:avLst/>
                    </a:prstGeom>
                    <a:ln>
                      <a:noFill/>
                    </a:ln>
                    <a:extLst>
                      <a:ext uri="{53640926-AAD7-44D8-BBD7-CCE9431645EC}">
                        <a14:shadowObscured xmlns:a14="http://schemas.microsoft.com/office/drawing/2010/main"/>
                      </a:ext>
                    </a:extLst>
                  </pic:spPr>
                </pic:pic>
              </a:graphicData>
            </a:graphic>
          </wp:inline>
        </w:drawing>
      </w:r>
    </w:p>
    <w:p w14:paraId="5E41D6AC" w14:textId="73AA64F5" w:rsidR="00344405" w:rsidRPr="00344405" w:rsidRDefault="00EE0424" w:rsidP="00344405">
      <w:pPr>
        <w:pStyle w:val="Heading1"/>
      </w:pPr>
      <w:r w:rsidRPr="00A1526A">
        <w:t xml:space="preserve">Supplementary Figure </w:t>
      </w:r>
      <w:r w:rsidR="00344405">
        <w:t>10</w:t>
      </w:r>
      <w:r w:rsidR="00B7582E">
        <w:t xml:space="preserve"> |</w:t>
      </w:r>
      <w:r w:rsidRPr="00A1526A">
        <w:t xml:space="preserve"> </w:t>
      </w:r>
      <w:r w:rsidR="00344405" w:rsidRPr="00344405">
        <w:t>Reduced platelet and neutrophil accumulation in infarcted myocardium of platelet-specific C5aR1–deficient mice.</w:t>
      </w:r>
    </w:p>
    <w:p w14:paraId="1ED56525" w14:textId="77777777" w:rsidR="00344405" w:rsidRPr="00344405" w:rsidRDefault="00344405" w:rsidP="00344405">
      <w:r w:rsidRPr="00344405">
        <w:t>(A) Representative immunofluorescence images of infarcted myocardial sections from Pf4^cre− C5ar1^fl/</w:t>
      </w:r>
      <w:proofErr w:type="spellStart"/>
      <w:r w:rsidRPr="00344405">
        <w:t>fl</w:t>
      </w:r>
      <w:proofErr w:type="spellEnd"/>
      <w:r w:rsidRPr="00344405">
        <w:t xml:space="preserve"> and Pf4^cre+ C5ar1^fl/</w:t>
      </w:r>
      <w:proofErr w:type="spellStart"/>
      <w:r w:rsidRPr="00344405">
        <w:t>fl</w:t>
      </w:r>
      <w:proofErr w:type="spellEnd"/>
      <w:r w:rsidRPr="00344405">
        <w:t xml:space="preserve"> mice stained for platelets (CD42b, red), endothelial cells (CD31, green), and nuclei (DAPI, blue). Dashed boxes indicate regions shown at higher magnification.</w:t>
      </w:r>
    </w:p>
    <w:p w14:paraId="7B95FC0D" w14:textId="77777777" w:rsidR="00344405" w:rsidRPr="00344405" w:rsidRDefault="00344405" w:rsidP="00344405">
      <w:r w:rsidRPr="00344405">
        <w:t>(B) Representative immunofluorescence image showing platelet–neutrophil association in infarcted myocardium, stained for CD42b (red), citrullinated histone H3 (H3Cit, green), and nuclei (DAPI, blue).</w:t>
      </w:r>
    </w:p>
    <w:p w14:paraId="43F38718" w14:textId="77777777" w:rsidR="00344405" w:rsidRPr="00344405" w:rsidRDefault="00344405" w:rsidP="00344405">
      <w:r w:rsidRPr="00344405">
        <w:lastRenderedPageBreak/>
        <w:t>(C) Quantification of platelet density (CD42b</w:t>
      </w:r>
      <w:r w:rsidRPr="00344405">
        <w:rPr>
          <w:rFonts w:ascii="Cambria Math" w:hAnsi="Cambria Math" w:cs="Cambria Math"/>
        </w:rPr>
        <w:t>⁺</w:t>
      </w:r>
      <w:r w:rsidRPr="00344405">
        <w:t xml:space="preserve"> structures per mm²) in infarcted myocardium.</w:t>
      </w:r>
    </w:p>
    <w:p w14:paraId="70926DAC" w14:textId="77777777" w:rsidR="00344405" w:rsidRPr="00344405" w:rsidRDefault="00344405" w:rsidP="00344405">
      <w:r w:rsidRPr="00344405">
        <w:t>(D) Quantification of neutrophil density (H3Cit</w:t>
      </w:r>
      <w:r w:rsidRPr="00344405">
        <w:rPr>
          <w:rFonts w:ascii="Cambria Math" w:hAnsi="Cambria Math" w:cs="Cambria Math"/>
        </w:rPr>
        <w:t>⁺</w:t>
      </w:r>
      <w:r w:rsidRPr="00344405">
        <w:t xml:space="preserve"> cells per mm²) in infarcted myocardium.</w:t>
      </w:r>
    </w:p>
    <w:p w14:paraId="3C86440A" w14:textId="0CCF4CD1" w:rsidR="00344405" w:rsidRPr="00344405" w:rsidRDefault="00344405" w:rsidP="00344405">
      <w:r w:rsidRPr="00344405">
        <w:t xml:space="preserve">Each dot represents one mouse; data are shown as mean ± </w:t>
      </w:r>
      <w:r w:rsidR="00371D51">
        <w:t>SD</w:t>
      </w:r>
      <w:r w:rsidRPr="00344405">
        <w:t>. Statistical significance is indicated as *P &lt; 0.05 and **P &lt; 0.01.</w:t>
      </w:r>
    </w:p>
    <w:p w14:paraId="19D29778" w14:textId="77777777" w:rsidR="00EE0424" w:rsidRDefault="00EE0424" w:rsidP="00EE0424"/>
    <w:p w14:paraId="6C2244C9" w14:textId="4E58702E" w:rsidR="00EE0424" w:rsidRDefault="00EE0424" w:rsidP="00EE0424">
      <w:r>
        <w:rPr>
          <w:noProof/>
        </w:rPr>
        <w:drawing>
          <wp:inline distT="0" distB="0" distL="0" distR="0" wp14:anchorId="31D48687" wp14:editId="1A4DF839">
            <wp:extent cx="5715000" cy="6482225"/>
            <wp:effectExtent l="0" t="0" r="0" b="0"/>
            <wp:docPr id="7608290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29044" name="Grafik 760829044"/>
                    <pic:cNvPicPr/>
                  </pic:nvPicPr>
                  <pic:blipFill rotWithShape="1">
                    <a:blip r:embed="rId20"/>
                    <a:srcRect l="3666" r="9888" b="25294"/>
                    <a:stretch/>
                  </pic:blipFill>
                  <pic:spPr bwMode="auto">
                    <a:xfrm>
                      <a:off x="0" y="0"/>
                      <a:ext cx="5724107" cy="6492554"/>
                    </a:xfrm>
                    <a:prstGeom prst="rect">
                      <a:avLst/>
                    </a:prstGeom>
                    <a:ln>
                      <a:noFill/>
                    </a:ln>
                    <a:extLst>
                      <a:ext uri="{53640926-AAD7-44D8-BBD7-CCE9431645EC}">
                        <a14:shadowObscured xmlns:a14="http://schemas.microsoft.com/office/drawing/2010/main"/>
                      </a:ext>
                    </a:extLst>
                  </pic:spPr>
                </pic:pic>
              </a:graphicData>
            </a:graphic>
          </wp:inline>
        </w:drawing>
      </w:r>
    </w:p>
    <w:p w14:paraId="3E797E65" w14:textId="613F5556" w:rsidR="00344405" w:rsidRPr="001D22C9" w:rsidRDefault="00EE0424" w:rsidP="00344405">
      <w:pPr>
        <w:pStyle w:val="Heading1"/>
      </w:pPr>
      <w:r w:rsidRPr="00A1526A">
        <w:lastRenderedPageBreak/>
        <w:t xml:space="preserve">Supplementary Figure </w:t>
      </w:r>
      <w:r>
        <w:t>1</w:t>
      </w:r>
      <w:r w:rsidR="00344405">
        <w:t>1</w:t>
      </w:r>
      <w:r w:rsidR="008C3DC2">
        <w:t xml:space="preserve"> | </w:t>
      </w:r>
      <w:r w:rsidR="00344405" w:rsidRPr="001D22C9">
        <w:t>Pharmacological C5aR1 inhibition reduces platelet accumulation and enhances capillary density in infarcted myocardium.</w:t>
      </w:r>
    </w:p>
    <w:p w14:paraId="55F2C8D3" w14:textId="77777777" w:rsidR="00344405" w:rsidRPr="001D22C9" w:rsidRDefault="00344405" w:rsidP="00344405">
      <w:r w:rsidRPr="001D22C9">
        <w:t>(A) Representative immunofluorescence images of infarcted myocardial sections from WT mice treated with PBS or PMX205, stained for platelets (CD42b, red), endothelial cells (CD31, green), and nuclei (DAPI, blue).</w:t>
      </w:r>
    </w:p>
    <w:p w14:paraId="5E0F2237" w14:textId="77777777" w:rsidR="00344405" w:rsidRPr="001D22C9" w:rsidRDefault="00344405" w:rsidP="00344405">
      <w:r w:rsidRPr="001D22C9">
        <w:t>(B) Quantification of platelet density (CD42b</w:t>
      </w:r>
      <w:r w:rsidRPr="001D22C9">
        <w:rPr>
          <w:rFonts w:ascii="Cambria Math" w:hAnsi="Cambria Math" w:cs="Cambria Math"/>
        </w:rPr>
        <w:t>⁺</w:t>
      </w:r>
      <w:r w:rsidRPr="001D22C9">
        <w:t xml:space="preserve"> structures per mm²) in infarcted myocardium of PBS- and PMX205-treated WT mice.</w:t>
      </w:r>
    </w:p>
    <w:p w14:paraId="05A0707A" w14:textId="77777777" w:rsidR="00344405" w:rsidRPr="001D22C9" w:rsidRDefault="00344405" w:rsidP="00344405">
      <w:r w:rsidRPr="001D22C9">
        <w:t>(C) Quantification of capillary density, expressed as percentage of CD31-positive area, in infarcted myocardium.</w:t>
      </w:r>
    </w:p>
    <w:p w14:paraId="77079949" w14:textId="77777777" w:rsidR="00344405" w:rsidRPr="001D22C9" w:rsidRDefault="00344405" w:rsidP="00344405">
      <w:r w:rsidRPr="001D22C9">
        <w:t>(D) Plasma CXCL4 concentrations measured by ELISA in PBS- and PMX205-treated WT mice.</w:t>
      </w:r>
    </w:p>
    <w:p w14:paraId="799082B9" w14:textId="4F10311A" w:rsidR="00344405" w:rsidRPr="00344405" w:rsidRDefault="00344405" w:rsidP="00344405">
      <w:pPr>
        <w:rPr>
          <w:lang w:val="de-DE"/>
        </w:rPr>
      </w:pPr>
      <w:r w:rsidRPr="001D22C9">
        <w:t xml:space="preserve">Each dot represents one mouse; data are shown as mean ± </w:t>
      </w:r>
      <w:r w:rsidR="00371D51">
        <w:t>SD</w:t>
      </w:r>
      <w:r w:rsidRPr="001D22C9">
        <w:t xml:space="preserve">. Statistical significance is indicated as *P &lt; 0.05 and **P &lt; 0.01. </w:t>
      </w:r>
      <w:r w:rsidRPr="00344405">
        <w:rPr>
          <w:lang w:val="de-DE"/>
        </w:rPr>
        <w:t xml:space="preserve">Exact P </w:t>
      </w:r>
      <w:proofErr w:type="spellStart"/>
      <w:r w:rsidRPr="00344405">
        <w:rPr>
          <w:lang w:val="de-DE"/>
        </w:rPr>
        <w:t>value</w:t>
      </w:r>
      <w:proofErr w:type="spellEnd"/>
      <w:r w:rsidRPr="00344405">
        <w:rPr>
          <w:lang w:val="de-DE"/>
        </w:rPr>
        <w:t xml:space="preserve"> </w:t>
      </w:r>
      <w:proofErr w:type="spellStart"/>
      <w:r w:rsidRPr="00344405">
        <w:rPr>
          <w:lang w:val="de-DE"/>
        </w:rPr>
        <w:t>is</w:t>
      </w:r>
      <w:proofErr w:type="spellEnd"/>
      <w:r w:rsidRPr="00344405">
        <w:rPr>
          <w:lang w:val="de-DE"/>
        </w:rPr>
        <w:t xml:space="preserve"> </w:t>
      </w:r>
      <w:proofErr w:type="spellStart"/>
      <w:r w:rsidRPr="00344405">
        <w:rPr>
          <w:lang w:val="de-DE"/>
        </w:rPr>
        <w:t>shown</w:t>
      </w:r>
      <w:proofErr w:type="spellEnd"/>
      <w:r w:rsidRPr="00344405">
        <w:rPr>
          <w:lang w:val="de-DE"/>
        </w:rPr>
        <w:t xml:space="preserve"> </w:t>
      </w:r>
      <w:proofErr w:type="spellStart"/>
      <w:r w:rsidRPr="00344405">
        <w:rPr>
          <w:lang w:val="de-DE"/>
        </w:rPr>
        <w:t>where</w:t>
      </w:r>
      <w:proofErr w:type="spellEnd"/>
      <w:r w:rsidRPr="00344405">
        <w:rPr>
          <w:lang w:val="de-DE"/>
        </w:rPr>
        <w:t xml:space="preserve"> </w:t>
      </w:r>
      <w:proofErr w:type="spellStart"/>
      <w:r w:rsidRPr="00344405">
        <w:rPr>
          <w:lang w:val="de-DE"/>
        </w:rPr>
        <w:t>indicated</w:t>
      </w:r>
      <w:proofErr w:type="spellEnd"/>
      <w:r w:rsidRPr="00344405">
        <w:rPr>
          <w:lang w:val="de-DE"/>
        </w:rPr>
        <w:t>.</w:t>
      </w:r>
    </w:p>
    <w:p w14:paraId="7B37C005" w14:textId="37F3E121" w:rsidR="0034530B" w:rsidRDefault="0034530B" w:rsidP="00EE0424">
      <w:pPr>
        <w:pStyle w:val="Heading1"/>
      </w:pPr>
    </w:p>
    <w:p w14:paraId="1A4FFF8D" w14:textId="77777777" w:rsidR="0034530B" w:rsidRPr="0034530B" w:rsidRDefault="0034530B" w:rsidP="0034530B"/>
    <w:p w14:paraId="48B2EAEF" w14:textId="77777777" w:rsidR="002F6D95" w:rsidRDefault="0034530B" w:rsidP="00EE0424">
      <w:pPr>
        <w:pStyle w:val="Heading1"/>
      </w:pPr>
      <w:r>
        <w:rPr>
          <w:noProof/>
        </w:rPr>
        <w:lastRenderedPageBreak/>
        <w:drawing>
          <wp:inline distT="0" distB="0" distL="0" distR="0" wp14:anchorId="58E03444" wp14:editId="5FF0F1C7">
            <wp:extent cx="5928797" cy="3640015"/>
            <wp:effectExtent l="0" t="0" r="2540" b="5080"/>
            <wp:docPr id="4905313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31303" name="Grafik 490531303"/>
                    <pic:cNvPicPr/>
                  </pic:nvPicPr>
                  <pic:blipFill rotWithShape="1">
                    <a:blip r:embed="rId21"/>
                    <a:srcRect t="5120" b="48103"/>
                    <a:stretch/>
                  </pic:blipFill>
                  <pic:spPr bwMode="auto">
                    <a:xfrm>
                      <a:off x="0" y="0"/>
                      <a:ext cx="5931063" cy="3641406"/>
                    </a:xfrm>
                    <a:prstGeom prst="rect">
                      <a:avLst/>
                    </a:prstGeom>
                    <a:ln>
                      <a:noFill/>
                    </a:ln>
                    <a:extLst>
                      <a:ext uri="{53640926-AAD7-44D8-BBD7-CCE9431645EC}">
                        <a14:shadowObscured xmlns:a14="http://schemas.microsoft.com/office/drawing/2010/main"/>
                      </a:ext>
                    </a:extLst>
                  </pic:spPr>
                </pic:pic>
              </a:graphicData>
            </a:graphic>
          </wp:inline>
        </w:drawing>
      </w:r>
    </w:p>
    <w:p w14:paraId="177917B1" w14:textId="42240C69" w:rsidR="001D22C9" w:rsidRPr="00C833F6" w:rsidRDefault="002F6D95" w:rsidP="001D22C9">
      <w:pPr>
        <w:pStyle w:val="Heading1"/>
      </w:pPr>
      <w:r w:rsidRPr="00A1526A">
        <w:t xml:space="preserve">Supplementary Figure </w:t>
      </w:r>
      <w:r>
        <w:t>1</w:t>
      </w:r>
      <w:r w:rsidR="001D22C9">
        <w:t>2</w:t>
      </w:r>
      <w:r w:rsidR="004C0B71">
        <w:t xml:space="preserve"> |</w:t>
      </w:r>
      <w:r w:rsidR="001D22C9">
        <w:t xml:space="preserve"> </w:t>
      </w:r>
      <w:r w:rsidR="001D22C9" w:rsidRPr="00C833F6">
        <w:t>Experimental workflow for platelet–neutrophil co-culture assays to assess CXCL4-dependent NET formation.</w:t>
      </w:r>
    </w:p>
    <w:p w14:paraId="1B8EA723" w14:textId="77777777" w:rsidR="001D22C9" w:rsidRPr="00C833F6" w:rsidRDefault="001D22C9" w:rsidP="001D22C9">
      <w:r w:rsidRPr="00C833F6">
        <w:t>Schematic illustration of the in vitro platelet–neutrophil co-culture system. Neutrophils were isolated and allowed to adhere to poly-L-lysine–coated coverslips (1), followed by passivation of the surface with bovine serum albumin (BSA) to prevent unspecific activation (2). Platelets were isolated from WT or platelet-specific C5aR1-deficient mice (3) and added to adherent neutrophils at a 50:1 platelet-to-neutrophil ratio (4). Co-cultures were stimulated with C5a to activate platelet C5aR1 signaling (5). CXCL4 availability was modulated by addition of heparin or recombinant CXCL4 (6). Co-cultures were incubated for 3 h at 37 °C and 5% CO</w:t>
      </w:r>
      <w:r w:rsidRPr="00C833F6">
        <w:rPr>
          <w:rFonts w:ascii="Cambria Math" w:hAnsi="Cambria Math" w:cs="Cambria Math"/>
        </w:rPr>
        <w:t>₂</w:t>
      </w:r>
      <w:r w:rsidRPr="00C833F6">
        <w:t xml:space="preserve"> (7), and neutrophil extracellular trap (NET) formation was quantified (8).</w:t>
      </w:r>
    </w:p>
    <w:p w14:paraId="12EBA71F" w14:textId="4AAEA848" w:rsidR="002F6D95" w:rsidRDefault="002F6D95" w:rsidP="002F6D95">
      <w:pPr>
        <w:pStyle w:val="Heading1"/>
      </w:pPr>
    </w:p>
    <w:p w14:paraId="3C3F2619" w14:textId="69B0283C" w:rsidR="004410C2" w:rsidRDefault="003A6152" w:rsidP="004410C2">
      <w:r>
        <w:rPr>
          <w:noProof/>
        </w:rPr>
        <w:drawing>
          <wp:inline distT="0" distB="0" distL="0" distR="0" wp14:anchorId="2604743E" wp14:editId="1A446576">
            <wp:extent cx="6196463" cy="5538952"/>
            <wp:effectExtent l="0" t="0" r="1270" b="0"/>
            <wp:docPr id="213410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03659" name="Picture 2134103659"/>
                    <pic:cNvPicPr/>
                  </pic:nvPicPr>
                  <pic:blipFill>
                    <a:blip r:embed="rId22"/>
                    <a:stretch>
                      <a:fillRect/>
                    </a:stretch>
                  </pic:blipFill>
                  <pic:spPr>
                    <a:xfrm>
                      <a:off x="0" y="0"/>
                      <a:ext cx="6208882" cy="5550053"/>
                    </a:xfrm>
                    <a:prstGeom prst="rect">
                      <a:avLst/>
                    </a:prstGeom>
                  </pic:spPr>
                </pic:pic>
              </a:graphicData>
            </a:graphic>
          </wp:inline>
        </w:drawing>
      </w:r>
    </w:p>
    <w:p w14:paraId="60B8DEE7" w14:textId="71237253" w:rsidR="003A6152" w:rsidRPr="003A6152" w:rsidRDefault="003A6152" w:rsidP="003A6152">
      <w:pPr>
        <w:rPr>
          <w:b/>
          <w:bCs/>
        </w:rPr>
      </w:pPr>
      <w:r w:rsidRPr="003A6152">
        <w:rPr>
          <w:b/>
          <w:bCs/>
        </w:rPr>
        <w:t>Supplementary Figure 13 | Neutrophil- and platelet-specific stimulation induces NET formation in platelet–neutrophil co-cultures</w:t>
      </w:r>
    </w:p>
    <w:p w14:paraId="2F4C2E51" w14:textId="77777777" w:rsidR="003A6152" w:rsidRDefault="003A6152" w:rsidP="003A6152">
      <w:r>
        <w:t>(A) Representative immunofluorescence images of neutrophils co-incubated with wild-type (WT) platelets under unstimulated conditions or following stimulation with phorbol 12-myristate 13-acetate (PMA) or collagen-related peptide (CRP). Cells were stained for myeloperoxidase (MPO, red), citrullinated histone H3 (H3Cit, green), and DNA (DAPI, blue). PMA served as a neutrophil-intrinsic positive control for NET formation, whereas CRP was used as a platelet-specific agonist inducing α-granule release.</w:t>
      </w:r>
    </w:p>
    <w:p w14:paraId="1899B092" w14:textId="77777777" w:rsidR="003A6152" w:rsidRDefault="003A6152" w:rsidP="003A6152"/>
    <w:p w14:paraId="31B09D34" w14:textId="77E5C453" w:rsidR="003A6152" w:rsidRDefault="003A6152" w:rsidP="003A6152">
      <w:r>
        <w:lastRenderedPageBreak/>
        <w:t>(B) Quantification of NET formation expressed as percentage of H3Cit</w:t>
      </w:r>
      <w:r>
        <w:rPr>
          <w:rFonts w:ascii="Cambria Math" w:hAnsi="Cambria Math" w:cs="Cambria Math"/>
        </w:rPr>
        <w:t>⁺</w:t>
      </w:r>
      <w:r>
        <w:t xml:space="preserve"> neutrophils under the indicated conditions.</w:t>
      </w:r>
    </w:p>
    <w:p w14:paraId="5AAC74E1" w14:textId="5F8B94A1" w:rsidR="003A6152" w:rsidRDefault="003A6152" w:rsidP="003A6152">
      <w:r>
        <w:t>Data are shown as mean ± SD; each dot represents one independent experiment. Statistical analysis was performed using one-way ANOVA with appropriate post hoc correction. P &lt; 0.05; ns, not significant. Scale bars, 20 µm.</w:t>
      </w:r>
    </w:p>
    <w:p w14:paraId="378C716A" w14:textId="77777777" w:rsidR="003A6152" w:rsidRPr="004410C2" w:rsidRDefault="003A6152" w:rsidP="003A6152"/>
    <w:p w14:paraId="499AD199" w14:textId="07DF39CA" w:rsidR="00EE0424" w:rsidRDefault="004410C2" w:rsidP="004410C2">
      <w:r>
        <w:rPr>
          <w:noProof/>
        </w:rPr>
        <w:drawing>
          <wp:inline distT="0" distB="0" distL="0" distR="0" wp14:anchorId="71C2D347" wp14:editId="4596C558">
            <wp:extent cx="5670551" cy="3689684"/>
            <wp:effectExtent l="0" t="0" r="0" b="6350"/>
            <wp:docPr id="1143636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3651" name="Grafik 114363651"/>
                    <pic:cNvPicPr/>
                  </pic:nvPicPr>
                  <pic:blipFill rotWithShape="1">
                    <a:blip r:embed="rId23"/>
                    <a:srcRect r="12207" b="56476"/>
                    <a:stretch/>
                  </pic:blipFill>
                  <pic:spPr bwMode="auto">
                    <a:xfrm>
                      <a:off x="0" y="0"/>
                      <a:ext cx="5679194" cy="3695308"/>
                    </a:xfrm>
                    <a:prstGeom prst="rect">
                      <a:avLst/>
                    </a:prstGeom>
                    <a:ln>
                      <a:noFill/>
                    </a:ln>
                    <a:extLst>
                      <a:ext uri="{53640926-AAD7-44D8-BBD7-CCE9431645EC}">
                        <a14:shadowObscured xmlns:a14="http://schemas.microsoft.com/office/drawing/2010/main"/>
                      </a:ext>
                    </a:extLst>
                  </pic:spPr>
                </pic:pic>
              </a:graphicData>
            </a:graphic>
          </wp:inline>
        </w:drawing>
      </w:r>
    </w:p>
    <w:p w14:paraId="703D37A4" w14:textId="0B672F11" w:rsidR="005659A2" w:rsidRPr="005659A2" w:rsidRDefault="005659A2" w:rsidP="005659A2">
      <w:r>
        <w:rPr>
          <w:rStyle w:val="Strong"/>
        </w:rPr>
        <w:t>Supplementary Figure 1</w:t>
      </w:r>
      <w:r w:rsidR="0076214D">
        <w:rPr>
          <w:rStyle w:val="Strong"/>
        </w:rPr>
        <w:t>4</w:t>
      </w:r>
      <w:r>
        <w:rPr>
          <w:rStyle w:val="Strong"/>
        </w:rPr>
        <w:t xml:space="preserve"> | Platelet-specific C5aR1 deletion reduces myocardial collagen deposition without altering macrophage abundance.</w:t>
      </w:r>
      <w:r>
        <w:br/>
      </w:r>
      <w:r w:rsidRPr="005659A2">
        <w:t xml:space="preserve">(A) Representative immunofluorescence images of infarcted left ventricular sections from </w:t>
      </w:r>
      <w:r w:rsidRPr="005659A2">
        <w:rPr>
          <w:rStyle w:val="Strong"/>
          <w:b w:val="0"/>
          <w:bCs w:val="0"/>
        </w:rPr>
        <w:t>Pf4^Cre− C5ar1^fl/</w:t>
      </w:r>
      <w:proofErr w:type="spellStart"/>
      <w:r w:rsidRPr="005659A2">
        <w:rPr>
          <w:rStyle w:val="Strong"/>
          <w:b w:val="0"/>
          <w:bCs w:val="0"/>
        </w:rPr>
        <w:t>fl</w:t>
      </w:r>
      <w:proofErr w:type="spellEnd"/>
      <w:r w:rsidRPr="005659A2">
        <w:rPr>
          <w:b/>
          <w:bCs/>
        </w:rPr>
        <w:t xml:space="preserve"> and </w:t>
      </w:r>
      <w:r w:rsidRPr="005659A2">
        <w:rPr>
          <w:rStyle w:val="Strong"/>
          <w:b w:val="0"/>
          <w:bCs w:val="0"/>
        </w:rPr>
        <w:t>Pf4^Cre+ C5ar1^fl/</w:t>
      </w:r>
      <w:proofErr w:type="spellStart"/>
      <w:r w:rsidRPr="005659A2">
        <w:rPr>
          <w:rStyle w:val="Strong"/>
          <w:b w:val="0"/>
          <w:bCs w:val="0"/>
        </w:rPr>
        <w:t>fl</w:t>
      </w:r>
      <w:proofErr w:type="spellEnd"/>
      <w:r w:rsidRPr="005659A2">
        <w:t xml:space="preserve"> mice at day 14 after myocardial infarction, stained for collagen I (Col I, green), macrophages (CD68, red), and nuclei (DAPI, blue). Scale bars, XX µm.</w:t>
      </w:r>
      <w:r w:rsidRPr="005659A2">
        <w:br/>
        <w:t xml:space="preserve">(B) Quantification of collagen I–positive area expressed as percentage of left ventricular (LV) section, demonstrating significantly reduced collagen deposition in </w:t>
      </w:r>
      <w:r w:rsidRPr="005659A2">
        <w:rPr>
          <w:rStyle w:val="Strong"/>
          <w:b w:val="0"/>
          <w:bCs w:val="0"/>
        </w:rPr>
        <w:t>Pf4^Cre+ C5ar1^fl/</w:t>
      </w:r>
      <w:proofErr w:type="spellStart"/>
      <w:r w:rsidRPr="005659A2">
        <w:rPr>
          <w:rStyle w:val="Strong"/>
          <w:b w:val="0"/>
          <w:bCs w:val="0"/>
        </w:rPr>
        <w:t>fl</w:t>
      </w:r>
      <w:proofErr w:type="spellEnd"/>
      <w:r w:rsidRPr="005659A2">
        <w:t xml:space="preserve"> mice.</w:t>
      </w:r>
      <w:r w:rsidRPr="005659A2">
        <w:br/>
        <w:t>(C) Quantification of CD68^+ macrophages per field of view (FOV), showing no significant difference between genotypes.</w:t>
      </w:r>
      <w:r w:rsidRPr="005659A2">
        <w:br/>
      </w:r>
      <w:r w:rsidRPr="005659A2">
        <w:lastRenderedPageBreak/>
        <w:t xml:space="preserve">Data are presented as individual data points with mean ± </w:t>
      </w:r>
      <w:r w:rsidR="00C12567">
        <w:t>SD</w:t>
      </w:r>
      <w:r w:rsidRPr="005659A2">
        <w:t xml:space="preserve">; statistical analysis was performed using an unpaired two-tailed Student’s </w:t>
      </w:r>
      <w:r w:rsidRPr="005659A2">
        <w:rPr>
          <w:rStyle w:val="Emphasis"/>
        </w:rPr>
        <w:t>t</w:t>
      </w:r>
      <w:r w:rsidRPr="005659A2">
        <w:t>-test. **</w:t>
      </w:r>
      <w:r w:rsidRPr="005659A2">
        <w:rPr>
          <w:rStyle w:val="Emphasis"/>
        </w:rPr>
        <w:t>P</w:t>
      </w:r>
      <w:r w:rsidRPr="005659A2">
        <w:t xml:space="preserve"> &lt; 0.001; ns, not significant.</w:t>
      </w:r>
    </w:p>
    <w:p w14:paraId="52FC8A0A" w14:textId="77777777" w:rsidR="007C7192" w:rsidRPr="007C7192" w:rsidRDefault="007C7192" w:rsidP="007C7192"/>
    <w:p w14:paraId="74695D2F" w14:textId="77777777" w:rsidR="007C7192" w:rsidRDefault="007C7192" w:rsidP="007C7192"/>
    <w:p w14:paraId="59CAAA16" w14:textId="77777777" w:rsidR="00BA552D" w:rsidRDefault="00BA552D" w:rsidP="007C7192"/>
    <w:p w14:paraId="01EB847B" w14:textId="77777777" w:rsidR="00BA552D" w:rsidRPr="007C7192" w:rsidRDefault="00BA552D" w:rsidP="007C7192"/>
    <w:p w14:paraId="6664AA9B" w14:textId="3A5B47CE" w:rsidR="004410C2" w:rsidRDefault="007C2D94" w:rsidP="004410C2">
      <w:r>
        <w:rPr>
          <w:noProof/>
        </w:rPr>
        <w:drawing>
          <wp:inline distT="0" distB="0" distL="0" distR="0" wp14:anchorId="5ADE8CF7" wp14:editId="683CD82D">
            <wp:extent cx="5820228" cy="3891211"/>
            <wp:effectExtent l="0" t="0" r="0" b="0"/>
            <wp:docPr id="9762849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84910" name="Grafik 976284910"/>
                    <pic:cNvPicPr/>
                  </pic:nvPicPr>
                  <pic:blipFill rotWithShape="1">
                    <a:blip r:embed="rId24"/>
                    <a:srcRect r="14020" b="56203"/>
                    <a:stretch/>
                  </pic:blipFill>
                  <pic:spPr bwMode="auto">
                    <a:xfrm>
                      <a:off x="0" y="0"/>
                      <a:ext cx="5829282" cy="3897264"/>
                    </a:xfrm>
                    <a:prstGeom prst="rect">
                      <a:avLst/>
                    </a:prstGeom>
                    <a:ln>
                      <a:noFill/>
                    </a:ln>
                    <a:extLst>
                      <a:ext uri="{53640926-AAD7-44D8-BBD7-CCE9431645EC}">
                        <a14:shadowObscured xmlns:a14="http://schemas.microsoft.com/office/drawing/2010/main"/>
                      </a:ext>
                    </a:extLst>
                  </pic:spPr>
                </pic:pic>
              </a:graphicData>
            </a:graphic>
          </wp:inline>
        </w:drawing>
      </w:r>
    </w:p>
    <w:p w14:paraId="7B4EEA90" w14:textId="1D34DF5F" w:rsidR="007C7192" w:rsidRDefault="004075F5" w:rsidP="00A3139D">
      <w:r>
        <w:rPr>
          <w:rStyle w:val="Strong"/>
        </w:rPr>
        <w:t>Supplementary Figure 1</w:t>
      </w:r>
      <w:r w:rsidR="0076214D">
        <w:rPr>
          <w:rStyle w:val="Strong"/>
        </w:rPr>
        <w:t>5</w:t>
      </w:r>
      <w:r>
        <w:rPr>
          <w:rStyle w:val="Strong"/>
        </w:rPr>
        <w:t xml:space="preserve"> | Pharmacological C5aR1 inhibition with PMX205 reduces myocardial collagen deposition without significantly altering macrophage abundance.</w:t>
      </w:r>
      <w:r>
        <w:br/>
        <w:t>(A) Representative immunofluorescence images of infarcted left ventricular sections from wild-type (WT) mice treated with PBS or the C5aR1 antagonist PMX205 at day 14 after myocardial infarction, stained for collagen I (Col I, green), macrophages (CD68, red), and nuclei (DAPI, blue). Scale bars, XX µm.</w:t>
      </w:r>
      <w:r>
        <w:br/>
        <w:t>(B) Quantification of collagen I–positive area expressed as percentage of left ventricular (LV) section, demonstrating markedly reduced collagen deposition in PMX205-treated mice.</w:t>
      </w:r>
      <w:r>
        <w:br/>
        <w:t xml:space="preserve">(C) Quantification of CD68^+ macrophages per field of view (FOV), showing a trend toward reduced macrophage abundance in PMX205-treated mice that did not reach statistical </w:t>
      </w:r>
      <w:r>
        <w:lastRenderedPageBreak/>
        <w:t>significance.</w:t>
      </w:r>
      <w:r>
        <w:br/>
        <w:t xml:space="preserve">Data are presented as individual data points with mean ± SD; statistical analysis was performed using an unpaired two-tailed Student’s </w:t>
      </w:r>
      <w:r>
        <w:rPr>
          <w:rStyle w:val="Emphasis"/>
        </w:rPr>
        <w:t>t</w:t>
      </w:r>
      <w:r>
        <w:t>-test. **</w:t>
      </w:r>
      <w:r>
        <w:rPr>
          <w:rStyle w:val="Emphasis"/>
        </w:rPr>
        <w:t>P</w:t>
      </w:r>
      <w:r>
        <w:t xml:space="preserve"> &lt; 0.001; ns, not significant.</w:t>
      </w:r>
    </w:p>
    <w:p w14:paraId="575537EA" w14:textId="77777777" w:rsidR="007C7192" w:rsidRPr="004410C2" w:rsidRDefault="007C7192" w:rsidP="004410C2"/>
    <w:p w14:paraId="5DCD18C3" w14:textId="73E987C3" w:rsidR="004410C2" w:rsidRDefault="00BA552D" w:rsidP="004410C2">
      <w:r>
        <w:rPr>
          <w:noProof/>
        </w:rPr>
        <w:drawing>
          <wp:inline distT="0" distB="0" distL="0" distR="0" wp14:anchorId="610A423E" wp14:editId="7C4A8594">
            <wp:extent cx="4125077" cy="6125028"/>
            <wp:effectExtent l="0" t="0" r="2540" b="0"/>
            <wp:docPr id="12702370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7049" name="Grafik 1270237049"/>
                    <pic:cNvPicPr/>
                  </pic:nvPicPr>
                  <pic:blipFill rotWithShape="1">
                    <a:blip r:embed="rId25"/>
                    <a:srcRect l="2522" t="3843" r="39238" b="30269"/>
                    <a:stretch/>
                  </pic:blipFill>
                  <pic:spPr bwMode="auto">
                    <a:xfrm>
                      <a:off x="0" y="0"/>
                      <a:ext cx="4138569" cy="6145061"/>
                    </a:xfrm>
                    <a:prstGeom prst="rect">
                      <a:avLst/>
                    </a:prstGeom>
                    <a:ln>
                      <a:noFill/>
                    </a:ln>
                    <a:extLst>
                      <a:ext uri="{53640926-AAD7-44D8-BBD7-CCE9431645EC}">
                        <a14:shadowObscured xmlns:a14="http://schemas.microsoft.com/office/drawing/2010/main"/>
                      </a:ext>
                    </a:extLst>
                  </pic:spPr>
                </pic:pic>
              </a:graphicData>
            </a:graphic>
          </wp:inline>
        </w:drawing>
      </w:r>
    </w:p>
    <w:p w14:paraId="494CAF0A" w14:textId="17E8252E" w:rsidR="005445BB" w:rsidRDefault="002D2B24" w:rsidP="005445BB">
      <w:r>
        <w:rPr>
          <w:rStyle w:val="Strong"/>
        </w:rPr>
        <w:t>Supplementary Figure 1</w:t>
      </w:r>
      <w:r w:rsidR="0076214D">
        <w:rPr>
          <w:rStyle w:val="Strong"/>
        </w:rPr>
        <w:t>6</w:t>
      </w:r>
      <w:r>
        <w:rPr>
          <w:rStyle w:val="Strong"/>
        </w:rPr>
        <w:t xml:space="preserve"> | Pharmacological C5aR1 inhibition with PMX205 reduces myocardial neutrophil infiltration and NET formation after myocardial infarction.</w:t>
      </w:r>
      <w:r>
        <w:br/>
        <w:t xml:space="preserve">(A) Representative immunofluorescence images of infarcted left ventricular sections from wild-type (WT) mice treated with PBS or PMX205 at day 14 after myocardial infarction, stained for neutrophils (myeloperoxidase, MPO, red), citrullinated histone H3 (H3Cit, green), and nuclei </w:t>
      </w:r>
      <w:r>
        <w:lastRenderedPageBreak/>
        <w:t>(DAPI, blue). Insets show higher-magnification views highlighting extracellular H3Cit^+ structures associated with MPO^+ neutrophils.</w:t>
      </w:r>
      <w:r>
        <w:br/>
        <w:t>(B) Quantification of myocardial neutrophil density expressed as MPO^+ cells per mm², demonstrating significantly reduced neutrophil infiltration in PMX205-treated mice.</w:t>
      </w:r>
      <w:r>
        <w:br/>
        <w:t xml:space="preserve">(C) </w:t>
      </w:r>
      <w:r w:rsidR="001102BC">
        <w:t xml:space="preserve">Quantification of NET burden expressed as </w:t>
      </w:r>
      <w:r w:rsidR="001102BC" w:rsidRPr="00FF0C0D">
        <w:rPr>
          <w:rStyle w:val="Strong"/>
          <w:b w:val="0"/>
          <w:bCs w:val="0"/>
        </w:rPr>
        <w:t>percentage of H3Cit</w:t>
      </w:r>
      <w:r w:rsidR="001102BC" w:rsidRPr="00FF0C0D">
        <w:rPr>
          <w:rStyle w:val="Strong"/>
          <w:rFonts w:ascii="Cambria Math" w:hAnsi="Cambria Math" w:cs="Cambria Math"/>
          <w:b w:val="0"/>
          <w:bCs w:val="0"/>
        </w:rPr>
        <w:t>⁺</w:t>
      </w:r>
      <w:r w:rsidR="001102BC" w:rsidRPr="00FF0C0D">
        <w:rPr>
          <w:rStyle w:val="Strong"/>
          <w:b w:val="0"/>
          <w:bCs w:val="0"/>
        </w:rPr>
        <w:t xml:space="preserve"> area of the left ventricle (LV)</w:t>
      </w:r>
      <w:r>
        <w:t>, showing reduced NET deposition following PMX205 treatment.</w:t>
      </w:r>
      <w:r>
        <w:br/>
        <w:t xml:space="preserve">Data are presented as individual data points with mean ± SD; statistical analysis was performed using an unpaired two-tailed Student’s </w:t>
      </w:r>
      <w:r>
        <w:rPr>
          <w:rStyle w:val="Emphasis"/>
        </w:rPr>
        <w:t>t</w:t>
      </w:r>
      <w:r>
        <w:t xml:space="preserve">-test. </w:t>
      </w:r>
      <w:r>
        <w:rPr>
          <w:rStyle w:val="Emphasis"/>
        </w:rPr>
        <w:t>P</w:t>
      </w:r>
      <w:r>
        <w:t xml:space="preserve"> &lt; 0.05, </w:t>
      </w:r>
      <w:r w:rsidRPr="00302D09">
        <w:rPr>
          <w:rStyle w:val="Strong"/>
          <w:b w:val="0"/>
          <w:bCs w:val="0"/>
        </w:rPr>
        <w:t>P</w:t>
      </w:r>
      <w:r w:rsidRPr="00302D09">
        <w:rPr>
          <w:b/>
          <w:bCs/>
        </w:rPr>
        <w:t xml:space="preserve"> </w:t>
      </w:r>
      <w:r>
        <w:t>&lt; 0.01.</w:t>
      </w:r>
    </w:p>
    <w:p w14:paraId="5745B301" w14:textId="77777777" w:rsidR="00D76279" w:rsidRPr="005445BB" w:rsidRDefault="00D76279" w:rsidP="005445BB"/>
    <w:p w14:paraId="36A9AD50" w14:textId="65ABC56F" w:rsidR="005445BB" w:rsidRDefault="005445BB" w:rsidP="005445BB">
      <w:r>
        <w:rPr>
          <w:noProof/>
        </w:rPr>
        <w:lastRenderedPageBreak/>
        <w:drawing>
          <wp:inline distT="0" distB="0" distL="0" distR="0" wp14:anchorId="09C21AA7" wp14:editId="4118F853">
            <wp:extent cx="5006975" cy="6705600"/>
            <wp:effectExtent l="0" t="0" r="0" b="0"/>
            <wp:docPr id="178445827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8279" name="Grafik 1784458279"/>
                    <pic:cNvPicPr/>
                  </pic:nvPicPr>
                  <pic:blipFill rotWithShape="1">
                    <a:blip r:embed="rId26"/>
                    <a:srcRect t="5378" r="13019" b="5866"/>
                    <a:stretch/>
                  </pic:blipFill>
                  <pic:spPr bwMode="auto">
                    <a:xfrm>
                      <a:off x="0" y="0"/>
                      <a:ext cx="5007428" cy="6706207"/>
                    </a:xfrm>
                    <a:prstGeom prst="rect">
                      <a:avLst/>
                    </a:prstGeom>
                    <a:ln>
                      <a:noFill/>
                    </a:ln>
                    <a:extLst>
                      <a:ext uri="{53640926-AAD7-44D8-BBD7-CCE9431645EC}">
                        <a14:shadowObscured xmlns:a14="http://schemas.microsoft.com/office/drawing/2010/main"/>
                      </a:ext>
                    </a:extLst>
                  </pic:spPr>
                </pic:pic>
              </a:graphicData>
            </a:graphic>
          </wp:inline>
        </w:drawing>
      </w:r>
    </w:p>
    <w:p w14:paraId="6CA3C910" w14:textId="1D0D8B79" w:rsidR="009F3010" w:rsidRDefault="009F3010" w:rsidP="005445BB">
      <w:r>
        <w:rPr>
          <w:rStyle w:val="Strong"/>
        </w:rPr>
        <w:t>Supplementary Figure 1</w:t>
      </w:r>
      <w:r w:rsidR="0076214D">
        <w:rPr>
          <w:rStyle w:val="Strong"/>
        </w:rPr>
        <w:t>7</w:t>
      </w:r>
      <w:r>
        <w:rPr>
          <w:rStyle w:val="Strong"/>
        </w:rPr>
        <w:t xml:space="preserve"> | Platelet-specific C5aR1 deletion does not affect baseline cardiac structure or function.</w:t>
      </w:r>
      <w:r>
        <w:br/>
        <w:t xml:space="preserve">Baseline echocardiographic assessment of </w:t>
      </w:r>
      <w:r w:rsidRPr="009F3010">
        <w:rPr>
          <w:rStyle w:val="Strong"/>
          <w:b w:val="0"/>
          <w:bCs w:val="0"/>
        </w:rPr>
        <w:t>Pf4^Cre+ C5ar1^fl/</w:t>
      </w:r>
      <w:proofErr w:type="spellStart"/>
      <w:r w:rsidRPr="009F3010">
        <w:rPr>
          <w:rStyle w:val="Strong"/>
          <w:b w:val="0"/>
          <w:bCs w:val="0"/>
        </w:rPr>
        <w:t>fl</w:t>
      </w:r>
      <w:proofErr w:type="spellEnd"/>
      <w:r>
        <w:t xml:space="preserve"> mice and Cre-negative littermate controls prior to myocardial infarction.</w:t>
      </w:r>
      <w:r>
        <w:br/>
        <w:t>(A) Left ventricular ejection fraction (EF).</w:t>
      </w:r>
      <w:r>
        <w:br/>
        <w:t>(B) Fractional shortening (FS).</w:t>
      </w:r>
      <w:r>
        <w:br/>
        <w:t>(C) Left ventricular (LV) mass (corrected).</w:t>
      </w:r>
      <w:r>
        <w:br/>
      </w:r>
      <w:r>
        <w:lastRenderedPageBreak/>
        <w:t>(D) Left ventricular end-systolic volume (LVESV).</w:t>
      </w:r>
      <w:r>
        <w:br/>
        <w:t>(E) Left ventricular end-diastolic volume (LVEDV).</w:t>
      </w:r>
      <w:r>
        <w:br/>
        <w:t>(F–H) Additional LV volumetric parameters as indicated.</w:t>
      </w:r>
      <w:r>
        <w:br/>
        <w:t>No significant differences were observed between genotypes across all measured parameters.</w:t>
      </w:r>
      <w:r>
        <w:br/>
        <w:t xml:space="preserve">Data are shown as individual data points with mean ± SD; each dot represents one mouse. Statistical analysis was performed using an unpaired two-tailed Student’s </w:t>
      </w:r>
      <w:r>
        <w:rPr>
          <w:rStyle w:val="Emphasis"/>
        </w:rPr>
        <w:t>t</w:t>
      </w:r>
      <w:r>
        <w:t>-</w:t>
      </w:r>
      <w:proofErr w:type="gramStart"/>
      <w:r>
        <w:t>test;</w:t>
      </w:r>
      <w:proofErr w:type="gramEnd"/>
      <w:r>
        <w:t xml:space="preserve"> ns, not significant.</w:t>
      </w:r>
    </w:p>
    <w:p w14:paraId="5724B869" w14:textId="77777777" w:rsidR="00860AD4" w:rsidRDefault="00860AD4" w:rsidP="00860AD4"/>
    <w:p w14:paraId="015999FE" w14:textId="607EBF12" w:rsidR="00860AD4" w:rsidRDefault="00860AD4" w:rsidP="00860AD4">
      <w:r>
        <w:rPr>
          <w:noProof/>
        </w:rPr>
        <w:drawing>
          <wp:inline distT="0" distB="0" distL="0" distR="0" wp14:anchorId="7974FA50" wp14:editId="43AC6FB3">
            <wp:extent cx="5445760" cy="5264837"/>
            <wp:effectExtent l="0" t="0" r="2540" b="5715"/>
            <wp:docPr id="29444000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40008" name="Grafik 294440008"/>
                    <pic:cNvPicPr/>
                  </pic:nvPicPr>
                  <pic:blipFill rotWithShape="1">
                    <a:blip r:embed="rId27"/>
                    <a:srcRect t="4389" r="5396" b="25926"/>
                    <a:stretch/>
                  </pic:blipFill>
                  <pic:spPr bwMode="auto">
                    <a:xfrm>
                      <a:off x="0" y="0"/>
                      <a:ext cx="5446247" cy="5265308"/>
                    </a:xfrm>
                    <a:prstGeom prst="rect">
                      <a:avLst/>
                    </a:prstGeom>
                    <a:ln>
                      <a:noFill/>
                    </a:ln>
                    <a:extLst>
                      <a:ext uri="{53640926-AAD7-44D8-BBD7-CCE9431645EC}">
                        <a14:shadowObscured xmlns:a14="http://schemas.microsoft.com/office/drawing/2010/main"/>
                      </a:ext>
                    </a:extLst>
                  </pic:spPr>
                </pic:pic>
              </a:graphicData>
            </a:graphic>
          </wp:inline>
        </w:drawing>
      </w:r>
    </w:p>
    <w:p w14:paraId="00090456" w14:textId="11ADC445" w:rsidR="00B86523" w:rsidRDefault="003D3883" w:rsidP="00B86523">
      <w:r>
        <w:rPr>
          <w:rStyle w:val="Strong"/>
        </w:rPr>
        <w:t>Supplementary Figure 1</w:t>
      </w:r>
      <w:r w:rsidR="0076214D">
        <w:rPr>
          <w:rStyle w:val="Strong"/>
        </w:rPr>
        <w:t>8</w:t>
      </w:r>
      <w:r>
        <w:rPr>
          <w:rStyle w:val="Strong"/>
        </w:rPr>
        <w:t xml:space="preserve"> | Platelet-specific C5aR1 deletion does not alter baseline platelet activation, platelet–neutrophil complex formation, or platelet–monocyte complex formation.</w:t>
      </w:r>
      <w:r>
        <w:br/>
        <w:t xml:space="preserve">(A) Flow cytometric analysis of platelet activation assessed by surface P-selectin expression (% </w:t>
      </w:r>
      <w:r>
        <w:lastRenderedPageBreak/>
        <w:t>CD62P^+) at baseline.</w:t>
      </w:r>
      <w:r>
        <w:br/>
        <w:t xml:space="preserve">(B) Platelet integrin activation assessed by activated </w:t>
      </w:r>
      <w:proofErr w:type="spellStart"/>
      <w:r>
        <w:t>GPIIb</w:t>
      </w:r>
      <w:proofErr w:type="spellEnd"/>
      <w:r>
        <w:t>/IIIa expression (% CD42b^+).</w:t>
      </w:r>
      <w:r>
        <w:br/>
        <w:t>(C) Circulating platelet–neutrophil complexes (PNCs) expressed as percentage of CD42b^+ cells.</w:t>
      </w:r>
      <w:r>
        <w:br/>
        <w:t>(D) Circulating platelet–monocyte complexes (PMCs) expressed as percentage of CD42b^+ cells.</w:t>
      </w:r>
      <w:r>
        <w:br/>
        <w:t>(E) Mean fluorescence intensity (</w:t>
      </w:r>
      <w:proofErr w:type="spellStart"/>
      <w:r>
        <w:t>gMFI</w:t>
      </w:r>
      <w:proofErr w:type="spellEnd"/>
      <w:r>
        <w:t>) of CD42b on PNCs.</w:t>
      </w:r>
      <w:r>
        <w:br/>
        <w:t>(F) Mean fluorescence intensity (</w:t>
      </w:r>
      <w:proofErr w:type="spellStart"/>
      <w:r>
        <w:t>gMFI</w:t>
      </w:r>
      <w:proofErr w:type="spellEnd"/>
      <w:r>
        <w:t>) of CD42b on PMCs.</w:t>
      </w:r>
      <w:r>
        <w:br/>
        <w:t xml:space="preserve">Data are shown as individual data points with mean ± SD; each dot represents one mouse. Statistical analysis was performed using an unpaired two-tailed Student’s </w:t>
      </w:r>
      <w:r>
        <w:rPr>
          <w:rStyle w:val="Emphasis"/>
        </w:rPr>
        <w:t>t</w:t>
      </w:r>
      <w:r>
        <w:t>-</w:t>
      </w:r>
      <w:proofErr w:type="gramStart"/>
      <w:r>
        <w:t>test;</w:t>
      </w:r>
      <w:proofErr w:type="gramEnd"/>
      <w:r>
        <w:t xml:space="preserve"> ns, not significant.</w:t>
      </w:r>
    </w:p>
    <w:p w14:paraId="6811056C" w14:textId="67A8A845" w:rsidR="00B86523" w:rsidRDefault="00DE1099" w:rsidP="00B86523">
      <w:r>
        <w:rPr>
          <w:noProof/>
        </w:rPr>
        <w:drawing>
          <wp:inline distT="0" distB="0" distL="0" distR="0" wp14:anchorId="4C4C4CE9" wp14:editId="2984B5E9">
            <wp:extent cx="5756570" cy="5825671"/>
            <wp:effectExtent l="0" t="0" r="0" b="3810"/>
            <wp:docPr id="2057286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861" name="Grafik 20572861"/>
                    <pic:cNvPicPr/>
                  </pic:nvPicPr>
                  <pic:blipFill rotWithShape="1">
                    <a:blip r:embed="rId28"/>
                    <a:srcRect t="4149" b="18744"/>
                    <a:stretch/>
                  </pic:blipFill>
                  <pic:spPr bwMode="auto">
                    <a:xfrm>
                      <a:off x="0" y="0"/>
                      <a:ext cx="5756910" cy="5826015"/>
                    </a:xfrm>
                    <a:prstGeom prst="rect">
                      <a:avLst/>
                    </a:prstGeom>
                    <a:ln>
                      <a:noFill/>
                    </a:ln>
                    <a:extLst>
                      <a:ext uri="{53640926-AAD7-44D8-BBD7-CCE9431645EC}">
                        <a14:shadowObscured xmlns:a14="http://schemas.microsoft.com/office/drawing/2010/main"/>
                      </a:ext>
                    </a:extLst>
                  </pic:spPr>
                </pic:pic>
              </a:graphicData>
            </a:graphic>
          </wp:inline>
        </w:drawing>
      </w:r>
    </w:p>
    <w:p w14:paraId="0FC4E17E" w14:textId="77777777" w:rsidR="00DE1099" w:rsidRPr="00B86523" w:rsidRDefault="00DE1099" w:rsidP="00B86523"/>
    <w:p w14:paraId="48F360D7" w14:textId="453BEAE0" w:rsidR="00860AD4" w:rsidRDefault="001A5056" w:rsidP="00860AD4">
      <w:r>
        <w:rPr>
          <w:rStyle w:val="Strong"/>
        </w:rPr>
        <w:lastRenderedPageBreak/>
        <w:t>Supplementary Figure 1</w:t>
      </w:r>
      <w:r w:rsidR="0076214D">
        <w:rPr>
          <w:rStyle w:val="Strong"/>
        </w:rPr>
        <w:t>9</w:t>
      </w:r>
      <w:r>
        <w:rPr>
          <w:rStyle w:val="Strong"/>
        </w:rPr>
        <w:t xml:space="preserve"> | Platelet activation and platelet–leukocyte complex formation are comparable between retrobulbar and cardiac blood sampling.</w:t>
      </w:r>
      <w:r>
        <w:br/>
        <w:t>(A) Platelet activation assessed by surface P-selectin expression (% CD62P^+).</w:t>
      </w:r>
      <w:r>
        <w:br/>
        <w:t xml:space="preserve">(B) Platelet integrin activation assessed by activated </w:t>
      </w:r>
      <w:proofErr w:type="spellStart"/>
      <w:r>
        <w:t>GPIIb</w:t>
      </w:r>
      <w:proofErr w:type="spellEnd"/>
      <w:r>
        <w:t>/IIIa expression (% CD42b^+).</w:t>
      </w:r>
      <w:r>
        <w:br/>
        <w:t>(C) Circulating platelet–neutrophil complexes (PNCs) expressed as percentage of CD42b^+ cells.</w:t>
      </w:r>
      <w:r>
        <w:br/>
        <w:t>(D) Circulating platelet–monocyte complexes (PMCs) expressed as percentage of CD42b^+ cells.</w:t>
      </w:r>
      <w:r>
        <w:br/>
        <w:t>(E) Mean fluorescence intensity (</w:t>
      </w:r>
      <w:proofErr w:type="spellStart"/>
      <w:r>
        <w:t>gMFI</w:t>
      </w:r>
      <w:proofErr w:type="spellEnd"/>
      <w:r>
        <w:t>) of CD42b on Ly6G^+ neutrophils.</w:t>
      </w:r>
      <w:r>
        <w:br/>
        <w:t>(F) Mean fluorescence intensity (</w:t>
      </w:r>
      <w:proofErr w:type="spellStart"/>
      <w:r>
        <w:t>gMFI</w:t>
      </w:r>
      <w:proofErr w:type="spellEnd"/>
      <w:r>
        <w:t>) of CD42b on CD115^+ monocytes.</w:t>
      </w:r>
      <w:r>
        <w:br/>
        <w:t xml:space="preserve">Data are shown as individual data points with mean ± SD; each dot represents one mouse. Statistical analysis was performed using an unpaired two-tailed Student’s </w:t>
      </w:r>
      <w:r>
        <w:rPr>
          <w:rStyle w:val="Emphasis"/>
        </w:rPr>
        <w:t>t</w:t>
      </w:r>
      <w:r>
        <w:t xml:space="preserve">-test; </w:t>
      </w:r>
      <w:r>
        <w:rPr>
          <w:rStyle w:val="Emphasis"/>
        </w:rPr>
        <w:t>P</w:t>
      </w:r>
      <w:r>
        <w:t xml:space="preserve"> &lt; 0.05; ns, not significant.</w:t>
      </w:r>
    </w:p>
    <w:p w14:paraId="2547DE3F" w14:textId="77777777" w:rsidR="00535326" w:rsidRDefault="00535326" w:rsidP="00860AD4"/>
    <w:p w14:paraId="33A899C0" w14:textId="661F2B25" w:rsidR="00535326" w:rsidRDefault="00535326">
      <w:pPr>
        <w:spacing w:line="240" w:lineRule="auto"/>
      </w:pPr>
      <w:r>
        <w:br w:type="page"/>
      </w:r>
    </w:p>
    <w:p w14:paraId="54C726D2" w14:textId="58E1F4B9" w:rsidR="00535326" w:rsidRDefault="00FE035A" w:rsidP="00FE035A">
      <w:pPr>
        <w:pStyle w:val="Heading1"/>
      </w:pPr>
      <w:r>
        <w:lastRenderedPageBreak/>
        <w:t>Supplementary Table</w:t>
      </w:r>
      <w:r w:rsidR="006236F2">
        <w:t>s</w:t>
      </w:r>
      <w:r>
        <w:t xml:space="preserve"> </w:t>
      </w:r>
    </w:p>
    <w:p w14:paraId="6ABDD7AE" w14:textId="0272E1AD" w:rsidR="00FE035A" w:rsidRPr="00FE035A" w:rsidRDefault="006236F2" w:rsidP="00FE035A">
      <w:pPr>
        <w:pStyle w:val="Heading1"/>
      </w:pPr>
      <w:r>
        <w:t xml:space="preserve">Supplementary Table 1 | </w:t>
      </w:r>
      <w:r w:rsidR="00FE035A">
        <w:t>Immunofluorescence Antibodies</w:t>
      </w:r>
    </w:p>
    <w:tbl>
      <w:tblPr>
        <w:tblStyle w:val="TableGrid"/>
        <w:tblW w:w="0" w:type="auto"/>
        <w:tblLook w:val="04A0" w:firstRow="1" w:lastRow="0" w:firstColumn="1" w:lastColumn="0" w:noHBand="0" w:noVBand="1"/>
      </w:tblPr>
      <w:tblGrid>
        <w:gridCol w:w="2591"/>
        <w:gridCol w:w="2002"/>
        <w:gridCol w:w="1696"/>
        <w:gridCol w:w="1462"/>
        <w:gridCol w:w="1305"/>
      </w:tblGrid>
      <w:tr w:rsidR="00FE035A" w:rsidRPr="00FE035A" w14:paraId="04EF4C91" w14:textId="77777777" w:rsidTr="00FE035A">
        <w:tc>
          <w:tcPr>
            <w:tcW w:w="0" w:type="auto"/>
            <w:hideMark/>
          </w:tcPr>
          <w:p w14:paraId="6095DB0D"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Target</w:t>
            </w:r>
          </w:p>
        </w:tc>
        <w:tc>
          <w:tcPr>
            <w:tcW w:w="0" w:type="auto"/>
            <w:hideMark/>
          </w:tcPr>
          <w:p w14:paraId="70016A8B"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Host / Clone</w:t>
            </w:r>
          </w:p>
        </w:tc>
        <w:tc>
          <w:tcPr>
            <w:tcW w:w="0" w:type="auto"/>
            <w:hideMark/>
          </w:tcPr>
          <w:p w14:paraId="01615B20"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Supplier</w:t>
            </w:r>
          </w:p>
        </w:tc>
        <w:tc>
          <w:tcPr>
            <w:tcW w:w="0" w:type="auto"/>
            <w:hideMark/>
          </w:tcPr>
          <w:p w14:paraId="0EF17B13"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Catalog #</w:t>
            </w:r>
          </w:p>
        </w:tc>
        <w:tc>
          <w:tcPr>
            <w:tcW w:w="0" w:type="auto"/>
            <w:hideMark/>
          </w:tcPr>
          <w:p w14:paraId="610B2DF7"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Application</w:t>
            </w:r>
          </w:p>
        </w:tc>
      </w:tr>
      <w:tr w:rsidR="00FE035A" w:rsidRPr="00FE035A" w14:paraId="7929BB7D" w14:textId="77777777" w:rsidTr="00FE035A">
        <w:tc>
          <w:tcPr>
            <w:tcW w:w="0" w:type="auto"/>
            <w:hideMark/>
          </w:tcPr>
          <w:p w14:paraId="6B58FAC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Collagen I</w:t>
            </w:r>
          </w:p>
        </w:tc>
        <w:tc>
          <w:tcPr>
            <w:tcW w:w="0" w:type="auto"/>
            <w:hideMark/>
          </w:tcPr>
          <w:p w14:paraId="4F9A065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polyclonal</w:t>
            </w:r>
          </w:p>
        </w:tc>
        <w:tc>
          <w:tcPr>
            <w:tcW w:w="0" w:type="auto"/>
            <w:hideMark/>
          </w:tcPr>
          <w:p w14:paraId="62F284F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Bio-Rad</w:t>
            </w:r>
          </w:p>
        </w:tc>
        <w:tc>
          <w:tcPr>
            <w:tcW w:w="0" w:type="auto"/>
            <w:hideMark/>
          </w:tcPr>
          <w:p w14:paraId="0CE48CA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2150-1410</w:t>
            </w:r>
          </w:p>
        </w:tc>
        <w:tc>
          <w:tcPr>
            <w:tcW w:w="0" w:type="auto"/>
            <w:hideMark/>
          </w:tcPr>
          <w:p w14:paraId="36F53CC9"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74A505CA" w14:textId="77777777" w:rsidTr="00FE035A">
        <w:tc>
          <w:tcPr>
            <w:tcW w:w="0" w:type="auto"/>
            <w:hideMark/>
          </w:tcPr>
          <w:p w14:paraId="510AADC2"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CD31 (PECAM-1)</w:t>
            </w:r>
          </w:p>
        </w:tc>
        <w:tc>
          <w:tcPr>
            <w:tcW w:w="0" w:type="auto"/>
            <w:hideMark/>
          </w:tcPr>
          <w:p w14:paraId="21B8D55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polyclonal</w:t>
            </w:r>
          </w:p>
        </w:tc>
        <w:tc>
          <w:tcPr>
            <w:tcW w:w="0" w:type="auto"/>
            <w:hideMark/>
          </w:tcPr>
          <w:p w14:paraId="4ADDAA6C"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34DFCB1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ab7388</w:t>
            </w:r>
          </w:p>
        </w:tc>
        <w:tc>
          <w:tcPr>
            <w:tcW w:w="0" w:type="auto"/>
            <w:hideMark/>
          </w:tcPr>
          <w:p w14:paraId="087E6994"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6C08D393" w14:textId="77777777" w:rsidTr="00FE035A">
        <w:tc>
          <w:tcPr>
            <w:tcW w:w="0" w:type="auto"/>
            <w:hideMark/>
          </w:tcPr>
          <w:p w14:paraId="79DC0AF8"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CD31 (PECAM-1)</w:t>
            </w:r>
          </w:p>
        </w:tc>
        <w:tc>
          <w:tcPr>
            <w:tcW w:w="0" w:type="auto"/>
            <w:hideMark/>
          </w:tcPr>
          <w:p w14:paraId="099DBE37"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monoclonal</w:t>
            </w:r>
          </w:p>
        </w:tc>
        <w:tc>
          <w:tcPr>
            <w:tcW w:w="0" w:type="auto"/>
            <w:hideMark/>
          </w:tcPr>
          <w:p w14:paraId="0396E9AC"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4F8F2CF9"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ab182981</w:t>
            </w:r>
          </w:p>
        </w:tc>
        <w:tc>
          <w:tcPr>
            <w:tcW w:w="0" w:type="auto"/>
            <w:hideMark/>
          </w:tcPr>
          <w:p w14:paraId="42BD1CD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192F80B3" w14:textId="77777777" w:rsidTr="00FE035A">
        <w:tc>
          <w:tcPr>
            <w:tcW w:w="0" w:type="auto"/>
            <w:hideMark/>
          </w:tcPr>
          <w:p w14:paraId="29A99C5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Ly6G</w:t>
            </w:r>
          </w:p>
        </w:tc>
        <w:tc>
          <w:tcPr>
            <w:tcW w:w="0" w:type="auto"/>
            <w:hideMark/>
          </w:tcPr>
          <w:p w14:paraId="6ADEE19C"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monoclonal (1A8)</w:t>
            </w:r>
          </w:p>
        </w:tc>
        <w:tc>
          <w:tcPr>
            <w:tcW w:w="0" w:type="auto"/>
            <w:hideMark/>
          </w:tcPr>
          <w:p w14:paraId="03820620" w14:textId="77777777" w:rsidR="00FE035A" w:rsidRPr="00FE035A" w:rsidRDefault="00FE035A" w:rsidP="00FE035A">
            <w:pPr>
              <w:rPr>
                <w:rFonts w:eastAsia="Times New Roman"/>
                <w:kern w:val="0"/>
                <w:sz w:val="20"/>
                <w:szCs w:val="20"/>
                <w14:ligatures w14:val="none"/>
              </w:rPr>
            </w:pPr>
            <w:proofErr w:type="spellStart"/>
            <w:r w:rsidRPr="00FE035A">
              <w:rPr>
                <w:rFonts w:eastAsia="Times New Roman"/>
                <w:kern w:val="0"/>
                <w:sz w:val="20"/>
                <w:szCs w:val="20"/>
                <w14:ligatures w14:val="none"/>
              </w:rPr>
              <w:t>BioLegend</w:t>
            </w:r>
            <w:proofErr w:type="spellEnd"/>
          </w:p>
        </w:tc>
        <w:tc>
          <w:tcPr>
            <w:tcW w:w="0" w:type="auto"/>
            <w:hideMark/>
          </w:tcPr>
          <w:p w14:paraId="2E31B50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4767</w:t>
            </w:r>
          </w:p>
        </w:tc>
        <w:tc>
          <w:tcPr>
            <w:tcW w:w="0" w:type="auto"/>
            <w:hideMark/>
          </w:tcPr>
          <w:p w14:paraId="43FB4269"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4FD7B858" w14:textId="77777777" w:rsidTr="00FE035A">
        <w:tc>
          <w:tcPr>
            <w:tcW w:w="0" w:type="auto"/>
            <w:hideMark/>
          </w:tcPr>
          <w:p w14:paraId="4E69229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Ly6G</w:t>
            </w:r>
          </w:p>
        </w:tc>
        <w:tc>
          <w:tcPr>
            <w:tcW w:w="0" w:type="auto"/>
            <w:hideMark/>
          </w:tcPr>
          <w:p w14:paraId="3261440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polyclonal</w:t>
            </w:r>
          </w:p>
        </w:tc>
        <w:tc>
          <w:tcPr>
            <w:tcW w:w="0" w:type="auto"/>
            <w:hideMark/>
          </w:tcPr>
          <w:p w14:paraId="587C0228"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antibodies-online</w:t>
            </w:r>
          </w:p>
        </w:tc>
        <w:tc>
          <w:tcPr>
            <w:tcW w:w="0" w:type="auto"/>
            <w:hideMark/>
          </w:tcPr>
          <w:p w14:paraId="286BA029"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ABIN7045456</w:t>
            </w:r>
          </w:p>
        </w:tc>
        <w:tc>
          <w:tcPr>
            <w:tcW w:w="0" w:type="auto"/>
            <w:hideMark/>
          </w:tcPr>
          <w:p w14:paraId="43EC006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040104D8" w14:textId="77777777" w:rsidTr="00FE035A">
        <w:tc>
          <w:tcPr>
            <w:tcW w:w="0" w:type="auto"/>
            <w:hideMark/>
          </w:tcPr>
          <w:p w14:paraId="21C7F4C4"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CD42b (</w:t>
            </w:r>
            <w:proofErr w:type="spellStart"/>
            <w:r w:rsidRPr="00FE035A">
              <w:rPr>
                <w:rFonts w:eastAsia="Times New Roman"/>
                <w:kern w:val="0"/>
                <w:sz w:val="20"/>
                <w:szCs w:val="20"/>
                <w14:ligatures w14:val="none"/>
              </w:rPr>
              <w:t>GPIb</w:t>
            </w:r>
            <w:proofErr w:type="spellEnd"/>
            <w:r w:rsidRPr="00FE035A">
              <w:rPr>
                <w:rFonts w:eastAsia="Times New Roman"/>
                <w:kern w:val="0"/>
                <w:sz w:val="20"/>
                <w:szCs w:val="20"/>
                <w14:ligatures w14:val="none"/>
              </w:rPr>
              <w:t>α)</w:t>
            </w:r>
          </w:p>
        </w:tc>
        <w:tc>
          <w:tcPr>
            <w:tcW w:w="0" w:type="auto"/>
            <w:hideMark/>
          </w:tcPr>
          <w:p w14:paraId="0F05D328"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monoclonal</w:t>
            </w:r>
          </w:p>
        </w:tc>
        <w:tc>
          <w:tcPr>
            <w:tcW w:w="0" w:type="auto"/>
            <w:hideMark/>
          </w:tcPr>
          <w:p w14:paraId="6D8251B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3B869FF2"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ab227669</w:t>
            </w:r>
          </w:p>
        </w:tc>
        <w:tc>
          <w:tcPr>
            <w:tcW w:w="0" w:type="auto"/>
            <w:hideMark/>
          </w:tcPr>
          <w:p w14:paraId="36B2CA20"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46FA2D76" w14:textId="77777777" w:rsidTr="00FE035A">
        <w:tc>
          <w:tcPr>
            <w:tcW w:w="0" w:type="auto"/>
            <w:hideMark/>
          </w:tcPr>
          <w:p w14:paraId="3623966E"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CD42b (</w:t>
            </w:r>
            <w:proofErr w:type="spellStart"/>
            <w:r w:rsidRPr="00FE035A">
              <w:rPr>
                <w:rFonts w:eastAsia="Times New Roman"/>
                <w:kern w:val="0"/>
                <w:sz w:val="20"/>
                <w:szCs w:val="20"/>
                <w14:ligatures w14:val="none"/>
              </w:rPr>
              <w:t>GPIb</w:t>
            </w:r>
            <w:proofErr w:type="spellEnd"/>
            <w:r w:rsidRPr="00FE035A">
              <w:rPr>
                <w:rFonts w:eastAsia="Times New Roman"/>
                <w:kern w:val="0"/>
                <w:sz w:val="20"/>
                <w:szCs w:val="20"/>
                <w14:ligatures w14:val="none"/>
              </w:rPr>
              <w:t>α)</w:t>
            </w:r>
          </w:p>
        </w:tc>
        <w:tc>
          <w:tcPr>
            <w:tcW w:w="0" w:type="auto"/>
            <w:hideMark/>
          </w:tcPr>
          <w:p w14:paraId="0E4ECA2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monoclonal</w:t>
            </w:r>
          </w:p>
        </w:tc>
        <w:tc>
          <w:tcPr>
            <w:tcW w:w="0" w:type="auto"/>
            <w:hideMark/>
          </w:tcPr>
          <w:p w14:paraId="7FAD61D3" w14:textId="77777777" w:rsidR="00FE035A" w:rsidRPr="00FE035A" w:rsidRDefault="00FE035A" w:rsidP="00FE035A">
            <w:pPr>
              <w:rPr>
                <w:rFonts w:eastAsia="Times New Roman"/>
                <w:kern w:val="0"/>
                <w:sz w:val="20"/>
                <w:szCs w:val="20"/>
                <w14:ligatures w14:val="none"/>
              </w:rPr>
            </w:pPr>
            <w:proofErr w:type="spellStart"/>
            <w:r w:rsidRPr="00FE035A">
              <w:rPr>
                <w:rFonts w:eastAsia="Times New Roman"/>
                <w:kern w:val="0"/>
                <w:sz w:val="20"/>
                <w:szCs w:val="20"/>
                <w14:ligatures w14:val="none"/>
              </w:rPr>
              <w:t>Emfret</w:t>
            </w:r>
            <w:proofErr w:type="spellEnd"/>
            <w:r w:rsidRPr="00FE035A">
              <w:rPr>
                <w:rFonts w:eastAsia="Times New Roman"/>
                <w:kern w:val="0"/>
                <w:sz w:val="20"/>
                <w:szCs w:val="20"/>
                <w14:ligatures w14:val="none"/>
              </w:rPr>
              <w:t xml:space="preserve"> Analytics</w:t>
            </w:r>
          </w:p>
        </w:tc>
        <w:tc>
          <w:tcPr>
            <w:tcW w:w="0" w:type="auto"/>
            <w:hideMark/>
          </w:tcPr>
          <w:p w14:paraId="398ED5F0"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M040-0</w:t>
            </w:r>
          </w:p>
        </w:tc>
        <w:tc>
          <w:tcPr>
            <w:tcW w:w="0" w:type="auto"/>
            <w:hideMark/>
          </w:tcPr>
          <w:p w14:paraId="37B21C7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08225105" w14:textId="77777777" w:rsidTr="00FE035A">
        <w:tc>
          <w:tcPr>
            <w:tcW w:w="0" w:type="auto"/>
            <w:hideMark/>
          </w:tcPr>
          <w:p w14:paraId="06AEDED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Myeloperoxidase (MPO)</w:t>
            </w:r>
          </w:p>
        </w:tc>
        <w:tc>
          <w:tcPr>
            <w:tcW w:w="0" w:type="auto"/>
            <w:hideMark/>
          </w:tcPr>
          <w:p w14:paraId="7DA87356"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polyclonal</w:t>
            </w:r>
          </w:p>
        </w:tc>
        <w:tc>
          <w:tcPr>
            <w:tcW w:w="0" w:type="auto"/>
            <w:hideMark/>
          </w:tcPr>
          <w:p w14:paraId="425DAD24"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1EC82482"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ab9535</w:t>
            </w:r>
          </w:p>
        </w:tc>
        <w:tc>
          <w:tcPr>
            <w:tcW w:w="0" w:type="auto"/>
            <w:hideMark/>
          </w:tcPr>
          <w:p w14:paraId="7F2D4E50"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29202829" w14:textId="77777777" w:rsidTr="00FE035A">
        <w:tc>
          <w:tcPr>
            <w:tcW w:w="0" w:type="auto"/>
            <w:hideMark/>
          </w:tcPr>
          <w:p w14:paraId="278AED55"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Myeloperoxidase (MPO)</w:t>
            </w:r>
          </w:p>
        </w:tc>
        <w:tc>
          <w:tcPr>
            <w:tcW w:w="0" w:type="auto"/>
            <w:hideMark/>
          </w:tcPr>
          <w:p w14:paraId="17BF986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monoclonal</w:t>
            </w:r>
          </w:p>
        </w:tc>
        <w:tc>
          <w:tcPr>
            <w:tcW w:w="0" w:type="auto"/>
            <w:hideMark/>
          </w:tcPr>
          <w:p w14:paraId="2C46FFB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3ACDB859"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ab208670</w:t>
            </w:r>
          </w:p>
        </w:tc>
        <w:tc>
          <w:tcPr>
            <w:tcW w:w="0" w:type="auto"/>
            <w:hideMark/>
          </w:tcPr>
          <w:p w14:paraId="0125FB23"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07042FB7" w14:textId="77777777" w:rsidTr="00FE035A">
        <w:tc>
          <w:tcPr>
            <w:tcW w:w="0" w:type="auto"/>
            <w:hideMark/>
          </w:tcPr>
          <w:p w14:paraId="51B17A72"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Citrullinated histone H3 (H3Cit)</w:t>
            </w:r>
          </w:p>
        </w:tc>
        <w:tc>
          <w:tcPr>
            <w:tcW w:w="0" w:type="auto"/>
            <w:hideMark/>
          </w:tcPr>
          <w:p w14:paraId="20B34CAF"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polyclonal</w:t>
            </w:r>
          </w:p>
        </w:tc>
        <w:tc>
          <w:tcPr>
            <w:tcW w:w="0" w:type="auto"/>
            <w:hideMark/>
          </w:tcPr>
          <w:p w14:paraId="1991889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7F324A2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ab5103</w:t>
            </w:r>
          </w:p>
        </w:tc>
        <w:tc>
          <w:tcPr>
            <w:tcW w:w="0" w:type="auto"/>
            <w:hideMark/>
          </w:tcPr>
          <w:p w14:paraId="475445B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49CAED53" w14:textId="77777777" w:rsidTr="00FE035A">
        <w:tc>
          <w:tcPr>
            <w:tcW w:w="0" w:type="auto"/>
            <w:hideMark/>
          </w:tcPr>
          <w:p w14:paraId="46A740F8"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CD68</w:t>
            </w:r>
          </w:p>
        </w:tc>
        <w:tc>
          <w:tcPr>
            <w:tcW w:w="0" w:type="auto"/>
            <w:hideMark/>
          </w:tcPr>
          <w:p w14:paraId="19743A7F"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monoclonal (FA-11)</w:t>
            </w:r>
          </w:p>
        </w:tc>
        <w:tc>
          <w:tcPr>
            <w:tcW w:w="0" w:type="auto"/>
            <w:hideMark/>
          </w:tcPr>
          <w:p w14:paraId="1AF4C9C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Abcam</w:t>
            </w:r>
          </w:p>
        </w:tc>
        <w:tc>
          <w:tcPr>
            <w:tcW w:w="0" w:type="auto"/>
            <w:hideMark/>
          </w:tcPr>
          <w:p w14:paraId="3BEE384E"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ab53444</w:t>
            </w:r>
          </w:p>
        </w:tc>
        <w:tc>
          <w:tcPr>
            <w:tcW w:w="0" w:type="auto"/>
            <w:hideMark/>
          </w:tcPr>
          <w:p w14:paraId="3CF2CDB8"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0D713618" w14:textId="77777777" w:rsidTr="00FE035A">
        <w:tc>
          <w:tcPr>
            <w:tcW w:w="0" w:type="auto"/>
            <w:hideMark/>
          </w:tcPr>
          <w:p w14:paraId="08FF6F0F"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CD62P (P-selectin)</w:t>
            </w:r>
          </w:p>
        </w:tc>
        <w:tc>
          <w:tcPr>
            <w:tcW w:w="0" w:type="auto"/>
            <w:hideMark/>
          </w:tcPr>
          <w:p w14:paraId="4A544720"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Rat anti-mouse</w:t>
            </w:r>
          </w:p>
        </w:tc>
        <w:tc>
          <w:tcPr>
            <w:tcW w:w="0" w:type="auto"/>
            <w:hideMark/>
          </w:tcPr>
          <w:p w14:paraId="1E3964B4"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BD Pharmingen</w:t>
            </w:r>
          </w:p>
        </w:tc>
        <w:tc>
          <w:tcPr>
            <w:tcW w:w="0" w:type="auto"/>
            <w:hideMark/>
          </w:tcPr>
          <w:p w14:paraId="1AD90B36"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553744</w:t>
            </w:r>
          </w:p>
        </w:tc>
        <w:tc>
          <w:tcPr>
            <w:tcW w:w="0" w:type="auto"/>
            <w:hideMark/>
          </w:tcPr>
          <w:p w14:paraId="138FC47A"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r w:rsidR="00FE035A" w:rsidRPr="00FE035A" w14:paraId="3A818024" w14:textId="77777777" w:rsidTr="00FE035A">
        <w:tc>
          <w:tcPr>
            <w:tcW w:w="0" w:type="auto"/>
            <w:hideMark/>
          </w:tcPr>
          <w:p w14:paraId="4B34EBEB"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CXCL4 (PF4)</w:t>
            </w:r>
          </w:p>
        </w:tc>
        <w:tc>
          <w:tcPr>
            <w:tcW w:w="0" w:type="auto"/>
            <w:hideMark/>
          </w:tcPr>
          <w:p w14:paraId="484B6EDC"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Rabbit polyclonal</w:t>
            </w:r>
          </w:p>
        </w:tc>
        <w:tc>
          <w:tcPr>
            <w:tcW w:w="0" w:type="auto"/>
            <w:hideMark/>
          </w:tcPr>
          <w:p w14:paraId="10E8DB9F"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Cloud-Clone Corp.</w:t>
            </w:r>
          </w:p>
        </w:tc>
        <w:tc>
          <w:tcPr>
            <w:tcW w:w="0" w:type="auto"/>
            <w:hideMark/>
          </w:tcPr>
          <w:p w14:paraId="503E133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PAA172Mu01</w:t>
            </w:r>
          </w:p>
        </w:tc>
        <w:tc>
          <w:tcPr>
            <w:tcW w:w="0" w:type="auto"/>
            <w:hideMark/>
          </w:tcPr>
          <w:p w14:paraId="7874F900"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IF</w:t>
            </w:r>
          </w:p>
        </w:tc>
      </w:tr>
    </w:tbl>
    <w:p w14:paraId="3B56E4CC" w14:textId="54F5EB83" w:rsidR="00FE035A" w:rsidRDefault="006236F2" w:rsidP="00FE035A">
      <w:pPr>
        <w:pStyle w:val="Heading1"/>
      </w:pPr>
      <w:r>
        <w:t xml:space="preserve">Supplementary Table 2 | </w:t>
      </w:r>
      <w:r w:rsidR="00FE035A">
        <w:t>Secondary Antibodies</w:t>
      </w:r>
    </w:p>
    <w:tbl>
      <w:tblPr>
        <w:tblStyle w:val="TableGrid"/>
        <w:tblW w:w="0" w:type="auto"/>
        <w:tblLook w:val="04A0" w:firstRow="1" w:lastRow="0" w:firstColumn="1" w:lastColumn="0" w:noHBand="0" w:noVBand="1"/>
      </w:tblPr>
      <w:tblGrid>
        <w:gridCol w:w="1506"/>
        <w:gridCol w:w="661"/>
        <w:gridCol w:w="2618"/>
        <w:gridCol w:w="1095"/>
      </w:tblGrid>
      <w:tr w:rsidR="00FE035A" w:rsidRPr="00FE035A" w14:paraId="06830B41" w14:textId="77777777" w:rsidTr="00FE035A">
        <w:tc>
          <w:tcPr>
            <w:tcW w:w="0" w:type="auto"/>
            <w:hideMark/>
          </w:tcPr>
          <w:p w14:paraId="38747D77"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Target</w:t>
            </w:r>
          </w:p>
        </w:tc>
        <w:tc>
          <w:tcPr>
            <w:tcW w:w="0" w:type="auto"/>
            <w:hideMark/>
          </w:tcPr>
          <w:p w14:paraId="67FE1AC4"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Host</w:t>
            </w:r>
          </w:p>
        </w:tc>
        <w:tc>
          <w:tcPr>
            <w:tcW w:w="0" w:type="auto"/>
            <w:hideMark/>
          </w:tcPr>
          <w:p w14:paraId="1A55B78F"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Fluorophore</w:t>
            </w:r>
          </w:p>
        </w:tc>
        <w:tc>
          <w:tcPr>
            <w:tcW w:w="0" w:type="auto"/>
            <w:hideMark/>
          </w:tcPr>
          <w:p w14:paraId="656FA112" w14:textId="77777777" w:rsidR="00FE035A" w:rsidRPr="00FE035A" w:rsidRDefault="00FE035A" w:rsidP="00FE035A">
            <w:pPr>
              <w:jc w:val="center"/>
              <w:rPr>
                <w:rFonts w:eastAsia="Times New Roman"/>
                <w:b/>
                <w:bCs/>
                <w:kern w:val="0"/>
                <w:sz w:val="20"/>
                <w:szCs w:val="20"/>
                <w14:ligatures w14:val="none"/>
              </w:rPr>
            </w:pPr>
            <w:r w:rsidRPr="00FE035A">
              <w:rPr>
                <w:rFonts w:eastAsia="Times New Roman"/>
                <w:b/>
                <w:bCs/>
                <w:kern w:val="0"/>
                <w:sz w:val="20"/>
                <w:szCs w:val="20"/>
                <w14:ligatures w14:val="none"/>
              </w:rPr>
              <w:t>Supplier</w:t>
            </w:r>
          </w:p>
        </w:tc>
      </w:tr>
      <w:tr w:rsidR="00FE035A" w:rsidRPr="00FE035A" w14:paraId="32796878" w14:textId="77777777" w:rsidTr="00FE035A">
        <w:tc>
          <w:tcPr>
            <w:tcW w:w="0" w:type="auto"/>
            <w:hideMark/>
          </w:tcPr>
          <w:p w14:paraId="6C537CA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Anti-rabbit IgG</w:t>
            </w:r>
          </w:p>
        </w:tc>
        <w:tc>
          <w:tcPr>
            <w:tcW w:w="0" w:type="auto"/>
            <w:hideMark/>
          </w:tcPr>
          <w:p w14:paraId="59E2DE4D" w14:textId="511261BB" w:rsidR="00FE035A" w:rsidRPr="00FE035A" w:rsidRDefault="00FE035A" w:rsidP="00FE035A">
            <w:pPr>
              <w:rPr>
                <w:rFonts w:eastAsia="Times New Roman"/>
                <w:kern w:val="0"/>
                <w:sz w:val="20"/>
                <w:szCs w:val="20"/>
                <w14:ligatures w14:val="none"/>
              </w:rPr>
            </w:pPr>
            <w:r>
              <w:rPr>
                <w:rFonts w:eastAsia="Times New Roman"/>
                <w:kern w:val="0"/>
                <w:sz w:val="20"/>
                <w:szCs w:val="20"/>
                <w14:ligatures w14:val="none"/>
              </w:rPr>
              <w:t>Goat</w:t>
            </w:r>
          </w:p>
        </w:tc>
        <w:tc>
          <w:tcPr>
            <w:tcW w:w="0" w:type="auto"/>
            <w:hideMark/>
          </w:tcPr>
          <w:p w14:paraId="6F770790" w14:textId="583F86D9"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 xml:space="preserve">Alexa Fluor 488 / </w:t>
            </w:r>
            <w:r w:rsidR="005F56C9">
              <w:rPr>
                <w:rFonts w:eastAsia="Times New Roman"/>
                <w:kern w:val="0"/>
                <w:sz w:val="20"/>
                <w:szCs w:val="20"/>
                <w14:ligatures w14:val="none"/>
              </w:rPr>
              <w:t>546</w:t>
            </w:r>
            <w:r w:rsidRPr="00FE035A">
              <w:rPr>
                <w:rFonts w:eastAsia="Times New Roman"/>
                <w:kern w:val="0"/>
                <w:sz w:val="20"/>
                <w:szCs w:val="20"/>
                <w14:ligatures w14:val="none"/>
              </w:rPr>
              <w:t xml:space="preserve"> / 647</w:t>
            </w:r>
          </w:p>
        </w:tc>
        <w:tc>
          <w:tcPr>
            <w:tcW w:w="0" w:type="auto"/>
            <w:hideMark/>
          </w:tcPr>
          <w:p w14:paraId="446A061D"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Invitrogen</w:t>
            </w:r>
          </w:p>
        </w:tc>
      </w:tr>
      <w:tr w:rsidR="00FE035A" w:rsidRPr="00FE035A" w14:paraId="152B51AB" w14:textId="77777777" w:rsidTr="00FE035A">
        <w:tc>
          <w:tcPr>
            <w:tcW w:w="0" w:type="auto"/>
            <w:hideMark/>
          </w:tcPr>
          <w:p w14:paraId="76A98694"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Anti-rat IgG</w:t>
            </w:r>
          </w:p>
        </w:tc>
        <w:tc>
          <w:tcPr>
            <w:tcW w:w="0" w:type="auto"/>
            <w:hideMark/>
          </w:tcPr>
          <w:p w14:paraId="609CC470" w14:textId="6FF7199C" w:rsidR="00FE035A" w:rsidRPr="00FE035A" w:rsidRDefault="00FE035A" w:rsidP="00FE035A">
            <w:pPr>
              <w:rPr>
                <w:rFonts w:eastAsia="Times New Roman"/>
                <w:kern w:val="0"/>
                <w:sz w:val="20"/>
                <w:szCs w:val="20"/>
                <w14:ligatures w14:val="none"/>
              </w:rPr>
            </w:pPr>
            <w:r>
              <w:rPr>
                <w:rFonts w:eastAsia="Times New Roman"/>
                <w:kern w:val="0"/>
                <w:sz w:val="20"/>
                <w:szCs w:val="20"/>
                <w14:ligatures w14:val="none"/>
              </w:rPr>
              <w:t>Goat</w:t>
            </w:r>
          </w:p>
        </w:tc>
        <w:tc>
          <w:tcPr>
            <w:tcW w:w="0" w:type="auto"/>
            <w:hideMark/>
          </w:tcPr>
          <w:p w14:paraId="7928F372" w14:textId="3E4DE186"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 xml:space="preserve">Alexa Fluor 488 / </w:t>
            </w:r>
            <w:r w:rsidR="005F56C9">
              <w:rPr>
                <w:rFonts w:eastAsia="Times New Roman"/>
                <w:kern w:val="0"/>
                <w:sz w:val="20"/>
                <w:szCs w:val="20"/>
                <w14:ligatures w14:val="none"/>
              </w:rPr>
              <w:t>546</w:t>
            </w:r>
            <w:r w:rsidRPr="00FE035A">
              <w:rPr>
                <w:rFonts w:eastAsia="Times New Roman"/>
                <w:kern w:val="0"/>
                <w:sz w:val="20"/>
                <w:szCs w:val="20"/>
                <w14:ligatures w14:val="none"/>
              </w:rPr>
              <w:t xml:space="preserve"> / 647</w:t>
            </w:r>
          </w:p>
        </w:tc>
        <w:tc>
          <w:tcPr>
            <w:tcW w:w="0" w:type="auto"/>
            <w:hideMark/>
          </w:tcPr>
          <w:p w14:paraId="331058CC" w14:textId="77777777" w:rsidR="00FE035A" w:rsidRPr="00FE035A" w:rsidRDefault="00FE035A" w:rsidP="00FE035A">
            <w:pPr>
              <w:rPr>
                <w:rFonts w:eastAsia="Times New Roman"/>
                <w:kern w:val="0"/>
                <w:sz w:val="20"/>
                <w:szCs w:val="20"/>
                <w14:ligatures w14:val="none"/>
              </w:rPr>
            </w:pPr>
            <w:r w:rsidRPr="00FE035A">
              <w:rPr>
                <w:rFonts w:eastAsia="Times New Roman"/>
                <w:kern w:val="0"/>
                <w:sz w:val="20"/>
                <w:szCs w:val="20"/>
                <w14:ligatures w14:val="none"/>
              </w:rPr>
              <w:t>Invitrogen</w:t>
            </w:r>
          </w:p>
        </w:tc>
      </w:tr>
    </w:tbl>
    <w:p w14:paraId="7C4B364F" w14:textId="77777777" w:rsidR="00FE035A" w:rsidRPr="00FE035A" w:rsidRDefault="00FE035A" w:rsidP="00FE035A"/>
    <w:p w14:paraId="4A860A68" w14:textId="77777777" w:rsidR="00546A90" w:rsidRDefault="00546A90" w:rsidP="00546A90"/>
    <w:p w14:paraId="1D9B1B07" w14:textId="77777777" w:rsidR="00546A90" w:rsidRDefault="00546A90" w:rsidP="00546A90"/>
    <w:p w14:paraId="434A6558" w14:textId="3E088DAF" w:rsidR="005445BB" w:rsidRDefault="006236F2" w:rsidP="00546A90">
      <w:pPr>
        <w:pStyle w:val="Heading1"/>
      </w:pPr>
      <w:r>
        <w:lastRenderedPageBreak/>
        <w:t xml:space="preserve">Supplementary Table 3 | </w:t>
      </w:r>
      <w:r w:rsidR="00546A90">
        <w:t>Flow Cytometry Antibodies</w:t>
      </w:r>
    </w:p>
    <w:tbl>
      <w:tblPr>
        <w:tblStyle w:val="TableGrid"/>
        <w:tblW w:w="0" w:type="auto"/>
        <w:tblLook w:val="04A0" w:firstRow="1" w:lastRow="0" w:firstColumn="1" w:lastColumn="0" w:noHBand="0" w:noVBand="1"/>
      </w:tblPr>
      <w:tblGrid>
        <w:gridCol w:w="2039"/>
        <w:gridCol w:w="995"/>
        <w:gridCol w:w="1394"/>
        <w:gridCol w:w="1661"/>
        <w:gridCol w:w="1117"/>
      </w:tblGrid>
      <w:tr w:rsidR="00546A90" w:rsidRPr="00546A90" w14:paraId="50127873" w14:textId="77777777" w:rsidTr="00546A90">
        <w:tc>
          <w:tcPr>
            <w:tcW w:w="0" w:type="auto"/>
            <w:hideMark/>
          </w:tcPr>
          <w:p w14:paraId="69EE4386"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Target</w:t>
            </w:r>
          </w:p>
        </w:tc>
        <w:tc>
          <w:tcPr>
            <w:tcW w:w="0" w:type="auto"/>
            <w:hideMark/>
          </w:tcPr>
          <w:p w14:paraId="74A15BB2"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Clone</w:t>
            </w:r>
          </w:p>
        </w:tc>
        <w:tc>
          <w:tcPr>
            <w:tcW w:w="0" w:type="auto"/>
            <w:hideMark/>
          </w:tcPr>
          <w:p w14:paraId="6D47AAB5"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Fluorophore</w:t>
            </w:r>
          </w:p>
        </w:tc>
        <w:tc>
          <w:tcPr>
            <w:tcW w:w="0" w:type="auto"/>
            <w:hideMark/>
          </w:tcPr>
          <w:p w14:paraId="716CC2EF"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Supplier</w:t>
            </w:r>
          </w:p>
        </w:tc>
        <w:tc>
          <w:tcPr>
            <w:tcW w:w="0" w:type="auto"/>
            <w:hideMark/>
          </w:tcPr>
          <w:p w14:paraId="747F3B4A"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Catalog #</w:t>
            </w:r>
          </w:p>
        </w:tc>
      </w:tr>
      <w:tr w:rsidR="00546A90" w:rsidRPr="00546A90" w14:paraId="71EE1C94" w14:textId="77777777" w:rsidTr="00546A90">
        <w:tc>
          <w:tcPr>
            <w:tcW w:w="0" w:type="auto"/>
            <w:hideMark/>
          </w:tcPr>
          <w:p w14:paraId="6FA3A346"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CD42b (</w:t>
            </w:r>
            <w:proofErr w:type="spellStart"/>
            <w:r w:rsidRPr="00546A90">
              <w:rPr>
                <w:rFonts w:eastAsia="Times New Roman"/>
                <w:kern w:val="0"/>
                <w:sz w:val="20"/>
                <w:szCs w:val="20"/>
                <w14:ligatures w14:val="none"/>
              </w:rPr>
              <w:t>GPIb</w:t>
            </w:r>
            <w:proofErr w:type="spellEnd"/>
            <w:r w:rsidRPr="00546A90">
              <w:rPr>
                <w:rFonts w:eastAsia="Times New Roman"/>
                <w:kern w:val="0"/>
                <w:sz w:val="20"/>
                <w:szCs w:val="20"/>
                <w14:ligatures w14:val="none"/>
              </w:rPr>
              <w:t>α)</w:t>
            </w:r>
          </w:p>
        </w:tc>
        <w:tc>
          <w:tcPr>
            <w:tcW w:w="0" w:type="auto"/>
            <w:hideMark/>
          </w:tcPr>
          <w:p w14:paraId="73BBA9EA"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Xia.G5</w:t>
            </w:r>
          </w:p>
        </w:tc>
        <w:tc>
          <w:tcPr>
            <w:tcW w:w="0" w:type="auto"/>
            <w:hideMark/>
          </w:tcPr>
          <w:p w14:paraId="01726F05"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DyLight</w:t>
            </w:r>
            <w:proofErr w:type="spellEnd"/>
            <w:r w:rsidRPr="00546A90">
              <w:rPr>
                <w:rFonts w:eastAsia="Times New Roman"/>
                <w:kern w:val="0"/>
                <w:sz w:val="20"/>
                <w:szCs w:val="20"/>
                <w14:ligatures w14:val="none"/>
              </w:rPr>
              <w:t xml:space="preserve"> 649</w:t>
            </w:r>
          </w:p>
        </w:tc>
        <w:tc>
          <w:tcPr>
            <w:tcW w:w="0" w:type="auto"/>
            <w:hideMark/>
          </w:tcPr>
          <w:p w14:paraId="1E19D3C8"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Emfret</w:t>
            </w:r>
            <w:proofErr w:type="spellEnd"/>
            <w:r w:rsidRPr="00546A90">
              <w:rPr>
                <w:rFonts w:eastAsia="Times New Roman"/>
                <w:kern w:val="0"/>
                <w:sz w:val="20"/>
                <w:szCs w:val="20"/>
                <w14:ligatures w14:val="none"/>
              </w:rPr>
              <w:t xml:space="preserve"> Analytics</w:t>
            </w:r>
          </w:p>
        </w:tc>
        <w:tc>
          <w:tcPr>
            <w:tcW w:w="0" w:type="auto"/>
            <w:hideMark/>
          </w:tcPr>
          <w:p w14:paraId="5FDE65A4"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M040-3</w:t>
            </w:r>
          </w:p>
        </w:tc>
      </w:tr>
      <w:tr w:rsidR="00546A90" w:rsidRPr="00546A90" w14:paraId="3318AE5D" w14:textId="77777777" w:rsidTr="00546A90">
        <w:tc>
          <w:tcPr>
            <w:tcW w:w="0" w:type="auto"/>
            <w:hideMark/>
          </w:tcPr>
          <w:p w14:paraId="56CB53BF"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CD62P (P-selectin)</w:t>
            </w:r>
          </w:p>
        </w:tc>
        <w:tc>
          <w:tcPr>
            <w:tcW w:w="0" w:type="auto"/>
            <w:hideMark/>
          </w:tcPr>
          <w:p w14:paraId="5158BB80"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RB40.34</w:t>
            </w:r>
          </w:p>
        </w:tc>
        <w:tc>
          <w:tcPr>
            <w:tcW w:w="0" w:type="auto"/>
            <w:hideMark/>
          </w:tcPr>
          <w:p w14:paraId="541DF3AB"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PE-Cy7</w:t>
            </w:r>
          </w:p>
        </w:tc>
        <w:tc>
          <w:tcPr>
            <w:tcW w:w="0" w:type="auto"/>
            <w:hideMark/>
          </w:tcPr>
          <w:p w14:paraId="1C19BC9E"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BioLegend</w:t>
            </w:r>
            <w:proofErr w:type="spellEnd"/>
          </w:p>
        </w:tc>
        <w:tc>
          <w:tcPr>
            <w:tcW w:w="0" w:type="auto"/>
            <w:hideMark/>
          </w:tcPr>
          <w:p w14:paraId="2265B68B"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148310</w:t>
            </w:r>
          </w:p>
        </w:tc>
      </w:tr>
      <w:tr w:rsidR="00546A90" w:rsidRPr="00546A90" w14:paraId="2F86AA54" w14:textId="77777777" w:rsidTr="00546A90">
        <w:tc>
          <w:tcPr>
            <w:tcW w:w="0" w:type="auto"/>
            <w:hideMark/>
          </w:tcPr>
          <w:p w14:paraId="54E604A5"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GPIIb</w:t>
            </w:r>
            <w:proofErr w:type="spellEnd"/>
            <w:r w:rsidRPr="00546A90">
              <w:rPr>
                <w:rFonts w:eastAsia="Times New Roman"/>
                <w:kern w:val="0"/>
                <w:sz w:val="20"/>
                <w:szCs w:val="20"/>
                <w14:ligatures w14:val="none"/>
              </w:rPr>
              <w:t>/IIIa (CD41/61)</w:t>
            </w:r>
          </w:p>
        </w:tc>
        <w:tc>
          <w:tcPr>
            <w:tcW w:w="0" w:type="auto"/>
            <w:hideMark/>
          </w:tcPr>
          <w:p w14:paraId="174D0623"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JON/A</w:t>
            </w:r>
          </w:p>
        </w:tc>
        <w:tc>
          <w:tcPr>
            <w:tcW w:w="0" w:type="auto"/>
            <w:hideMark/>
          </w:tcPr>
          <w:p w14:paraId="00F1182D"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w:t>
            </w:r>
          </w:p>
        </w:tc>
        <w:tc>
          <w:tcPr>
            <w:tcW w:w="0" w:type="auto"/>
            <w:hideMark/>
          </w:tcPr>
          <w:p w14:paraId="3C393750"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Emfret</w:t>
            </w:r>
            <w:proofErr w:type="spellEnd"/>
            <w:r w:rsidRPr="00546A90">
              <w:rPr>
                <w:rFonts w:eastAsia="Times New Roman"/>
                <w:kern w:val="0"/>
                <w:sz w:val="20"/>
                <w:szCs w:val="20"/>
                <w14:ligatures w14:val="none"/>
              </w:rPr>
              <w:t xml:space="preserve"> Analytics</w:t>
            </w:r>
          </w:p>
        </w:tc>
        <w:tc>
          <w:tcPr>
            <w:tcW w:w="0" w:type="auto"/>
            <w:hideMark/>
          </w:tcPr>
          <w:p w14:paraId="7A0BBE0B"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M023-2</w:t>
            </w:r>
          </w:p>
        </w:tc>
      </w:tr>
      <w:tr w:rsidR="00546A90" w:rsidRPr="00546A90" w14:paraId="515B855D" w14:textId="77777777" w:rsidTr="00546A90">
        <w:tc>
          <w:tcPr>
            <w:tcW w:w="0" w:type="auto"/>
            <w:hideMark/>
          </w:tcPr>
          <w:p w14:paraId="5C41156E"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Ly6G</w:t>
            </w:r>
          </w:p>
        </w:tc>
        <w:tc>
          <w:tcPr>
            <w:tcW w:w="0" w:type="auto"/>
            <w:hideMark/>
          </w:tcPr>
          <w:p w14:paraId="47E010A6"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1A8</w:t>
            </w:r>
          </w:p>
        </w:tc>
        <w:tc>
          <w:tcPr>
            <w:tcW w:w="0" w:type="auto"/>
            <w:hideMark/>
          </w:tcPr>
          <w:p w14:paraId="79EB9B86"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PE-Cy7</w:t>
            </w:r>
          </w:p>
        </w:tc>
        <w:tc>
          <w:tcPr>
            <w:tcW w:w="0" w:type="auto"/>
            <w:hideMark/>
          </w:tcPr>
          <w:p w14:paraId="5EBA611C"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BioLegend</w:t>
            </w:r>
            <w:proofErr w:type="spellEnd"/>
          </w:p>
        </w:tc>
        <w:tc>
          <w:tcPr>
            <w:tcW w:w="0" w:type="auto"/>
            <w:hideMark/>
          </w:tcPr>
          <w:p w14:paraId="2F2C4B8F"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127618</w:t>
            </w:r>
          </w:p>
        </w:tc>
      </w:tr>
      <w:tr w:rsidR="00546A90" w:rsidRPr="00546A90" w14:paraId="57AF0F09" w14:textId="77777777" w:rsidTr="00546A90">
        <w:tc>
          <w:tcPr>
            <w:tcW w:w="0" w:type="auto"/>
            <w:hideMark/>
          </w:tcPr>
          <w:p w14:paraId="3F182783"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CD115 (CSF1R)</w:t>
            </w:r>
          </w:p>
        </w:tc>
        <w:tc>
          <w:tcPr>
            <w:tcW w:w="0" w:type="auto"/>
            <w:hideMark/>
          </w:tcPr>
          <w:p w14:paraId="1CB0A78E"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AFS98</w:t>
            </w:r>
          </w:p>
        </w:tc>
        <w:tc>
          <w:tcPr>
            <w:tcW w:w="0" w:type="auto"/>
            <w:hideMark/>
          </w:tcPr>
          <w:p w14:paraId="4018B9B1"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w:t>
            </w:r>
          </w:p>
        </w:tc>
        <w:tc>
          <w:tcPr>
            <w:tcW w:w="0" w:type="auto"/>
            <w:hideMark/>
          </w:tcPr>
          <w:p w14:paraId="0F98A39B"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BioLegend</w:t>
            </w:r>
            <w:proofErr w:type="spellEnd"/>
          </w:p>
        </w:tc>
        <w:tc>
          <w:tcPr>
            <w:tcW w:w="0" w:type="auto"/>
            <w:hideMark/>
          </w:tcPr>
          <w:p w14:paraId="6DC91ECA"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135506</w:t>
            </w:r>
          </w:p>
        </w:tc>
      </w:tr>
    </w:tbl>
    <w:p w14:paraId="7B14A932" w14:textId="6B535D3D" w:rsidR="00546A90" w:rsidRDefault="006236F2" w:rsidP="00546A90">
      <w:pPr>
        <w:pStyle w:val="Heading1"/>
      </w:pPr>
      <w:r>
        <w:t xml:space="preserve">Supplementary Table 4 | </w:t>
      </w:r>
      <w:r w:rsidR="00546A90">
        <w:t>Isotype Controls</w:t>
      </w:r>
    </w:p>
    <w:tbl>
      <w:tblPr>
        <w:tblStyle w:val="TableGrid"/>
        <w:tblW w:w="0" w:type="auto"/>
        <w:tblLook w:val="04A0" w:firstRow="1" w:lastRow="0" w:firstColumn="1" w:lastColumn="0" w:noHBand="0" w:noVBand="1"/>
      </w:tblPr>
      <w:tblGrid>
        <w:gridCol w:w="1628"/>
        <w:gridCol w:w="1394"/>
        <w:gridCol w:w="1661"/>
        <w:gridCol w:w="1240"/>
      </w:tblGrid>
      <w:tr w:rsidR="00546A90" w:rsidRPr="00546A90" w14:paraId="39CB9EDE" w14:textId="77777777" w:rsidTr="00546A90">
        <w:tc>
          <w:tcPr>
            <w:tcW w:w="0" w:type="auto"/>
            <w:hideMark/>
          </w:tcPr>
          <w:p w14:paraId="7A24601D"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Isotype</w:t>
            </w:r>
          </w:p>
        </w:tc>
        <w:tc>
          <w:tcPr>
            <w:tcW w:w="0" w:type="auto"/>
            <w:hideMark/>
          </w:tcPr>
          <w:p w14:paraId="608832AB"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Fluorophore</w:t>
            </w:r>
          </w:p>
        </w:tc>
        <w:tc>
          <w:tcPr>
            <w:tcW w:w="0" w:type="auto"/>
            <w:hideMark/>
          </w:tcPr>
          <w:p w14:paraId="640CA6CE"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Supplier</w:t>
            </w:r>
          </w:p>
        </w:tc>
        <w:tc>
          <w:tcPr>
            <w:tcW w:w="0" w:type="auto"/>
            <w:hideMark/>
          </w:tcPr>
          <w:p w14:paraId="54682120"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Catalog #</w:t>
            </w:r>
          </w:p>
        </w:tc>
      </w:tr>
      <w:tr w:rsidR="00546A90" w:rsidRPr="00546A90" w14:paraId="7AE635BC" w14:textId="77777777" w:rsidTr="00546A90">
        <w:tc>
          <w:tcPr>
            <w:tcW w:w="0" w:type="auto"/>
            <w:hideMark/>
          </w:tcPr>
          <w:p w14:paraId="539A871C"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Rat IgG2b, κ</w:t>
            </w:r>
          </w:p>
        </w:tc>
        <w:tc>
          <w:tcPr>
            <w:tcW w:w="0" w:type="auto"/>
            <w:hideMark/>
          </w:tcPr>
          <w:p w14:paraId="6A3E1C8E"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APC</w:t>
            </w:r>
          </w:p>
        </w:tc>
        <w:tc>
          <w:tcPr>
            <w:tcW w:w="0" w:type="auto"/>
            <w:hideMark/>
          </w:tcPr>
          <w:p w14:paraId="6BDA5630"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eBioscience</w:t>
            </w:r>
            <w:proofErr w:type="spellEnd"/>
          </w:p>
        </w:tc>
        <w:tc>
          <w:tcPr>
            <w:tcW w:w="0" w:type="auto"/>
            <w:hideMark/>
          </w:tcPr>
          <w:p w14:paraId="32297124"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17-4031-81</w:t>
            </w:r>
          </w:p>
        </w:tc>
      </w:tr>
      <w:tr w:rsidR="00546A90" w:rsidRPr="00546A90" w14:paraId="4113DF26" w14:textId="77777777" w:rsidTr="00546A90">
        <w:tc>
          <w:tcPr>
            <w:tcW w:w="0" w:type="auto"/>
            <w:hideMark/>
          </w:tcPr>
          <w:p w14:paraId="6CA86E52"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Mouse IgG2a, κ</w:t>
            </w:r>
          </w:p>
        </w:tc>
        <w:tc>
          <w:tcPr>
            <w:tcW w:w="0" w:type="auto"/>
            <w:hideMark/>
          </w:tcPr>
          <w:p w14:paraId="149D37C1"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PE-Cy7</w:t>
            </w:r>
          </w:p>
        </w:tc>
        <w:tc>
          <w:tcPr>
            <w:tcW w:w="0" w:type="auto"/>
            <w:hideMark/>
          </w:tcPr>
          <w:p w14:paraId="6E70933E"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BioLegend</w:t>
            </w:r>
            <w:proofErr w:type="spellEnd"/>
          </w:p>
        </w:tc>
        <w:tc>
          <w:tcPr>
            <w:tcW w:w="0" w:type="auto"/>
            <w:hideMark/>
          </w:tcPr>
          <w:p w14:paraId="6FCDB133"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400253</w:t>
            </w:r>
          </w:p>
        </w:tc>
      </w:tr>
      <w:tr w:rsidR="00546A90" w:rsidRPr="00546A90" w14:paraId="6E0219B2" w14:textId="77777777" w:rsidTr="00546A90">
        <w:tc>
          <w:tcPr>
            <w:tcW w:w="0" w:type="auto"/>
            <w:hideMark/>
          </w:tcPr>
          <w:p w14:paraId="326484C1"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Rat IgG</w:t>
            </w:r>
          </w:p>
        </w:tc>
        <w:tc>
          <w:tcPr>
            <w:tcW w:w="0" w:type="auto"/>
            <w:hideMark/>
          </w:tcPr>
          <w:p w14:paraId="5545B2AF"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PE</w:t>
            </w:r>
          </w:p>
        </w:tc>
        <w:tc>
          <w:tcPr>
            <w:tcW w:w="0" w:type="auto"/>
            <w:hideMark/>
          </w:tcPr>
          <w:p w14:paraId="6DE4C3DB"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Emfret</w:t>
            </w:r>
            <w:proofErr w:type="spellEnd"/>
            <w:r w:rsidRPr="00546A90">
              <w:rPr>
                <w:rFonts w:eastAsia="Times New Roman"/>
                <w:kern w:val="0"/>
                <w:sz w:val="20"/>
                <w:szCs w:val="20"/>
                <w14:ligatures w14:val="none"/>
              </w:rPr>
              <w:t xml:space="preserve"> Analytics</w:t>
            </w:r>
          </w:p>
        </w:tc>
        <w:tc>
          <w:tcPr>
            <w:tcW w:w="0" w:type="auto"/>
            <w:hideMark/>
          </w:tcPr>
          <w:p w14:paraId="7C3A920E"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P190-2</w:t>
            </w:r>
          </w:p>
        </w:tc>
      </w:tr>
    </w:tbl>
    <w:p w14:paraId="0F0BC625" w14:textId="3B2D22CF" w:rsidR="00546A90" w:rsidRDefault="006236F2" w:rsidP="00546A90">
      <w:pPr>
        <w:pStyle w:val="Heading1"/>
      </w:pPr>
      <w:r>
        <w:t xml:space="preserve">Supplementary Table 5 | </w:t>
      </w:r>
      <w:r w:rsidR="00546A90">
        <w:t>Recombinant Proteins</w:t>
      </w:r>
    </w:p>
    <w:tbl>
      <w:tblPr>
        <w:tblStyle w:val="TableGrid"/>
        <w:tblW w:w="0" w:type="auto"/>
        <w:tblLook w:val="04A0" w:firstRow="1" w:lastRow="0" w:firstColumn="1" w:lastColumn="0" w:noHBand="0" w:noVBand="1"/>
      </w:tblPr>
      <w:tblGrid>
        <w:gridCol w:w="1417"/>
        <w:gridCol w:w="2106"/>
        <w:gridCol w:w="1461"/>
      </w:tblGrid>
      <w:tr w:rsidR="00CE4050" w:rsidRPr="00546A90" w14:paraId="717EB23D" w14:textId="77777777" w:rsidTr="00546A90">
        <w:tc>
          <w:tcPr>
            <w:tcW w:w="0" w:type="auto"/>
            <w:hideMark/>
          </w:tcPr>
          <w:p w14:paraId="792A56A1" w14:textId="77777777" w:rsidR="00CE4050" w:rsidRPr="00546A90" w:rsidRDefault="00CE405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Protein</w:t>
            </w:r>
          </w:p>
        </w:tc>
        <w:tc>
          <w:tcPr>
            <w:tcW w:w="0" w:type="auto"/>
            <w:hideMark/>
          </w:tcPr>
          <w:p w14:paraId="684A5758" w14:textId="77777777" w:rsidR="00CE4050" w:rsidRPr="00546A90" w:rsidRDefault="00CE405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Species</w:t>
            </w:r>
          </w:p>
        </w:tc>
        <w:tc>
          <w:tcPr>
            <w:tcW w:w="0" w:type="auto"/>
            <w:hideMark/>
          </w:tcPr>
          <w:p w14:paraId="0705CABA" w14:textId="77777777" w:rsidR="00CE4050" w:rsidRPr="00546A90" w:rsidRDefault="00CE405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Supplier</w:t>
            </w:r>
          </w:p>
        </w:tc>
      </w:tr>
      <w:tr w:rsidR="00CE4050" w:rsidRPr="00546A90" w14:paraId="23F2B5AE" w14:textId="77777777" w:rsidTr="00546A90">
        <w:tc>
          <w:tcPr>
            <w:tcW w:w="0" w:type="auto"/>
            <w:hideMark/>
          </w:tcPr>
          <w:p w14:paraId="2488D568" w14:textId="77777777" w:rsidR="00CE4050" w:rsidRPr="00546A90" w:rsidRDefault="00CE4050" w:rsidP="00546A90">
            <w:pPr>
              <w:rPr>
                <w:rFonts w:eastAsia="Times New Roman"/>
                <w:kern w:val="0"/>
                <w:sz w:val="20"/>
                <w:szCs w:val="20"/>
                <w14:ligatures w14:val="none"/>
              </w:rPr>
            </w:pPr>
            <w:r w:rsidRPr="00546A90">
              <w:rPr>
                <w:rFonts w:eastAsia="Times New Roman"/>
                <w:kern w:val="0"/>
                <w:sz w:val="20"/>
                <w:szCs w:val="20"/>
                <w14:ligatures w14:val="none"/>
              </w:rPr>
              <w:t>C5a</w:t>
            </w:r>
          </w:p>
        </w:tc>
        <w:tc>
          <w:tcPr>
            <w:tcW w:w="0" w:type="auto"/>
            <w:hideMark/>
          </w:tcPr>
          <w:p w14:paraId="306FCB60" w14:textId="77777777" w:rsidR="00CE4050" w:rsidRPr="00546A90" w:rsidRDefault="00CE4050" w:rsidP="00546A90">
            <w:pPr>
              <w:rPr>
                <w:rFonts w:eastAsia="Times New Roman"/>
                <w:kern w:val="0"/>
                <w:sz w:val="20"/>
                <w:szCs w:val="20"/>
                <w14:ligatures w14:val="none"/>
              </w:rPr>
            </w:pPr>
            <w:r w:rsidRPr="00546A90">
              <w:rPr>
                <w:rFonts w:eastAsia="Times New Roman"/>
                <w:kern w:val="0"/>
                <w:sz w:val="20"/>
                <w:szCs w:val="20"/>
                <w14:ligatures w14:val="none"/>
              </w:rPr>
              <w:t>Mouse</w:t>
            </w:r>
          </w:p>
        </w:tc>
        <w:tc>
          <w:tcPr>
            <w:tcW w:w="0" w:type="auto"/>
            <w:hideMark/>
          </w:tcPr>
          <w:p w14:paraId="4BD9FE7C" w14:textId="77777777" w:rsidR="00CE4050" w:rsidRPr="00546A90" w:rsidRDefault="00CE4050" w:rsidP="00546A90">
            <w:pPr>
              <w:rPr>
                <w:rFonts w:eastAsia="Times New Roman"/>
                <w:kern w:val="0"/>
                <w:sz w:val="20"/>
                <w:szCs w:val="20"/>
                <w14:ligatures w14:val="none"/>
              </w:rPr>
            </w:pPr>
            <w:r w:rsidRPr="00546A90">
              <w:rPr>
                <w:rFonts w:eastAsia="Times New Roman"/>
                <w:kern w:val="0"/>
                <w:sz w:val="20"/>
                <w:szCs w:val="20"/>
                <w14:ligatures w14:val="none"/>
              </w:rPr>
              <w:t>R&amp;D Systems</w:t>
            </w:r>
          </w:p>
        </w:tc>
      </w:tr>
      <w:tr w:rsidR="00CE4050" w:rsidRPr="00546A90" w14:paraId="2CE4729F" w14:textId="77777777" w:rsidTr="00546A90">
        <w:tc>
          <w:tcPr>
            <w:tcW w:w="0" w:type="auto"/>
            <w:hideMark/>
          </w:tcPr>
          <w:p w14:paraId="313090C1" w14:textId="77777777" w:rsidR="00CE4050" w:rsidRPr="00546A90" w:rsidRDefault="00CE4050" w:rsidP="00546A90">
            <w:pPr>
              <w:rPr>
                <w:rFonts w:eastAsia="Times New Roman"/>
                <w:kern w:val="0"/>
                <w:sz w:val="20"/>
                <w:szCs w:val="20"/>
                <w14:ligatures w14:val="none"/>
              </w:rPr>
            </w:pPr>
            <w:r w:rsidRPr="00546A90">
              <w:rPr>
                <w:rFonts w:eastAsia="Times New Roman"/>
                <w:kern w:val="0"/>
                <w:sz w:val="20"/>
                <w:szCs w:val="20"/>
                <w14:ligatures w14:val="none"/>
              </w:rPr>
              <w:t>CXCL4 (PF4)</w:t>
            </w:r>
          </w:p>
        </w:tc>
        <w:tc>
          <w:tcPr>
            <w:tcW w:w="0" w:type="auto"/>
            <w:hideMark/>
          </w:tcPr>
          <w:p w14:paraId="2F2E0CF6" w14:textId="77777777" w:rsidR="00CE4050" w:rsidRPr="00546A90" w:rsidRDefault="00CE4050" w:rsidP="00546A90">
            <w:pPr>
              <w:rPr>
                <w:rFonts w:eastAsia="Times New Roman"/>
                <w:kern w:val="0"/>
                <w:sz w:val="20"/>
                <w:szCs w:val="20"/>
                <w14:ligatures w14:val="none"/>
              </w:rPr>
            </w:pPr>
            <w:r w:rsidRPr="00546A90">
              <w:rPr>
                <w:rFonts w:eastAsia="Times New Roman"/>
                <w:kern w:val="0"/>
                <w:sz w:val="20"/>
                <w:szCs w:val="20"/>
                <w14:ligatures w14:val="none"/>
              </w:rPr>
              <w:t>Mouse (recombinant)</w:t>
            </w:r>
          </w:p>
        </w:tc>
        <w:tc>
          <w:tcPr>
            <w:tcW w:w="0" w:type="auto"/>
            <w:hideMark/>
          </w:tcPr>
          <w:p w14:paraId="14B412D6" w14:textId="77777777" w:rsidR="00CE4050" w:rsidRPr="00546A90" w:rsidRDefault="00CE405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BioLegend</w:t>
            </w:r>
            <w:proofErr w:type="spellEnd"/>
          </w:p>
        </w:tc>
      </w:tr>
    </w:tbl>
    <w:p w14:paraId="06F03285" w14:textId="0FF8EC17" w:rsidR="00546A90" w:rsidRDefault="006236F2" w:rsidP="00546A90">
      <w:pPr>
        <w:pStyle w:val="Heading1"/>
      </w:pPr>
      <w:r>
        <w:t xml:space="preserve">Supplementary Table 6 | </w:t>
      </w:r>
      <w:r w:rsidR="00546A90">
        <w:t>Other Reagents</w:t>
      </w:r>
    </w:p>
    <w:tbl>
      <w:tblPr>
        <w:tblStyle w:val="TableGrid"/>
        <w:tblW w:w="0" w:type="auto"/>
        <w:tblLook w:val="04A0" w:firstRow="1" w:lastRow="0" w:firstColumn="1" w:lastColumn="0" w:noHBand="0" w:noVBand="1"/>
      </w:tblPr>
      <w:tblGrid>
        <w:gridCol w:w="3178"/>
        <w:gridCol w:w="3063"/>
        <w:gridCol w:w="1733"/>
        <w:gridCol w:w="1082"/>
      </w:tblGrid>
      <w:tr w:rsidR="00546A90" w:rsidRPr="00546A90" w14:paraId="7710D3A1" w14:textId="77777777" w:rsidTr="00546A90">
        <w:tc>
          <w:tcPr>
            <w:tcW w:w="0" w:type="auto"/>
            <w:hideMark/>
          </w:tcPr>
          <w:p w14:paraId="61139428"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Reagent</w:t>
            </w:r>
          </w:p>
        </w:tc>
        <w:tc>
          <w:tcPr>
            <w:tcW w:w="0" w:type="auto"/>
            <w:hideMark/>
          </w:tcPr>
          <w:p w14:paraId="472799C0"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Purpose</w:t>
            </w:r>
          </w:p>
        </w:tc>
        <w:tc>
          <w:tcPr>
            <w:tcW w:w="0" w:type="auto"/>
            <w:hideMark/>
          </w:tcPr>
          <w:p w14:paraId="55422A2C"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Supplier</w:t>
            </w:r>
          </w:p>
        </w:tc>
        <w:tc>
          <w:tcPr>
            <w:tcW w:w="0" w:type="auto"/>
            <w:hideMark/>
          </w:tcPr>
          <w:p w14:paraId="6658C880" w14:textId="77777777" w:rsidR="00546A90" w:rsidRPr="00546A90" w:rsidRDefault="00546A90" w:rsidP="00546A90">
            <w:pPr>
              <w:jc w:val="center"/>
              <w:rPr>
                <w:rFonts w:eastAsia="Times New Roman"/>
                <w:b/>
                <w:bCs/>
                <w:kern w:val="0"/>
                <w:sz w:val="20"/>
                <w:szCs w:val="20"/>
                <w14:ligatures w14:val="none"/>
              </w:rPr>
            </w:pPr>
            <w:r w:rsidRPr="00546A90">
              <w:rPr>
                <w:rFonts w:eastAsia="Times New Roman"/>
                <w:b/>
                <w:bCs/>
                <w:kern w:val="0"/>
                <w:sz w:val="20"/>
                <w:szCs w:val="20"/>
                <w14:ligatures w14:val="none"/>
              </w:rPr>
              <w:t>Catalog #</w:t>
            </w:r>
          </w:p>
        </w:tc>
      </w:tr>
      <w:tr w:rsidR="00546A90" w:rsidRPr="00546A90" w14:paraId="02E282B0" w14:textId="77777777" w:rsidTr="00546A90">
        <w:tc>
          <w:tcPr>
            <w:tcW w:w="0" w:type="auto"/>
            <w:hideMark/>
          </w:tcPr>
          <w:p w14:paraId="5B93AE5D"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PMX205</w:t>
            </w:r>
          </w:p>
        </w:tc>
        <w:tc>
          <w:tcPr>
            <w:tcW w:w="0" w:type="auto"/>
            <w:hideMark/>
          </w:tcPr>
          <w:p w14:paraId="4B950EC2"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C5aR1 antagonist</w:t>
            </w:r>
          </w:p>
        </w:tc>
        <w:tc>
          <w:tcPr>
            <w:tcW w:w="0" w:type="auto"/>
            <w:hideMark/>
          </w:tcPr>
          <w:p w14:paraId="306414AD"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Tocris</w:t>
            </w:r>
            <w:proofErr w:type="spellEnd"/>
          </w:p>
        </w:tc>
        <w:tc>
          <w:tcPr>
            <w:tcW w:w="0" w:type="auto"/>
            <w:hideMark/>
          </w:tcPr>
          <w:p w14:paraId="0A79EF6B"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5196</w:t>
            </w:r>
          </w:p>
        </w:tc>
      </w:tr>
      <w:tr w:rsidR="00546A90" w:rsidRPr="00546A90" w14:paraId="64CCD7A4" w14:textId="77777777" w:rsidTr="00546A90">
        <w:tc>
          <w:tcPr>
            <w:tcW w:w="0" w:type="auto"/>
            <w:hideMark/>
          </w:tcPr>
          <w:p w14:paraId="46BC50DC"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PGI</w:t>
            </w:r>
            <w:r w:rsidRPr="00546A90">
              <w:rPr>
                <w:rFonts w:ascii="Cambria Math" w:eastAsia="Times New Roman" w:hAnsi="Cambria Math" w:cs="Cambria Math"/>
                <w:kern w:val="0"/>
                <w:sz w:val="20"/>
                <w:szCs w:val="20"/>
                <w14:ligatures w14:val="none"/>
              </w:rPr>
              <w:t>₂</w:t>
            </w:r>
            <w:r w:rsidRPr="00546A90">
              <w:rPr>
                <w:rFonts w:eastAsia="Times New Roman"/>
                <w:kern w:val="0"/>
                <w:sz w:val="20"/>
                <w:szCs w:val="20"/>
                <w14:ligatures w14:val="none"/>
              </w:rPr>
              <w:t xml:space="preserve"> (prostacyclin)</w:t>
            </w:r>
          </w:p>
        </w:tc>
        <w:tc>
          <w:tcPr>
            <w:tcW w:w="0" w:type="auto"/>
            <w:hideMark/>
          </w:tcPr>
          <w:p w14:paraId="4176E73C"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Platelet inhibition</w:t>
            </w:r>
          </w:p>
        </w:tc>
        <w:tc>
          <w:tcPr>
            <w:tcW w:w="0" w:type="auto"/>
            <w:hideMark/>
          </w:tcPr>
          <w:p w14:paraId="0991B514"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Cayman Chemical</w:t>
            </w:r>
          </w:p>
        </w:tc>
        <w:tc>
          <w:tcPr>
            <w:tcW w:w="0" w:type="auto"/>
            <w:hideMark/>
          </w:tcPr>
          <w:p w14:paraId="35DC704C"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18220</w:t>
            </w:r>
          </w:p>
        </w:tc>
      </w:tr>
      <w:tr w:rsidR="00546A90" w:rsidRPr="00546A90" w14:paraId="78602EB1" w14:textId="77777777" w:rsidTr="00546A90">
        <w:tc>
          <w:tcPr>
            <w:tcW w:w="0" w:type="auto"/>
            <w:hideMark/>
          </w:tcPr>
          <w:p w14:paraId="2179AC16" w14:textId="77777777" w:rsidR="00546A90" w:rsidRPr="00546A90" w:rsidRDefault="00546A90" w:rsidP="00546A90">
            <w:pPr>
              <w:rPr>
                <w:rFonts w:eastAsia="Times New Roman"/>
                <w:kern w:val="0"/>
                <w:sz w:val="20"/>
                <w:szCs w:val="20"/>
                <w14:ligatures w14:val="none"/>
              </w:rPr>
            </w:pPr>
            <w:proofErr w:type="spellStart"/>
            <w:r w:rsidRPr="00546A90">
              <w:rPr>
                <w:rFonts w:eastAsia="Times New Roman"/>
                <w:kern w:val="0"/>
                <w:sz w:val="20"/>
                <w:szCs w:val="20"/>
                <w14:ligatures w14:val="none"/>
              </w:rPr>
              <w:t>Phosflow</w:t>
            </w:r>
            <w:proofErr w:type="spellEnd"/>
            <w:r w:rsidRPr="00546A90">
              <w:rPr>
                <w:rFonts w:eastAsia="Times New Roman"/>
                <w:kern w:val="0"/>
                <w:sz w:val="20"/>
                <w:szCs w:val="20"/>
                <w14:ligatures w14:val="none"/>
              </w:rPr>
              <w:t xml:space="preserve"> Lyse/Fix Buffer</w:t>
            </w:r>
          </w:p>
        </w:tc>
        <w:tc>
          <w:tcPr>
            <w:tcW w:w="0" w:type="auto"/>
            <w:hideMark/>
          </w:tcPr>
          <w:p w14:paraId="53CB84FC"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Flow cytometry</w:t>
            </w:r>
          </w:p>
        </w:tc>
        <w:tc>
          <w:tcPr>
            <w:tcW w:w="0" w:type="auto"/>
            <w:hideMark/>
          </w:tcPr>
          <w:p w14:paraId="41B98BD7"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BD Biosciences</w:t>
            </w:r>
          </w:p>
        </w:tc>
        <w:tc>
          <w:tcPr>
            <w:tcW w:w="0" w:type="auto"/>
            <w:hideMark/>
          </w:tcPr>
          <w:p w14:paraId="06369E36" w14:textId="77777777" w:rsidR="00546A90" w:rsidRPr="00546A90" w:rsidRDefault="00546A90" w:rsidP="00546A90">
            <w:pPr>
              <w:rPr>
                <w:rFonts w:eastAsia="Times New Roman"/>
                <w:kern w:val="0"/>
                <w:sz w:val="20"/>
                <w:szCs w:val="20"/>
                <w14:ligatures w14:val="none"/>
              </w:rPr>
            </w:pPr>
            <w:r w:rsidRPr="00546A90">
              <w:rPr>
                <w:rFonts w:eastAsia="Times New Roman"/>
                <w:kern w:val="0"/>
                <w:sz w:val="20"/>
                <w:szCs w:val="20"/>
                <w14:ligatures w14:val="none"/>
              </w:rPr>
              <w:t>558049</w:t>
            </w:r>
          </w:p>
        </w:tc>
      </w:tr>
      <w:tr w:rsidR="00B03F0F" w:rsidRPr="00546A90" w14:paraId="2AC781D9" w14:textId="77777777" w:rsidTr="00410185">
        <w:tc>
          <w:tcPr>
            <w:tcW w:w="0" w:type="auto"/>
            <w:vAlign w:val="center"/>
          </w:tcPr>
          <w:p w14:paraId="18B6CA82" w14:textId="53D8E8EC"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OCT (Tissue-Tek® O.C.T. Compound)</w:t>
            </w:r>
          </w:p>
        </w:tc>
        <w:tc>
          <w:tcPr>
            <w:tcW w:w="0" w:type="auto"/>
            <w:vAlign w:val="center"/>
          </w:tcPr>
          <w:p w14:paraId="3783AF46" w14:textId="436C9680"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 xml:space="preserve">Tissue embedding for </w:t>
            </w:r>
            <w:proofErr w:type="spellStart"/>
            <w:r w:rsidRPr="00B03F0F">
              <w:rPr>
                <w:rFonts w:eastAsia="Times New Roman"/>
                <w:kern w:val="0"/>
                <w:sz w:val="20"/>
                <w:szCs w:val="20"/>
                <w14:ligatures w14:val="none"/>
              </w:rPr>
              <w:t>cryosectioning</w:t>
            </w:r>
            <w:proofErr w:type="spellEnd"/>
          </w:p>
        </w:tc>
        <w:tc>
          <w:tcPr>
            <w:tcW w:w="0" w:type="auto"/>
            <w:vAlign w:val="center"/>
          </w:tcPr>
          <w:p w14:paraId="51E7E64C" w14:textId="37D69480"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 xml:space="preserve">Sakura </w:t>
            </w:r>
            <w:proofErr w:type="spellStart"/>
            <w:r w:rsidRPr="00B03F0F">
              <w:rPr>
                <w:rFonts w:eastAsia="Times New Roman"/>
                <w:kern w:val="0"/>
                <w:sz w:val="20"/>
                <w:szCs w:val="20"/>
                <w14:ligatures w14:val="none"/>
              </w:rPr>
              <w:t>Finetek</w:t>
            </w:r>
            <w:proofErr w:type="spellEnd"/>
          </w:p>
        </w:tc>
        <w:tc>
          <w:tcPr>
            <w:tcW w:w="0" w:type="auto"/>
            <w:vAlign w:val="center"/>
          </w:tcPr>
          <w:p w14:paraId="487AD198" w14:textId="3E0BD0D6"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4583</w:t>
            </w:r>
          </w:p>
        </w:tc>
      </w:tr>
      <w:tr w:rsidR="00B03F0F" w:rsidRPr="00546A90" w14:paraId="2768179E" w14:textId="77777777" w:rsidTr="00D67917">
        <w:tc>
          <w:tcPr>
            <w:tcW w:w="0" w:type="auto"/>
            <w:vAlign w:val="center"/>
          </w:tcPr>
          <w:p w14:paraId="2733F8A8" w14:textId="04D039D0"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Poly-L-lysine</w:t>
            </w:r>
          </w:p>
        </w:tc>
        <w:tc>
          <w:tcPr>
            <w:tcW w:w="0" w:type="auto"/>
            <w:vAlign w:val="center"/>
          </w:tcPr>
          <w:p w14:paraId="0FD70ACB" w14:textId="06BE9CF2"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 xml:space="preserve">Coverslip coating </w:t>
            </w:r>
          </w:p>
        </w:tc>
        <w:tc>
          <w:tcPr>
            <w:tcW w:w="0" w:type="auto"/>
            <w:vAlign w:val="center"/>
          </w:tcPr>
          <w:p w14:paraId="47C5C558" w14:textId="03AD4C33"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Sigma-Aldrich</w:t>
            </w:r>
          </w:p>
        </w:tc>
        <w:tc>
          <w:tcPr>
            <w:tcW w:w="0" w:type="auto"/>
            <w:vAlign w:val="center"/>
          </w:tcPr>
          <w:p w14:paraId="09309245" w14:textId="2A50F414" w:rsidR="00B03F0F" w:rsidRPr="00B03F0F" w:rsidRDefault="00B03F0F" w:rsidP="00B03F0F">
            <w:pPr>
              <w:rPr>
                <w:rFonts w:eastAsia="Times New Roman"/>
                <w:kern w:val="0"/>
                <w:sz w:val="20"/>
                <w:szCs w:val="20"/>
                <w14:ligatures w14:val="none"/>
              </w:rPr>
            </w:pPr>
            <w:r w:rsidRPr="00B03F0F">
              <w:rPr>
                <w:rFonts w:eastAsia="Times New Roman"/>
                <w:kern w:val="0"/>
                <w:sz w:val="20"/>
                <w:szCs w:val="20"/>
                <w14:ligatures w14:val="none"/>
              </w:rPr>
              <w:t>P1399</w:t>
            </w:r>
          </w:p>
        </w:tc>
      </w:tr>
    </w:tbl>
    <w:p w14:paraId="1AF20797" w14:textId="77777777" w:rsidR="00F948F2" w:rsidRPr="00854610" w:rsidRDefault="00F948F2" w:rsidP="00854610"/>
    <w:sectPr w:rsidR="00F948F2" w:rsidRPr="00854610" w:rsidSect="00F94DF9">
      <w:footerReference w:type="even" r:id="rId29"/>
      <w:footerReference w:type="default" r:id="rId30"/>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84E0A" w14:textId="77777777" w:rsidR="00F665D4" w:rsidRDefault="00F665D4" w:rsidP="00F94DF9">
      <w:pPr>
        <w:spacing w:line="240" w:lineRule="auto"/>
      </w:pPr>
      <w:r>
        <w:separator/>
      </w:r>
    </w:p>
  </w:endnote>
  <w:endnote w:type="continuationSeparator" w:id="0">
    <w:p w14:paraId="3944D56E" w14:textId="77777777" w:rsidR="00F665D4" w:rsidRDefault="00F665D4" w:rsidP="00F94D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999583"/>
      <w:docPartObj>
        <w:docPartGallery w:val="Page Numbers (Bottom of Page)"/>
        <w:docPartUnique/>
      </w:docPartObj>
    </w:sdtPr>
    <w:sdtContent>
      <w:p w14:paraId="5189041E" w14:textId="2CE5D6A2" w:rsidR="00F94DF9" w:rsidRDefault="00F94DF9" w:rsidP="008C25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8DFECB7" w14:textId="77777777" w:rsidR="00F94DF9" w:rsidRDefault="00F94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8008857"/>
      <w:docPartObj>
        <w:docPartGallery w:val="Page Numbers (Bottom of Page)"/>
        <w:docPartUnique/>
      </w:docPartObj>
    </w:sdtPr>
    <w:sdtContent>
      <w:p w14:paraId="170A8AD2" w14:textId="07E49F91" w:rsidR="00F94DF9" w:rsidRDefault="00F94DF9" w:rsidP="008C25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0F3FAC" w14:textId="77777777" w:rsidR="00F94DF9" w:rsidRDefault="00F94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47614" w14:textId="77777777" w:rsidR="00F665D4" w:rsidRDefault="00F665D4" w:rsidP="00F94DF9">
      <w:pPr>
        <w:spacing w:line="240" w:lineRule="auto"/>
      </w:pPr>
      <w:r>
        <w:separator/>
      </w:r>
    </w:p>
  </w:footnote>
  <w:footnote w:type="continuationSeparator" w:id="0">
    <w:p w14:paraId="3FEC29DE" w14:textId="77777777" w:rsidR="00F665D4" w:rsidRDefault="00F665D4" w:rsidP="00F94D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6BA1"/>
    <w:multiLevelType w:val="multilevel"/>
    <w:tmpl w:val="8D8E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0D4E"/>
    <w:multiLevelType w:val="hybridMultilevel"/>
    <w:tmpl w:val="BFF466BE"/>
    <w:lvl w:ilvl="0" w:tplc="5A84144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62847"/>
    <w:multiLevelType w:val="multilevel"/>
    <w:tmpl w:val="BE3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40E0E"/>
    <w:multiLevelType w:val="multilevel"/>
    <w:tmpl w:val="DF46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42763"/>
    <w:multiLevelType w:val="multilevel"/>
    <w:tmpl w:val="7066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FD42F3"/>
    <w:multiLevelType w:val="multilevel"/>
    <w:tmpl w:val="5D8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127A1"/>
    <w:multiLevelType w:val="multilevel"/>
    <w:tmpl w:val="229E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4338183">
    <w:abstractNumId w:val="1"/>
  </w:num>
  <w:num w:numId="2" w16cid:durableId="679429970">
    <w:abstractNumId w:val="0"/>
  </w:num>
  <w:num w:numId="3" w16cid:durableId="1717046951">
    <w:abstractNumId w:val="2"/>
  </w:num>
  <w:num w:numId="4" w16cid:durableId="303632159">
    <w:abstractNumId w:val="5"/>
  </w:num>
  <w:num w:numId="5" w16cid:durableId="1260026969">
    <w:abstractNumId w:val="6"/>
  </w:num>
  <w:num w:numId="6" w16cid:durableId="231162321">
    <w:abstractNumId w:val="3"/>
  </w:num>
  <w:num w:numId="7" w16cid:durableId="1480726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57B"/>
    <w:rsid w:val="00035B33"/>
    <w:rsid w:val="000411A2"/>
    <w:rsid w:val="000473D9"/>
    <w:rsid w:val="000903EB"/>
    <w:rsid w:val="000E24DF"/>
    <w:rsid w:val="001102BC"/>
    <w:rsid w:val="00122456"/>
    <w:rsid w:val="0013690E"/>
    <w:rsid w:val="00137F1D"/>
    <w:rsid w:val="00150F7A"/>
    <w:rsid w:val="001835E4"/>
    <w:rsid w:val="001966E6"/>
    <w:rsid w:val="001A5056"/>
    <w:rsid w:val="001D22C9"/>
    <w:rsid w:val="001E1528"/>
    <w:rsid w:val="001F5776"/>
    <w:rsid w:val="00231D35"/>
    <w:rsid w:val="0023640C"/>
    <w:rsid w:val="0026002D"/>
    <w:rsid w:val="00267345"/>
    <w:rsid w:val="002741B8"/>
    <w:rsid w:val="002D2B24"/>
    <w:rsid w:val="002D33F1"/>
    <w:rsid w:val="002E1EB4"/>
    <w:rsid w:val="002F151E"/>
    <w:rsid w:val="002F2F0C"/>
    <w:rsid w:val="002F6D95"/>
    <w:rsid w:val="00302D09"/>
    <w:rsid w:val="003120E3"/>
    <w:rsid w:val="00344405"/>
    <w:rsid w:val="0034530B"/>
    <w:rsid w:val="003535BD"/>
    <w:rsid w:val="00362122"/>
    <w:rsid w:val="00371D51"/>
    <w:rsid w:val="00375ECC"/>
    <w:rsid w:val="003926D5"/>
    <w:rsid w:val="003A6152"/>
    <w:rsid w:val="003D16EB"/>
    <w:rsid w:val="003D3883"/>
    <w:rsid w:val="003D3A3C"/>
    <w:rsid w:val="003E093C"/>
    <w:rsid w:val="004075F5"/>
    <w:rsid w:val="004410C2"/>
    <w:rsid w:val="00442534"/>
    <w:rsid w:val="00450CB1"/>
    <w:rsid w:val="0046606D"/>
    <w:rsid w:val="00470BE2"/>
    <w:rsid w:val="004B1F6E"/>
    <w:rsid w:val="004C0B71"/>
    <w:rsid w:val="004F7A26"/>
    <w:rsid w:val="0050218A"/>
    <w:rsid w:val="0051791F"/>
    <w:rsid w:val="00535326"/>
    <w:rsid w:val="005445BB"/>
    <w:rsid w:val="00546A90"/>
    <w:rsid w:val="0055794F"/>
    <w:rsid w:val="005659A2"/>
    <w:rsid w:val="00565AFC"/>
    <w:rsid w:val="0056757B"/>
    <w:rsid w:val="005A0DBF"/>
    <w:rsid w:val="005F504F"/>
    <w:rsid w:val="005F56C9"/>
    <w:rsid w:val="006236F2"/>
    <w:rsid w:val="0067336B"/>
    <w:rsid w:val="00692C75"/>
    <w:rsid w:val="006D2D3E"/>
    <w:rsid w:val="00705610"/>
    <w:rsid w:val="00735C4F"/>
    <w:rsid w:val="00741E0F"/>
    <w:rsid w:val="00761BCC"/>
    <w:rsid w:val="0076214D"/>
    <w:rsid w:val="00787B6B"/>
    <w:rsid w:val="007B76FB"/>
    <w:rsid w:val="007C2D94"/>
    <w:rsid w:val="007C2E89"/>
    <w:rsid w:val="007C7192"/>
    <w:rsid w:val="007F2BA2"/>
    <w:rsid w:val="007F559F"/>
    <w:rsid w:val="007F6992"/>
    <w:rsid w:val="00854610"/>
    <w:rsid w:val="00860AD4"/>
    <w:rsid w:val="00885E31"/>
    <w:rsid w:val="00893D01"/>
    <w:rsid w:val="0089620D"/>
    <w:rsid w:val="00897122"/>
    <w:rsid w:val="008B2645"/>
    <w:rsid w:val="008C3DC2"/>
    <w:rsid w:val="008D65F4"/>
    <w:rsid w:val="008E433D"/>
    <w:rsid w:val="00917A48"/>
    <w:rsid w:val="00933A3B"/>
    <w:rsid w:val="00942B6E"/>
    <w:rsid w:val="00975D1D"/>
    <w:rsid w:val="00976F59"/>
    <w:rsid w:val="009A19C6"/>
    <w:rsid w:val="009B1FF2"/>
    <w:rsid w:val="009D5A9D"/>
    <w:rsid w:val="009E6204"/>
    <w:rsid w:val="009F3010"/>
    <w:rsid w:val="00A1526A"/>
    <w:rsid w:val="00A3139D"/>
    <w:rsid w:val="00A403CC"/>
    <w:rsid w:val="00A51A89"/>
    <w:rsid w:val="00A76487"/>
    <w:rsid w:val="00B03F0F"/>
    <w:rsid w:val="00B232E3"/>
    <w:rsid w:val="00B33969"/>
    <w:rsid w:val="00B4342A"/>
    <w:rsid w:val="00B51FEB"/>
    <w:rsid w:val="00B7582E"/>
    <w:rsid w:val="00B86523"/>
    <w:rsid w:val="00B87C44"/>
    <w:rsid w:val="00B90DA9"/>
    <w:rsid w:val="00B977E5"/>
    <w:rsid w:val="00BA552D"/>
    <w:rsid w:val="00BB08F8"/>
    <w:rsid w:val="00BC76CC"/>
    <w:rsid w:val="00C12567"/>
    <w:rsid w:val="00C3541C"/>
    <w:rsid w:val="00C73D43"/>
    <w:rsid w:val="00C74B5A"/>
    <w:rsid w:val="00C833F6"/>
    <w:rsid w:val="00C96CDD"/>
    <w:rsid w:val="00CC587F"/>
    <w:rsid w:val="00CD4BDF"/>
    <w:rsid w:val="00CE16CA"/>
    <w:rsid w:val="00CE4050"/>
    <w:rsid w:val="00CE6D4D"/>
    <w:rsid w:val="00CF3625"/>
    <w:rsid w:val="00CF4301"/>
    <w:rsid w:val="00D41ACE"/>
    <w:rsid w:val="00D44794"/>
    <w:rsid w:val="00D60E6E"/>
    <w:rsid w:val="00D64553"/>
    <w:rsid w:val="00D64DA6"/>
    <w:rsid w:val="00D73DA7"/>
    <w:rsid w:val="00D76279"/>
    <w:rsid w:val="00D868BE"/>
    <w:rsid w:val="00DA532F"/>
    <w:rsid w:val="00DB3759"/>
    <w:rsid w:val="00DD24BC"/>
    <w:rsid w:val="00DE1099"/>
    <w:rsid w:val="00DE1432"/>
    <w:rsid w:val="00E06F9A"/>
    <w:rsid w:val="00E82125"/>
    <w:rsid w:val="00E82F49"/>
    <w:rsid w:val="00E92BDD"/>
    <w:rsid w:val="00ED2F49"/>
    <w:rsid w:val="00EE0424"/>
    <w:rsid w:val="00EF3A60"/>
    <w:rsid w:val="00EF4E57"/>
    <w:rsid w:val="00F03ACF"/>
    <w:rsid w:val="00F20E8B"/>
    <w:rsid w:val="00F26DC0"/>
    <w:rsid w:val="00F360A4"/>
    <w:rsid w:val="00F37B0E"/>
    <w:rsid w:val="00F6269B"/>
    <w:rsid w:val="00F665D4"/>
    <w:rsid w:val="00F707B9"/>
    <w:rsid w:val="00F93F4B"/>
    <w:rsid w:val="00F948F2"/>
    <w:rsid w:val="00F94DF9"/>
    <w:rsid w:val="00FB6FEC"/>
    <w:rsid w:val="00FC134B"/>
    <w:rsid w:val="00FE0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6F30A"/>
  <w15:chartTrackingRefBased/>
  <w15:docId w15:val="{CD112AB3-77FE-2A4B-B3F4-F94468AA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A89"/>
    <w:pPr>
      <w:spacing w:line="480" w:lineRule="auto"/>
    </w:pPr>
    <w:rPr>
      <w:rFonts w:ascii="Arial" w:hAnsi="Arial" w:cs="Arial"/>
      <w:sz w:val="21"/>
      <w:szCs w:val="21"/>
      <w:lang w:val="en-US"/>
    </w:rPr>
  </w:style>
  <w:style w:type="paragraph" w:styleId="Heading1">
    <w:name w:val="heading 1"/>
    <w:basedOn w:val="Normal"/>
    <w:next w:val="Normal"/>
    <w:link w:val="Heading1Char"/>
    <w:uiPriority w:val="9"/>
    <w:qFormat/>
    <w:rsid w:val="002741B8"/>
    <w:pPr>
      <w:keepNext/>
      <w:keepLines/>
      <w:spacing w:before="360" w:after="80"/>
      <w:outlineLvl w:val="0"/>
    </w:pPr>
    <w:rPr>
      <w:rFonts w:eastAsiaTheme="majorEastAsia"/>
      <w:b/>
      <w:bCs/>
      <w:color w:val="000000" w:themeColor="text1"/>
    </w:rPr>
  </w:style>
  <w:style w:type="paragraph" w:styleId="Heading2">
    <w:name w:val="heading 2"/>
    <w:basedOn w:val="Normal"/>
    <w:next w:val="Normal"/>
    <w:link w:val="Heading2Char"/>
    <w:uiPriority w:val="9"/>
    <w:unhideWhenUsed/>
    <w:qFormat/>
    <w:rsid w:val="002741B8"/>
    <w:pPr>
      <w:keepNext/>
      <w:keepLines/>
      <w:spacing w:before="160" w:after="80"/>
      <w:outlineLvl w:val="1"/>
    </w:pPr>
    <w:rPr>
      <w:rFonts w:eastAsiaTheme="majorEastAsia"/>
      <w:color w:val="000000" w:themeColor="text1"/>
      <w:u w:val="single"/>
    </w:rPr>
  </w:style>
  <w:style w:type="paragraph" w:styleId="Heading3">
    <w:name w:val="heading 3"/>
    <w:basedOn w:val="Normal"/>
    <w:next w:val="Normal"/>
    <w:link w:val="Heading3Char"/>
    <w:uiPriority w:val="9"/>
    <w:semiHidden/>
    <w:unhideWhenUsed/>
    <w:qFormat/>
    <w:rsid w:val="005675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5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5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5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5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5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5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1B8"/>
    <w:rPr>
      <w:rFonts w:ascii="Arial" w:eastAsiaTheme="majorEastAsia" w:hAnsi="Arial" w:cs="Arial"/>
      <w:b/>
      <w:bCs/>
      <w:color w:val="000000" w:themeColor="text1"/>
      <w:sz w:val="21"/>
      <w:szCs w:val="21"/>
      <w:lang w:val="en-US"/>
    </w:rPr>
  </w:style>
  <w:style w:type="character" w:customStyle="1" w:styleId="Heading2Char">
    <w:name w:val="Heading 2 Char"/>
    <w:basedOn w:val="DefaultParagraphFont"/>
    <w:link w:val="Heading2"/>
    <w:uiPriority w:val="9"/>
    <w:rsid w:val="002741B8"/>
    <w:rPr>
      <w:rFonts w:ascii="Arial" w:eastAsiaTheme="majorEastAsia" w:hAnsi="Arial" w:cs="Arial"/>
      <w:color w:val="000000" w:themeColor="text1"/>
      <w:sz w:val="21"/>
      <w:szCs w:val="21"/>
      <w:u w:val="single"/>
      <w:lang w:val="en-US"/>
    </w:rPr>
  </w:style>
  <w:style w:type="character" w:customStyle="1" w:styleId="Heading3Char">
    <w:name w:val="Heading 3 Char"/>
    <w:basedOn w:val="DefaultParagraphFont"/>
    <w:link w:val="Heading3"/>
    <w:uiPriority w:val="9"/>
    <w:semiHidden/>
    <w:rsid w:val="005675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5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5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5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5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5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57B"/>
    <w:rPr>
      <w:rFonts w:eastAsiaTheme="majorEastAsia" w:cstheme="majorBidi"/>
      <w:color w:val="272727" w:themeColor="text1" w:themeTint="D8"/>
    </w:rPr>
  </w:style>
  <w:style w:type="paragraph" w:styleId="Title">
    <w:name w:val="Title"/>
    <w:basedOn w:val="Normal"/>
    <w:next w:val="Normal"/>
    <w:link w:val="TitleChar"/>
    <w:uiPriority w:val="10"/>
    <w:qFormat/>
    <w:rsid w:val="005675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5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57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5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5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757B"/>
    <w:rPr>
      <w:i/>
      <w:iCs/>
      <w:color w:val="404040" w:themeColor="text1" w:themeTint="BF"/>
    </w:rPr>
  </w:style>
  <w:style w:type="paragraph" w:styleId="ListParagraph">
    <w:name w:val="List Paragraph"/>
    <w:basedOn w:val="Normal"/>
    <w:uiPriority w:val="34"/>
    <w:qFormat/>
    <w:rsid w:val="0056757B"/>
    <w:pPr>
      <w:ind w:left="720"/>
      <w:contextualSpacing/>
    </w:pPr>
  </w:style>
  <w:style w:type="character" w:styleId="IntenseEmphasis">
    <w:name w:val="Intense Emphasis"/>
    <w:basedOn w:val="DefaultParagraphFont"/>
    <w:uiPriority w:val="21"/>
    <w:qFormat/>
    <w:rsid w:val="0056757B"/>
    <w:rPr>
      <w:i/>
      <w:iCs/>
      <w:color w:val="2F5496" w:themeColor="accent1" w:themeShade="BF"/>
    </w:rPr>
  </w:style>
  <w:style w:type="paragraph" w:styleId="IntenseQuote">
    <w:name w:val="Intense Quote"/>
    <w:basedOn w:val="Normal"/>
    <w:next w:val="Normal"/>
    <w:link w:val="IntenseQuoteChar"/>
    <w:uiPriority w:val="30"/>
    <w:qFormat/>
    <w:rsid w:val="005675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57B"/>
    <w:rPr>
      <w:i/>
      <w:iCs/>
      <w:color w:val="2F5496" w:themeColor="accent1" w:themeShade="BF"/>
    </w:rPr>
  </w:style>
  <w:style w:type="character" w:styleId="IntenseReference">
    <w:name w:val="Intense Reference"/>
    <w:basedOn w:val="DefaultParagraphFont"/>
    <w:uiPriority w:val="32"/>
    <w:qFormat/>
    <w:rsid w:val="0056757B"/>
    <w:rPr>
      <w:b/>
      <w:bCs/>
      <w:smallCaps/>
      <w:color w:val="2F5496" w:themeColor="accent1" w:themeShade="BF"/>
      <w:spacing w:val="5"/>
    </w:rPr>
  </w:style>
  <w:style w:type="character" w:styleId="Hyperlink">
    <w:name w:val="Hyperlink"/>
    <w:basedOn w:val="DefaultParagraphFont"/>
    <w:uiPriority w:val="99"/>
    <w:unhideWhenUsed/>
    <w:rsid w:val="00A51A89"/>
    <w:rPr>
      <w:color w:val="0563C1" w:themeColor="hyperlink"/>
      <w:u w:val="single"/>
    </w:rPr>
  </w:style>
  <w:style w:type="character" w:styleId="UnresolvedMention">
    <w:name w:val="Unresolved Mention"/>
    <w:basedOn w:val="DefaultParagraphFont"/>
    <w:uiPriority w:val="99"/>
    <w:semiHidden/>
    <w:unhideWhenUsed/>
    <w:rsid w:val="00A51A89"/>
    <w:rPr>
      <w:color w:val="605E5C"/>
      <w:shd w:val="clear" w:color="auto" w:fill="E1DFDD"/>
    </w:rPr>
  </w:style>
  <w:style w:type="character" w:styleId="Strong">
    <w:name w:val="Strong"/>
    <w:basedOn w:val="DefaultParagraphFont"/>
    <w:uiPriority w:val="22"/>
    <w:qFormat/>
    <w:rsid w:val="005659A2"/>
    <w:rPr>
      <w:b/>
      <w:bCs/>
    </w:rPr>
  </w:style>
  <w:style w:type="character" w:styleId="Emphasis">
    <w:name w:val="Emphasis"/>
    <w:basedOn w:val="DefaultParagraphFont"/>
    <w:uiPriority w:val="20"/>
    <w:qFormat/>
    <w:rsid w:val="005659A2"/>
    <w:rPr>
      <w:i/>
      <w:iCs/>
    </w:rPr>
  </w:style>
  <w:style w:type="table" w:styleId="TableGrid">
    <w:name w:val="Table Grid"/>
    <w:basedOn w:val="TableNormal"/>
    <w:uiPriority w:val="39"/>
    <w:rsid w:val="00FE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6A90"/>
    <w:rPr>
      <w:rFonts w:ascii="Arial" w:hAnsi="Arial" w:cs="Arial"/>
      <w:sz w:val="21"/>
      <w:szCs w:val="21"/>
      <w:lang w:val="en-US"/>
    </w:rPr>
  </w:style>
  <w:style w:type="paragraph" w:styleId="Footer">
    <w:name w:val="footer"/>
    <w:basedOn w:val="Normal"/>
    <w:link w:val="FooterChar"/>
    <w:uiPriority w:val="99"/>
    <w:unhideWhenUsed/>
    <w:rsid w:val="00F94DF9"/>
    <w:pPr>
      <w:tabs>
        <w:tab w:val="center" w:pos="4680"/>
        <w:tab w:val="right" w:pos="9360"/>
      </w:tabs>
      <w:spacing w:line="240" w:lineRule="auto"/>
    </w:pPr>
  </w:style>
  <w:style w:type="character" w:customStyle="1" w:styleId="FooterChar">
    <w:name w:val="Footer Char"/>
    <w:basedOn w:val="DefaultParagraphFont"/>
    <w:link w:val="Footer"/>
    <w:uiPriority w:val="99"/>
    <w:rsid w:val="00F94DF9"/>
    <w:rPr>
      <w:rFonts w:ascii="Arial" w:hAnsi="Arial" w:cs="Arial"/>
      <w:sz w:val="21"/>
      <w:szCs w:val="21"/>
      <w:lang w:val="en-US"/>
    </w:rPr>
  </w:style>
  <w:style w:type="character" w:styleId="PageNumber">
    <w:name w:val="page number"/>
    <w:basedOn w:val="DefaultParagraphFont"/>
    <w:uiPriority w:val="99"/>
    <w:semiHidden/>
    <w:unhideWhenUsed/>
    <w:rsid w:val="00F94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2351">
      <w:bodyDiv w:val="1"/>
      <w:marLeft w:val="0"/>
      <w:marRight w:val="0"/>
      <w:marTop w:val="0"/>
      <w:marBottom w:val="0"/>
      <w:divBdr>
        <w:top w:val="none" w:sz="0" w:space="0" w:color="auto"/>
        <w:left w:val="none" w:sz="0" w:space="0" w:color="auto"/>
        <w:bottom w:val="none" w:sz="0" w:space="0" w:color="auto"/>
        <w:right w:val="none" w:sz="0" w:space="0" w:color="auto"/>
      </w:divBdr>
    </w:div>
    <w:div w:id="66344275">
      <w:bodyDiv w:val="1"/>
      <w:marLeft w:val="0"/>
      <w:marRight w:val="0"/>
      <w:marTop w:val="0"/>
      <w:marBottom w:val="0"/>
      <w:divBdr>
        <w:top w:val="none" w:sz="0" w:space="0" w:color="auto"/>
        <w:left w:val="none" w:sz="0" w:space="0" w:color="auto"/>
        <w:bottom w:val="none" w:sz="0" w:space="0" w:color="auto"/>
        <w:right w:val="none" w:sz="0" w:space="0" w:color="auto"/>
      </w:divBdr>
    </w:div>
    <w:div w:id="71588939">
      <w:bodyDiv w:val="1"/>
      <w:marLeft w:val="0"/>
      <w:marRight w:val="0"/>
      <w:marTop w:val="0"/>
      <w:marBottom w:val="0"/>
      <w:divBdr>
        <w:top w:val="none" w:sz="0" w:space="0" w:color="auto"/>
        <w:left w:val="none" w:sz="0" w:space="0" w:color="auto"/>
        <w:bottom w:val="none" w:sz="0" w:space="0" w:color="auto"/>
        <w:right w:val="none" w:sz="0" w:space="0" w:color="auto"/>
      </w:divBdr>
    </w:div>
    <w:div w:id="116531886">
      <w:bodyDiv w:val="1"/>
      <w:marLeft w:val="0"/>
      <w:marRight w:val="0"/>
      <w:marTop w:val="0"/>
      <w:marBottom w:val="0"/>
      <w:divBdr>
        <w:top w:val="none" w:sz="0" w:space="0" w:color="auto"/>
        <w:left w:val="none" w:sz="0" w:space="0" w:color="auto"/>
        <w:bottom w:val="none" w:sz="0" w:space="0" w:color="auto"/>
        <w:right w:val="none" w:sz="0" w:space="0" w:color="auto"/>
      </w:divBdr>
    </w:div>
    <w:div w:id="172768212">
      <w:bodyDiv w:val="1"/>
      <w:marLeft w:val="0"/>
      <w:marRight w:val="0"/>
      <w:marTop w:val="0"/>
      <w:marBottom w:val="0"/>
      <w:divBdr>
        <w:top w:val="none" w:sz="0" w:space="0" w:color="auto"/>
        <w:left w:val="none" w:sz="0" w:space="0" w:color="auto"/>
        <w:bottom w:val="none" w:sz="0" w:space="0" w:color="auto"/>
        <w:right w:val="none" w:sz="0" w:space="0" w:color="auto"/>
      </w:divBdr>
    </w:div>
    <w:div w:id="179904408">
      <w:bodyDiv w:val="1"/>
      <w:marLeft w:val="0"/>
      <w:marRight w:val="0"/>
      <w:marTop w:val="0"/>
      <w:marBottom w:val="0"/>
      <w:divBdr>
        <w:top w:val="none" w:sz="0" w:space="0" w:color="auto"/>
        <w:left w:val="none" w:sz="0" w:space="0" w:color="auto"/>
        <w:bottom w:val="none" w:sz="0" w:space="0" w:color="auto"/>
        <w:right w:val="none" w:sz="0" w:space="0" w:color="auto"/>
      </w:divBdr>
    </w:div>
    <w:div w:id="193269561">
      <w:bodyDiv w:val="1"/>
      <w:marLeft w:val="0"/>
      <w:marRight w:val="0"/>
      <w:marTop w:val="0"/>
      <w:marBottom w:val="0"/>
      <w:divBdr>
        <w:top w:val="none" w:sz="0" w:space="0" w:color="auto"/>
        <w:left w:val="none" w:sz="0" w:space="0" w:color="auto"/>
        <w:bottom w:val="none" w:sz="0" w:space="0" w:color="auto"/>
        <w:right w:val="none" w:sz="0" w:space="0" w:color="auto"/>
      </w:divBdr>
    </w:div>
    <w:div w:id="204877146">
      <w:bodyDiv w:val="1"/>
      <w:marLeft w:val="0"/>
      <w:marRight w:val="0"/>
      <w:marTop w:val="0"/>
      <w:marBottom w:val="0"/>
      <w:divBdr>
        <w:top w:val="none" w:sz="0" w:space="0" w:color="auto"/>
        <w:left w:val="none" w:sz="0" w:space="0" w:color="auto"/>
        <w:bottom w:val="none" w:sz="0" w:space="0" w:color="auto"/>
        <w:right w:val="none" w:sz="0" w:space="0" w:color="auto"/>
      </w:divBdr>
    </w:div>
    <w:div w:id="216094193">
      <w:bodyDiv w:val="1"/>
      <w:marLeft w:val="0"/>
      <w:marRight w:val="0"/>
      <w:marTop w:val="0"/>
      <w:marBottom w:val="0"/>
      <w:divBdr>
        <w:top w:val="none" w:sz="0" w:space="0" w:color="auto"/>
        <w:left w:val="none" w:sz="0" w:space="0" w:color="auto"/>
        <w:bottom w:val="none" w:sz="0" w:space="0" w:color="auto"/>
        <w:right w:val="none" w:sz="0" w:space="0" w:color="auto"/>
      </w:divBdr>
    </w:div>
    <w:div w:id="297299614">
      <w:bodyDiv w:val="1"/>
      <w:marLeft w:val="0"/>
      <w:marRight w:val="0"/>
      <w:marTop w:val="0"/>
      <w:marBottom w:val="0"/>
      <w:divBdr>
        <w:top w:val="none" w:sz="0" w:space="0" w:color="auto"/>
        <w:left w:val="none" w:sz="0" w:space="0" w:color="auto"/>
        <w:bottom w:val="none" w:sz="0" w:space="0" w:color="auto"/>
        <w:right w:val="none" w:sz="0" w:space="0" w:color="auto"/>
      </w:divBdr>
    </w:div>
    <w:div w:id="346057084">
      <w:bodyDiv w:val="1"/>
      <w:marLeft w:val="0"/>
      <w:marRight w:val="0"/>
      <w:marTop w:val="0"/>
      <w:marBottom w:val="0"/>
      <w:divBdr>
        <w:top w:val="none" w:sz="0" w:space="0" w:color="auto"/>
        <w:left w:val="none" w:sz="0" w:space="0" w:color="auto"/>
        <w:bottom w:val="none" w:sz="0" w:space="0" w:color="auto"/>
        <w:right w:val="none" w:sz="0" w:space="0" w:color="auto"/>
      </w:divBdr>
    </w:div>
    <w:div w:id="350449498">
      <w:bodyDiv w:val="1"/>
      <w:marLeft w:val="0"/>
      <w:marRight w:val="0"/>
      <w:marTop w:val="0"/>
      <w:marBottom w:val="0"/>
      <w:divBdr>
        <w:top w:val="none" w:sz="0" w:space="0" w:color="auto"/>
        <w:left w:val="none" w:sz="0" w:space="0" w:color="auto"/>
        <w:bottom w:val="none" w:sz="0" w:space="0" w:color="auto"/>
        <w:right w:val="none" w:sz="0" w:space="0" w:color="auto"/>
      </w:divBdr>
    </w:div>
    <w:div w:id="450629321">
      <w:bodyDiv w:val="1"/>
      <w:marLeft w:val="0"/>
      <w:marRight w:val="0"/>
      <w:marTop w:val="0"/>
      <w:marBottom w:val="0"/>
      <w:divBdr>
        <w:top w:val="none" w:sz="0" w:space="0" w:color="auto"/>
        <w:left w:val="none" w:sz="0" w:space="0" w:color="auto"/>
        <w:bottom w:val="none" w:sz="0" w:space="0" w:color="auto"/>
        <w:right w:val="none" w:sz="0" w:space="0" w:color="auto"/>
      </w:divBdr>
    </w:div>
    <w:div w:id="473061854">
      <w:bodyDiv w:val="1"/>
      <w:marLeft w:val="0"/>
      <w:marRight w:val="0"/>
      <w:marTop w:val="0"/>
      <w:marBottom w:val="0"/>
      <w:divBdr>
        <w:top w:val="none" w:sz="0" w:space="0" w:color="auto"/>
        <w:left w:val="none" w:sz="0" w:space="0" w:color="auto"/>
        <w:bottom w:val="none" w:sz="0" w:space="0" w:color="auto"/>
        <w:right w:val="none" w:sz="0" w:space="0" w:color="auto"/>
      </w:divBdr>
    </w:div>
    <w:div w:id="504321658">
      <w:bodyDiv w:val="1"/>
      <w:marLeft w:val="0"/>
      <w:marRight w:val="0"/>
      <w:marTop w:val="0"/>
      <w:marBottom w:val="0"/>
      <w:divBdr>
        <w:top w:val="none" w:sz="0" w:space="0" w:color="auto"/>
        <w:left w:val="none" w:sz="0" w:space="0" w:color="auto"/>
        <w:bottom w:val="none" w:sz="0" w:space="0" w:color="auto"/>
        <w:right w:val="none" w:sz="0" w:space="0" w:color="auto"/>
      </w:divBdr>
    </w:div>
    <w:div w:id="517155447">
      <w:bodyDiv w:val="1"/>
      <w:marLeft w:val="0"/>
      <w:marRight w:val="0"/>
      <w:marTop w:val="0"/>
      <w:marBottom w:val="0"/>
      <w:divBdr>
        <w:top w:val="none" w:sz="0" w:space="0" w:color="auto"/>
        <w:left w:val="none" w:sz="0" w:space="0" w:color="auto"/>
        <w:bottom w:val="none" w:sz="0" w:space="0" w:color="auto"/>
        <w:right w:val="none" w:sz="0" w:space="0" w:color="auto"/>
      </w:divBdr>
    </w:div>
    <w:div w:id="517736392">
      <w:bodyDiv w:val="1"/>
      <w:marLeft w:val="0"/>
      <w:marRight w:val="0"/>
      <w:marTop w:val="0"/>
      <w:marBottom w:val="0"/>
      <w:divBdr>
        <w:top w:val="none" w:sz="0" w:space="0" w:color="auto"/>
        <w:left w:val="none" w:sz="0" w:space="0" w:color="auto"/>
        <w:bottom w:val="none" w:sz="0" w:space="0" w:color="auto"/>
        <w:right w:val="none" w:sz="0" w:space="0" w:color="auto"/>
      </w:divBdr>
    </w:div>
    <w:div w:id="539630800">
      <w:bodyDiv w:val="1"/>
      <w:marLeft w:val="0"/>
      <w:marRight w:val="0"/>
      <w:marTop w:val="0"/>
      <w:marBottom w:val="0"/>
      <w:divBdr>
        <w:top w:val="none" w:sz="0" w:space="0" w:color="auto"/>
        <w:left w:val="none" w:sz="0" w:space="0" w:color="auto"/>
        <w:bottom w:val="none" w:sz="0" w:space="0" w:color="auto"/>
        <w:right w:val="none" w:sz="0" w:space="0" w:color="auto"/>
      </w:divBdr>
    </w:div>
    <w:div w:id="544220607">
      <w:bodyDiv w:val="1"/>
      <w:marLeft w:val="0"/>
      <w:marRight w:val="0"/>
      <w:marTop w:val="0"/>
      <w:marBottom w:val="0"/>
      <w:divBdr>
        <w:top w:val="none" w:sz="0" w:space="0" w:color="auto"/>
        <w:left w:val="none" w:sz="0" w:space="0" w:color="auto"/>
        <w:bottom w:val="none" w:sz="0" w:space="0" w:color="auto"/>
        <w:right w:val="none" w:sz="0" w:space="0" w:color="auto"/>
      </w:divBdr>
    </w:div>
    <w:div w:id="623997665">
      <w:bodyDiv w:val="1"/>
      <w:marLeft w:val="0"/>
      <w:marRight w:val="0"/>
      <w:marTop w:val="0"/>
      <w:marBottom w:val="0"/>
      <w:divBdr>
        <w:top w:val="none" w:sz="0" w:space="0" w:color="auto"/>
        <w:left w:val="none" w:sz="0" w:space="0" w:color="auto"/>
        <w:bottom w:val="none" w:sz="0" w:space="0" w:color="auto"/>
        <w:right w:val="none" w:sz="0" w:space="0" w:color="auto"/>
      </w:divBdr>
    </w:div>
    <w:div w:id="651258416">
      <w:bodyDiv w:val="1"/>
      <w:marLeft w:val="0"/>
      <w:marRight w:val="0"/>
      <w:marTop w:val="0"/>
      <w:marBottom w:val="0"/>
      <w:divBdr>
        <w:top w:val="none" w:sz="0" w:space="0" w:color="auto"/>
        <w:left w:val="none" w:sz="0" w:space="0" w:color="auto"/>
        <w:bottom w:val="none" w:sz="0" w:space="0" w:color="auto"/>
        <w:right w:val="none" w:sz="0" w:space="0" w:color="auto"/>
      </w:divBdr>
    </w:div>
    <w:div w:id="653875346">
      <w:bodyDiv w:val="1"/>
      <w:marLeft w:val="0"/>
      <w:marRight w:val="0"/>
      <w:marTop w:val="0"/>
      <w:marBottom w:val="0"/>
      <w:divBdr>
        <w:top w:val="none" w:sz="0" w:space="0" w:color="auto"/>
        <w:left w:val="none" w:sz="0" w:space="0" w:color="auto"/>
        <w:bottom w:val="none" w:sz="0" w:space="0" w:color="auto"/>
        <w:right w:val="none" w:sz="0" w:space="0" w:color="auto"/>
      </w:divBdr>
    </w:div>
    <w:div w:id="686101584">
      <w:bodyDiv w:val="1"/>
      <w:marLeft w:val="0"/>
      <w:marRight w:val="0"/>
      <w:marTop w:val="0"/>
      <w:marBottom w:val="0"/>
      <w:divBdr>
        <w:top w:val="none" w:sz="0" w:space="0" w:color="auto"/>
        <w:left w:val="none" w:sz="0" w:space="0" w:color="auto"/>
        <w:bottom w:val="none" w:sz="0" w:space="0" w:color="auto"/>
        <w:right w:val="none" w:sz="0" w:space="0" w:color="auto"/>
      </w:divBdr>
    </w:div>
    <w:div w:id="719943609">
      <w:bodyDiv w:val="1"/>
      <w:marLeft w:val="0"/>
      <w:marRight w:val="0"/>
      <w:marTop w:val="0"/>
      <w:marBottom w:val="0"/>
      <w:divBdr>
        <w:top w:val="none" w:sz="0" w:space="0" w:color="auto"/>
        <w:left w:val="none" w:sz="0" w:space="0" w:color="auto"/>
        <w:bottom w:val="none" w:sz="0" w:space="0" w:color="auto"/>
        <w:right w:val="none" w:sz="0" w:space="0" w:color="auto"/>
      </w:divBdr>
    </w:div>
    <w:div w:id="769545846">
      <w:bodyDiv w:val="1"/>
      <w:marLeft w:val="0"/>
      <w:marRight w:val="0"/>
      <w:marTop w:val="0"/>
      <w:marBottom w:val="0"/>
      <w:divBdr>
        <w:top w:val="none" w:sz="0" w:space="0" w:color="auto"/>
        <w:left w:val="none" w:sz="0" w:space="0" w:color="auto"/>
        <w:bottom w:val="none" w:sz="0" w:space="0" w:color="auto"/>
        <w:right w:val="none" w:sz="0" w:space="0" w:color="auto"/>
      </w:divBdr>
    </w:div>
    <w:div w:id="774205582">
      <w:bodyDiv w:val="1"/>
      <w:marLeft w:val="0"/>
      <w:marRight w:val="0"/>
      <w:marTop w:val="0"/>
      <w:marBottom w:val="0"/>
      <w:divBdr>
        <w:top w:val="none" w:sz="0" w:space="0" w:color="auto"/>
        <w:left w:val="none" w:sz="0" w:space="0" w:color="auto"/>
        <w:bottom w:val="none" w:sz="0" w:space="0" w:color="auto"/>
        <w:right w:val="none" w:sz="0" w:space="0" w:color="auto"/>
      </w:divBdr>
    </w:div>
    <w:div w:id="782529567">
      <w:bodyDiv w:val="1"/>
      <w:marLeft w:val="0"/>
      <w:marRight w:val="0"/>
      <w:marTop w:val="0"/>
      <w:marBottom w:val="0"/>
      <w:divBdr>
        <w:top w:val="none" w:sz="0" w:space="0" w:color="auto"/>
        <w:left w:val="none" w:sz="0" w:space="0" w:color="auto"/>
        <w:bottom w:val="none" w:sz="0" w:space="0" w:color="auto"/>
        <w:right w:val="none" w:sz="0" w:space="0" w:color="auto"/>
      </w:divBdr>
    </w:div>
    <w:div w:id="793251931">
      <w:bodyDiv w:val="1"/>
      <w:marLeft w:val="0"/>
      <w:marRight w:val="0"/>
      <w:marTop w:val="0"/>
      <w:marBottom w:val="0"/>
      <w:divBdr>
        <w:top w:val="none" w:sz="0" w:space="0" w:color="auto"/>
        <w:left w:val="none" w:sz="0" w:space="0" w:color="auto"/>
        <w:bottom w:val="none" w:sz="0" w:space="0" w:color="auto"/>
        <w:right w:val="none" w:sz="0" w:space="0" w:color="auto"/>
      </w:divBdr>
    </w:div>
    <w:div w:id="860700225">
      <w:bodyDiv w:val="1"/>
      <w:marLeft w:val="0"/>
      <w:marRight w:val="0"/>
      <w:marTop w:val="0"/>
      <w:marBottom w:val="0"/>
      <w:divBdr>
        <w:top w:val="none" w:sz="0" w:space="0" w:color="auto"/>
        <w:left w:val="none" w:sz="0" w:space="0" w:color="auto"/>
        <w:bottom w:val="none" w:sz="0" w:space="0" w:color="auto"/>
        <w:right w:val="none" w:sz="0" w:space="0" w:color="auto"/>
      </w:divBdr>
    </w:div>
    <w:div w:id="867638808">
      <w:bodyDiv w:val="1"/>
      <w:marLeft w:val="0"/>
      <w:marRight w:val="0"/>
      <w:marTop w:val="0"/>
      <w:marBottom w:val="0"/>
      <w:divBdr>
        <w:top w:val="none" w:sz="0" w:space="0" w:color="auto"/>
        <w:left w:val="none" w:sz="0" w:space="0" w:color="auto"/>
        <w:bottom w:val="none" w:sz="0" w:space="0" w:color="auto"/>
        <w:right w:val="none" w:sz="0" w:space="0" w:color="auto"/>
      </w:divBdr>
    </w:div>
    <w:div w:id="877427643">
      <w:bodyDiv w:val="1"/>
      <w:marLeft w:val="0"/>
      <w:marRight w:val="0"/>
      <w:marTop w:val="0"/>
      <w:marBottom w:val="0"/>
      <w:divBdr>
        <w:top w:val="none" w:sz="0" w:space="0" w:color="auto"/>
        <w:left w:val="none" w:sz="0" w:space="0" w:color="auto"/>
        <w:bottom w:val="none" w:sz="0" w:space="0" w:color="auto"/>
        <w:right w:val="none" w:sz="0" w:space="0" w:color="auto"/>
      </w:divBdr>
    </w:div>
    <w:div w:id="917977741">
      <w:bodyDiv w:val="1"/>
      <w:marLeft w:val="0"/>
      <w:marRight w:val="0"/>
      <w:marTop w:val="0"/>
      <w:marBottom w:val="0"/>
      <w:divBdr>
        <w:top w:val="none" w:sz="0" w:space="0" w:color="auto"/>
        <w:left w:val="none" w:sz="0" w:space="0" w:color="auto"/>
        <w:bottom w:val="none" w:sz="0" w:space="0" w:color="auto"/>
        <w:right w:val="none" w:sz="0" w:space="0" w:color="auto"/>
      </w:divBdr>
    </w:div>
    <w:div w:id="931354566">
      <w:bodyDiv w:val="1"/>
      <w:marLeft w:val="0"/>
      <w:marRight w:val="0"/>
      <w:marTop w:val="0"/>
      <w:marBottom w:val="0"/>
      <w:divBdr>
        <w:top w:val="none" w:sz="0" w:space="0" w:color="auto"/>
        <w:left w:val="none" w:sz="0" w:space="0" w:color="auto"/>
        <w:bottom w:val="none" w:sz="0" w:space="0" w:color="auto"/>
        <w:right w:val="none" w:sz="0" w:space="0" w:color="auto"/>
      </w:divBdr>
    </w:div>
    <w:div w:id="1008293142">
      <w:bodyDiv w:val="1"/>
      <w:marLeft w:val="0"/>
      <w:marRight w:val="0"/>
      <w:marTop w:val="0"/>
      <w:marBottom w:val="0"/>
      <w:divBdr>
        <w:top w:val="none" w:sz="0" w:space="0" w:color="auto"/>
        <w:left w:val="none" w:sz="0" w:space="0" w:color="auto"/>
        <w:bottom w:val="none" w:sz="0" w:space="0" w:color="auto"/>
        <w:right w:val="none" w:sz="0" w:space="0" w:color="auto"/>
      </w:divBdr>
    </w:div>
    <w:div w:id="1018972652">
      <w:bodyDiv w:val="1"/>
      <w:marLeft w:val="0"/>
      <w:marRight w:val="0"/>
      <w:marTop w:val="0"/>
      <w:marBottom w:val="0"/>
      <w:divBdr>
        <w:top w:val="none" w:sz="0" w:space="0" w:color="auto"/>
        <w:left w:val="none" w:sz="0" w:space="0" w:color="auto"/>
        <w:bottom w:val="none" w:sz="0" w:space="0" w:color="auto"/>
        <w:right w:val="none" w:sz="0" w:space="0" w:color="auto"/>
      </w:divBdr>
    </w:div>
    <w:div w:id="1030496318">
      <w:bodyDiv w:val="1"/>
      <w:marLeft w:val="0"/>
      <w:marRight w:val="0"/>
      <w:marTop w:val="0"/>
      <w:marBottom w:val="0"/>
      <w:divBdr>
        <w:top w:val="none" w:sz="0" w:space="0" w:color="auto"/>
        <w:left w:val="none" w:sz="0" w:space="0" w:color="auto"/>
        <w:bottom w:val="none" w:sz="0" w:space="0" w:color="auto"/>
        <w:right w:val="none" w:sz="0" w:space="0" w:color="auto"/>
      </w:divBdr>
    </w:div>
    <w:div w:id="1052001416">
      <w:bodyDiv w:val="1"/>
      <w:marLeft w:val="0"/>
      <w:marRight w:val="0"/>
      <w:marTop w:val="0"/>
      <w:marBottom w:val="0"/>
      <w:divBdr>
        <w:top w:val="none" w:sz="0" w:space="0" w:color="auto"/>
        <w:left w:val="none" w:sz="0" w:space="0" w:color="auto"/>
        <w:bottom w:val="none" w:sz="0" w:space="0" w:color="auto"/>
        <w:right w:val="none" w:sz="0" w:space="0" w:color="auto"/>
      </w:divBdr>
    </w:div>
    <w:div w:id="1123843455">
      <w:bodyDiv w:val="1"/>
      <w:marLeft w:val="0"/>
      <w:marRight w:val="0"/>
      <w:marTop w:val="0"/>
      <w:marBottom w:val="0"/>
      <w:divBdr>
        <w:top w:val="none" w:sz="0" w:space="0" w:color="auto"/>
        <w:left w:val="none" w:sz="0" w:space="0" w:color="auto"/>
        <w:bottom w:val="none" w:sz="0" w:space="0" w:color="auto"/>
        <w:right w:val="none" w:sz="0" w:space="0" w:color="auto"/>
      </w:divBdr>
    </w:div>
    <w:div w:id="1190143997">
      <w:bodyDiv w:val="1"/>
      <w:marLeft w:val="0"/>
      <w:marRight w:val="0"/>
      <w:marTop w:val="0"/>
      <w:marBottom w:val="0"/>
      <w:divBdr>
        <w:top w:val="none" w:sz="0" w:space="0" w:color="auto"/>
        <w:left w:val="none" w:sz="0" w:space="0" w:color="auto"/>
        <w:bottom w:val="none" w:sz="0" w:space="0" w:color="auto"/>
        <w:right w:val="none" w:sz="0" w:space="0" w:color="auto"/>
      </w:divBdr>
    </w:div>
    <w:div w:id="1237017057">
      <w:bodyDiv w:val="1"/>
      <w:marLeft w:val="0"/>
      <w:marRight w:val="0"/>
      <w:marTop w:val="0"/>
      <w:marBottom w:val="0"/>
      <w:divBdr>
        <w:top w:val="none" w:sz="0" w:space="0" w:color="auto"/>
        <w:left w:val="none" w:sz="0" w:space="0" w:color="auto"/>
        <w:bottom w:val="none" w:sz="0" w:space="0" w:color="auto"/>
        <w:right w:val="none" w:sz="0" w:space="0" w:color="auto"/>
      </w:divBdr>
    </w:div>
    <w:div w:id="1249147567">
      <w:bodyDiv w:val="1"/>
      <w:marLeft w:val="0"/>
      <w:marRight w:val="0"/>
      <w:marTop w:val="0"/>
      <w:marBottom w:val="0"/>
      <w:divBdr>
        <w:top w:val="none" w:sz="0" w:space="0" w:color="auto"/>
        <w:left w:val="none" w:sz="0" w:space="0" w:color="auto"/>
        <w:bottom w:val="none" w:sz="0" w:space="0" w:color="auto"/>
        <w:right w:val="none" w:sz="0" w:space="0" w:color="auto"/>
      </w:divBdr>
    </w:div>
    <w:div w:id="1306934161">
      <w:bodyDiv w:val="1"/>
      <w:marLeft w:val="0"/>
      <w:marRight w:val="0"/>
      <w:marTop w:val="0"/>
      <w:marBottom w:val="0"/>
      <w:divBdr>
        <w:top w:val="none" w:sz="0" w:space="0" w:color="auto"/>
        <w:left w:val="none" w:sz="0" w:space="0" w:color="auto"/>
        <w:bottom w:val="none" w:sz="0" w:space="0" w:color="auto"/>
        <w:right w:val="none" w:sz="0" w:space="0" w:color="auto"/>
      </w:divBdr>
    </w:div>
    <w:div w:id="1349527404">
      <w:bodyDiv w:val="1"/>
      <w:marLeft w:val="0"/>
      <w:marRight w:val="0"/>
      <w:marTop w:val="0"/>
      <w:marBottom w:val="0"/>
      <w:divBdr>
        <w:top w:val="none" w:sz="0" w:space="0" w:color="auto"/>
        <w:left w:val="none" w:sz="0" w:space="0" w:color="auto"/>
        <w:bottom w:val="none" w:sz="0" w:space="0" w:color="auto"/>
        <w:right w:val="none" w:sz="0" w:space="0" w:color="auto"/>
      </w:divBdr>
    </w:div>
    <w:div w:id="1453864603">
      <w:bodyDiv w:val="1"/>
      <w:marLeft w:val="0"/>
      <w:marRight w:val="0"/>
      <w:marTop w:val="0"/>
      <w:marBottom w:val="0"/>
      <w:divBdr>
        <w:top w:val="none" w:sz="0" w:space="0" w:color="auto"/>
        <w:left w:val="none" w:sz="0" w:space="0" w:color="auto"/>
        <w:bottom w:val="none" w:sz="0" w:space="0" w:color="auto"/>
        <w:right w:val="none" w:sz="0" w:space="0" w:color="auto"/>
      </w:divBdr>
    </w:div>
    <w:div w:id="1526945852">
      <w:bodyDiv w:val="1"/>
      <w:marLeft w:val="0"/>
      <w:marRight w:val="0"/>
      <w:marTop w:val="0"/>
      <w:marBottom w:val="0"/>
      <w:divBdr>
        <w:top w:val="none" w:sz="0" w:space="0" w:color="auto"/>
        <w:left w:val="none" w:sz="0" w:space="0" w:color="auto"/>
        <w:bottom w:val="none" w:sz="0" w:space="0" w:color="auto"/>
        <w:right w:val="none" w:sz="0" w:space="0" w:color="auto"/>
      </w:divBdr>
    </w:div>
    <w:div w:id="1532257720">
      <w:bodyDiv w:val="1"/>
      <w:marLeft w:val="0"/>
      <w:marRight w:val="0"/>
      <w:marTop w:val="0"/>
      <w:marBottom w:val="0"/>
      <w:divBdr>
        <w:top w:val="none" w:sz="0" w:space="0" w:color="auto"/>
        <w:left w:val="none" w:sz="0" w:space="0" w:color="auto"/>
        <w:bottom w:val="none" w:sz="0" w:space="0" w:color="auto"/>
        <w:right w:val="none" w:sz="0" w:space="0" w:color="auto"/>
      </w:divBdr>
    </w:div>
    <w:div w:id="1553074105">
      <w:bodyDiv w:val="1"/>
      <w:marLeft w:val="0"/>
      <w:marRight w:val="0"/>
      <w:marTop w:val="0"/>
      <w:marBottom w:val="0"/>
      <w:divBdr>
        <w:top w:val="none" w:sz="0" w:space="0" w:color="auto"/>
        <w:left w:val="none" w:sz="0" w:space="0" w:color="auto"/>
        <w:bottom w:val="none" w:sz="0" w:space="0" w:color="auto"/>
        <w:right w:val="none" w:sz="0" w:space="0" w:color="auto"/>
      </w:divBdr>
    </w:div>
    <w:div w:id="1621648990">
      <w:bodyDiv w:val="1"/>
      <w:marLeft w:val="0"/>
      <w:marRight w:val="0"/>
      <w:marTop w:val="0"/>
      <w:marBottom w:val="0"/>
      <w:divBdr>
        <w:top w:val="none" w:sz="0" w:space="0" w:color="auto"/>
        <w:left w:val="none" w:sz="0" w:space="0" w:color="auto"/>
        <w:bottom w:val="none" w:sz="0" w:space="0" w:color="auto"/>
        <w:right w:val="none" w:sz="0" w:space="0" w:color="auto"/>
      </w:divBdr>
    </w:div>
    <w:div w:id="1692297719">
      <w:bodyDiv w:val="1"/>
      <w:marLeft w:val="0"/>
      <w:marRight w:val="0"/>
      <w:marTop w:val="0"/>
      <w:marBottom w:val="0"/>
      <w:divBdr>
        <w:top w:val="none" w:sz="0" w:space="0" w:color="auto"/>
        <w:left w:val="none" w:sz="0" w:space="0" w:color="auto"/>
        <w:bottom w:val="none" w:sz="0" w:space="0" w:color="auto"/>
        <w:right w:val="none" w:sz="0" w:space="0" w:color="auto"/>
      </w:divBdr>
    </w:div>
    <w:div w:id="1693459173">
      <w:bodyDiv w:val="1"/>
      <w:marLeft w:val="0"/>
      <w:marRight w:val="0"/>
      <w:marTop w:val="0"/>
      <w:marBottom w:val="0"/>
      <w:divBdr>
        <w:top w:val="none" w:sz="0" w:space="0" w:color="auto"/>
        <w:left w:val="none" w:sz="0" w:space="0" w:color="auto"/>
        <w:bottom w:val="none" w:sz="0" w:space="0" w:color="auto"/>
        <w:right w:val="none" w:sz="0" w:space="0" w:color="auto"/>
      </w:divBdr>
    </w:div>
    <w:div w:id="1730572546">
      <w:bodyDiv w:val="1"/>
      <w:marLeft w:val="0"/>
      <w:marRight w:val="0"/>
      <w:marTop w:val="0"/>
      <w:marBottom w:val="0"/>
      <w:divBdr>
        <w:top w:val="none" w:sz="0" w:space="0" w:color="auto"/>
        <w:left w:val="none" w:sz="0" w:space="0" w:color="auto"/>
        <w:bottom w:val="none" w:sz="0" w:space="0" w:color="auto"/>
        <w:right w:val="none" w:sz="0" w:space="0" w:color="auto"/>
      </w:divBdr>
    </w:div>
    <w:div w:id="1754164672">
      <w:bodyDiv w:val="1"/>
      <w:marLeft w:val="0"/>
      <w:marRight w:val="0"/>
      <w:marTop w:val="0"/>
      <w:marBottom w:val="0"/>
      <w:divBdr>
        <w:top w:val="none" w:sz="0" w:space="0" w:color="auto"/>
        <w:left w:val="none" w:sz="0" w:space="0" w:color="auto"/>
        <w:bottom w:val="none" w:sz="0" w:space="0" w:color="auto"/>
        <w:right w:val="none" w:sz="0" w:space="0" w:color="auto"/>
      </w:divBdr>
    </w:div>
    <w:div w:id="1757088986">
      <w:bodyDiv w:val="1"/>
      <w:marLeft w:val="0"/>
      <w:marRight w:val="0"/>
      <w:marTop w:val="0"/>
      <w:marBottom w:val="0"/>
      <w:divBdr>
        <w:top w:val="none" w:sz="0" w:space="0" w:color="auto"/>
        <w:left w:val="none" w:sz="0" w:space="0" w:color="auto"/>
        <w:bottom w:val="none" w:sz="0" w:space="0" w:color="auto"/>
        <w:right w:val="none" w:sz="0" w:space="0" w:color="auto"/>
      </w:divBdr>
    </w:div>
    <w:div w:id="1799450098">
      <w:bodyDiv w:val="1"/>
      <w:marLeft w:val="0"/>
      <w:marRight w:val="0"/>
      <w:marTop w:val="0"/>
      <w:marBottom w:val="0"/>
      <w:divBdr>
        <w:top w:val="none" w:sz="0" w:space="0" w:color="auto"/>
        <w:left w:val="none" w:sz="0" w:space="0" w:color="auto"/>
        <w:bottom w:val="none" w:sz="0" w:space="0" w:color="auto"/>
        <w:right w:val="none" w:sz="0" w:space="0" w:color="auto"/>
      </w:divBdr>
    </w:div>
    <w:div w:id="1812945499">
      <w:bodyDiv w:val="1"/>
      <w:marLeft w:val="0"/>
      <w:marRight w:val="0"/>
      <w:marTop w:val="0"/>
      <w:marBottom w:val="0"/>
      <w:divBdr>
        <w:top w:val="none" w:sz="0" w:space="0" w:color="auto"/>
        <w:left w:val="none" w:sz="0" w:space="0" w:color="auto"/>
        <w:bottom w:val="none" w:sz="0" w:space="0" w:color="auto"/>
        <w:right w:val="none" w:sz="0" w:space="0" w:color="auto"/>
      </w:divBdr>
    </w:div>
    <w:div w:id="1823815597">
      <w:bodyDiv w:val="1"/>
      <w:marLeft w:val="0"/>
      <w:marRight w:val="0"/>
      <w:marTop w:val="0"/>
      <w:marBottom w:val="0"/>
      <w:divBdr>
        <w:top w:val="none" w:sz="0" w:space="0" w:color="auto"/>
        <w:left w:val="none" w:sz="0" w:space="0" w:color="auto"/>
        <w:bottom w:val="none" w:sz="0" w:space="0" w:color="auto"/>
        <w:right w:val="none" w:sz="0" w:space="0" w:color="auto"/>
      </w:divBdr>
    </w:div>
    <w:div w:id="1902128729">
      <w:bodyDiv w:val="1"/>
      <w:marLeft w:val="0"/>
      <w:marRight w:val="0"/>
      <w:marTop w:val="0"/>
      <w:marBottom w:val="0"/>
      <w:divBdr>
        <w:top w:val="none" w:sz="0" w:space="0" w:color="auto"/>
        <w:left w:val="none" w:sz="0" w:space="0" w:color="auto"/>
        <w:bottom w:val="none" w:sz="0" w:space="0" w:color="auto"/>
        <w:right w:val="none" w:sz="0" w:space="0" w:color="auto"/>
      </w:divBdr>
    </w:div>
    <w:div w:id="1939632854">
      <w:bodyDiv w:val="1"/>
      <w:marLeft w:val="0"/>
      <w:marRight w:val="0"/>
      <w:marTop w:val="0"/>
      <w:marBottom w:val="0"/>
      <w:divBdr>
        <w:top w:val="none" w:sz="0" w:space="0" w:color="auto"/>
        <w:left w:val="none" w:sz="0" w:space="0" w:color="auto"/>
        <w:bottom w:val="none" w:sz="0" w:space="0" w:color="auto"/>
        <w:right w:val="none" w:sz="0" w:space="0" w:color="auto"/>
      </w:divBdr>
    </w:div>
    <w:div w:id="1958297505">
      <w:bodyDiv w:val="1"/>
      <w:marLeft w:val="0"/>
      <w:marRight w:val="0"/>
      <w:marTop w:val="0"/>
      <w:marBottom w:val="0"/>
      <w:divBdr>
        <w:top w:val="none" w:sz="0" w:space="0" w:color="auto"/>
        <w:left w:val="none" w:sz="0" w:space="0" w:color="auto"/>
        <w:bottom w:val="none" w:sz="0" w:space="0" w:color="auto"/>
        <w:right w:val="none" w:sz="0" w:space="0" w:color="auto"/>
      </w:divBdr>
    </w:div>
    <w:div w:id="1978367394">
      <w:bodyDiv w:val="1"/>
      <w:marLeft w:val="0"/>
      <w:marRight w:val="0"/>
      <w:marTop w:val="0"/>
      <w:marBottom w:val="0"/>
      <w:divBdr>
        <w:top w:val="none" w:sz="0" w:space="0" w:color="auto"/>
        <w:left w:val="none" w:sz="0" w:space="0" w:color="auto"/>
        <w:bottom w:val="none" w:sz="0" w:space="0" w:color="auto"/>
        <w:right w:val="none" w:sz="0" w:space="0" w:color="auto"/>
      </w:divBdr>
    </w:div>
    <w:div w:id="1989363257">
      <w:bodyDiv w:val="1"/>
      <w:marLeft w:val="0"/>
      <w:marRight w:val="0"/>
      <w:marTop w:val="0"/>
      <w:marBottom w:val="0"/>
      <w:divBdr>
        <w:top w:val="none" w:sz="0" w:space="0" w:color="auto"/>
        <w:left w:val="none" w:sz="0" w:space="0" w:color="auto"/>
        <w:bottom w:val="none" w:sz="0" w:space="0" w:color="auto"/>
        <w:right w:val="none" w:sz="0" w:space="0" w:color="auto"/>
      </w:divBdr>
    </w:div>
    <w:div w:id="2046323747">
      <w:bodyDiv w:val="1"/>
      <w:marLeft w:val="0"/>
      <w:marRight w:val="0"/>
      <w:marTop w:val="0"/>
      <w:marBottom w:val="0"/>
      <w:divBdr>
        <w:top w:val="none" w:sz="0" w:space="0" w:color="auto"/>
        <w:left w:val="none" w:sz="0" w:space="0" w:color="auto"/>
        <w:bottom w:val="none" w:sz="0" w:space="0" w:color="auto"/>
        <w:right w:val="none" w:sz="0" w:space="0" w:color="auto"/>
      </w:divBdr>
    </w:div>
    <w:div w:id="2048291320">
      <w:bodyDiv w:val="1"/>
      <w:marLeft w:val="0"/>
      <w:marRight w:val="0"/>
      <w:marTop w:val="0"/>
      <w:marBottom w:val="0"/>
      <w:divBdr>
        <w:top w:val="none" w:sz="0" w:space="0" w:color="auto"/>
        <w:left w:val="none" w:sz="0" w:space="0" w:color="auto"/>
        <w:bottom w:val="none" w:sz="0" w:space="0" w:color="auto"/>
        <w:right w:val="none" w:sz="0" w:space="0" w:color="auto"/>
      </w:divBdr>
    </w:div>
    <w:div w:id="2071685859">
      <w:bodyDiv w:val="1"/>
      <w:marLeft w:val="0"/>
      <w:marRight w:val="0"/>
      <w:marTop w:val="0"/>
      <w:marBottom w:val="0"/>
      <w:divBdr>
        <w:top w:val="none" w:sz="0" w:space="0" w:color="auto"/>
        <w:left w:val="none" w:sz="0" w:space="0" w:color="auto"/>
        <w:bottom w:val="none" w:sz="0" w:space="0" w:color="auto"/>
        <w:right w:val="none" w:sz="0" w:space="0" w:color="auto"/>
      </w:divBdr>
    </w:div>
    <w:div w:id="2111732228">
      <w:bodyDiv w:val="1"/>
      <w:marLeft w:val="0"/>
      <w:marRight w:val="0"/>
      <w:marTop w:val="0"/>
      <w:marBottom w:val="0"/>
      <w:divBdr>
        <w:top w:val="none" w:sz="0" w:space="0" w:color="auto"/>
        <w:left w:val="none" w:sz="0" w:space="0" w:color="auto"/>
        <w:bottom w:val="none" w:sz="0" w:space="0" w:color="auto"/>
        <w:right w:val="none" w:sz="0" w:space="0" w:color="auto"/>
      </w:divBdr>
    </w:div>
    <w:div w:id="213027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duerschmied@umm.de"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rald.langer@umm.de"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1D5B4-532C-6642-9463-B8752A52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42</Pages>
  <Words>5665</Words>
  <Characters>32291</Characters>
  <Application>Microsoft Office Word</Application>
  <DocSecurity>0</DocSecurity>
  <Lines>269</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Schommer</dc:creator>
  <cp:keywords/>
  <dc:description/>
  <cp:lastModifiedBy>Monja Schommer</cp:lastModifiedBy>
  <cp:revision>150</cp:revision>
  <dcterms:created xsi:type="dcterms:W3CDTF">2025-12-09T03:15:00Z</dcterms:created>
  <dcterms:modified xsi:type="dcterms:W3CDTF">2026-01-12T20:13:00Z</dcterms:modified>
</cp:coreProperties>
</file>