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8886E" w14:textId="6496702A" w:rsidR="00FE36C9" w:rsidRDefault="00FE36C9" w:rsidP="00FE36C9">
      <w:pPr>
        <w:rPr>
          <w:rFonts w:ascii="Arial" w:hAnsi="Arial" w:cs="Arial"/>
          <w:b/>
          <w:bCs/>
          <w:color w:val="000000" w:themeColor="text1"/>
        </w:rPr>
      </w:pPr>
      <w:r w:rsidRPr="00B865FE">
        <w:rPr>
          <w:rFonts w:ascii="Arial" w:hAnsi="Arial" w:cs="Arial"/>
          <w:b/>
          <w:bCs/>
          <w:color w:val="000000" w:themeColor="text1"/>
        </w:rPr>
        <w:t xml:space="preserve">Supplementary </w:t>
      </w:r>
      <w:r>
        <w:rPr>
          <w:rFonts w:ascii="Arial" w:hAnsi="Arial" w:cs="Arial"/>
          <w:b/>
          <w:bCs/>
          <w:color w:val="000000" w:themeColor="text1"/>
        </w:rPr>
        <w:t xml:space="preserve">Information for </w:t>
      </w:r>
    </w:p>
    <w:p w14:paraId="68221A45" w14:textId="77777777" w:rsidR="00FE36C9" w:rsidRDefault="00FE36C9" w:rsidP="00FE36C9">
      <w:pPr>
        <w:rPr>
          <w:rFonts w:ascii="Arial" w:hAnsi="Arial" w:cs="Arial"/>
          <w:b/>
          <w:bCs/>
          <w:color w:val="000000" w:themeColor="text1"/>
        </w:rPr>
      </w:pPr>
    </w:p>
    <w:p w14:paraId="67FB238D" w14:textId="77777777" w:rsidR="00FE36C9" w:rsidRPr="00B865FE" w:rsidRDefault="00FE36C9" w:rsidP="00FE36C9">
      <w:pPr>
        <w:pStyle w:val="Title"/>
        <w:rPr>
          <w:rFonts w:ascii="Arial" w:hAnsi="Arial" w:cs="Arial"/>
          <w:b/>
          <w:bCs/>
          <w:color w:val="000000" w:themeColor="text1"/>
          <w:sz w:val="24"/>
          <w:szCs w:val="24"/>
        </w:rPr>
      </w:pPr>
      <w:r w:rsidRPr="00B865FE">
        <w:rPr>
          <w:rFonts w:ascii="Arial" w:hAnsi="Arial" w:cs="Arial"/>
          <w:b/>
          <w:bCs/>
          <w:color w:val="000000" w:themeColor="text1"/>
          <w:sz w:val="24"/>
          <w:szCs w:val="24"/>
        </w:rPr>
        <w:t>Effects of altered gravity on adrenergic-mediated cAMP signalling in intact cells</w:t>
      </w:r>
    </w:p>
    <w:p w14:paraId="288FC8B1" w14:textId="77777777" w:rsidR="00FE36C9" w:rsidRPr="00B865FE" w:rsidRDefault="00FE36C9" w:rsidP="00FE36C9">
      <w:pPr>
        <w:rPr>
          <w:rFonts w:ascii="Arial" w:hAnsi="Arial" w:cs="Arial"/>
          <w:color w:val="000000" w:themeColor="text1"/>
        </w:rPr>
      </w:pPr>
    </w:p>
    <w:p w14:paraId="2F12FA6E" w14:textId="77777777" w:rsidR="00FE36C9" w:rsidRPr="00B865FE" w:rsidRDefault="00FE36C9" w:rsidP="00FE36C9">
      <w:pPr>
        <w:rPr>
          <w:rFonts w:ascii="Arial" w:hAnsi="Arial" w:cs="Arial"/>
          <w:color w:val="000000" w:themeColor="text1"/>
          <w:sz w:val="22"/>
          <w:szCs w:val="22"/>
          <w:lang w:val="fr-FR"/>
        </w:rPr>
      </w:pPr>
      <w:r w:rsidRPr="00B865FE">
        <w:rPr>
          <w:rFonts w:ascii="Arial" w:hAnsi="Arial" w:cs="Arial"/>
          <w:color w:val="000000" w:themeColor="text1"/>
          <w:sz w:val="22"/>
          <w:szCs w:val="22"/>
          <w:lang w:val="fr-FR"/>
        </w:rPr>
        <w:t>Marc Bathe-Peters</w:t>
      </w:r>
      <w:r w:rsidRPr="00B865FE">
        <w:rPr>
          <w:rFonts w:ascii="Arial" w:hAnsi="Arial" w:cs="Arial"/>
          <w:color w:val="000000" w:themeColor="text1"/>
          <w:sz w:val="22"/>
          <w:szCs w:val="22"/>
          <w:vertAlign w:val="superscript"/>
          <w:lang w:val="fr-FR"/>
        </w:rPr>
        <w:t>1*</w:t>
      </w:r>
      <w:r w:rsidRPr="00B865FE">
        <w:rPr>
          <w:rFonts w:ascii="Arial" w:hAnsi="Arial" w:cs="Arial"/>
          <w:color w:val="000000" w:themeColor="text1"/>
          <w:sz w:val="22"/>
          <w:szCs w:val="22"/>
          <w:lang w:val="fr-FR"/>
        </w:rPr>
        <w:t>, Iqra Sohail</w:t>
      </w:r>
      <w:r w:rsidRPr="00B865FE">
        <w:rPr>
          <w:rFonts w:ascii="Arial" w:hAnsi="Arial" w:cs="Arial"/>
          <w:color w:val="000000" w:themeColor="text1"/>
          <w:sz w:val="22"/>
          <w:szCs w:val="22"/>
          <w:vertAlign w:val="superscript"/>
          <w:lang w:val="fr-FR"/>
        </w:rPr>
        <w:t>2*</w:t>
      </w:r>
      <w:r w:rsidRPr="00B865FE">
        <w:rPr>
          <w:rFonts w:ascii="Arial" w:hAnsi="Arial" w:cs="Arial"/>
          <w:color w:val="000000" w:themeColor="text1"/>
          <w:sz w:val="22"/>
          <w:szCs w:val="22"/>
          <w:lang w:val="fr-FR"/>
        </w:rPr>
        <w:t>, Alexei Sirbu</w:t>
      </w:r>
      <w:r w:rsidRPr="00B865FE">
        <w:rPr>
          <w:rFonts w:ascii="Arial" w:hAnsi="Arial" w:cs="Arial"/>
          <w:color w:val="000000" w:themeColor="text1"/>
          <w:sz w:val="22"/>
          <w:szCs w:val="22"/>
          <w:vertAlign w:val="superscript"/>
          <w:lang w:val="fr-FR"/>
        </w:rPr>
        <w:t>2</w:t>
      </w:r>
      <w:r w:rsidRPr="00B865FE">
        <w:rPr>
          <w:rFonts w:ascii="Arial" w:hAnsi="Arial" w:cs="Arial"/>
          <w:color w:val="000000" w:themeColor="text1"/>
          <w:sz w:val="22"/>
          <w:szCs w:val="22"/>
          <w:lang w:val="fr-FR"/>
        </w:rPr>
        <w:t>, Katharina Schneider</w:t>
      </w:r>
      <w:r w:rsidRPr="00B865FE">
        <w:rPr>
          <w:rFonts w:ascii="Arial" w:hAnsi="Arial" w:cs="Arial"/>
          <w:color w:val="000000" w:themeColor="text1"/>
          <w:sz w:val="22"/>
          <w:szCs w:val="22"/>
          <w:vertAlign w:val="superscript"/>
          <w:lang w:val="fr-FR"/>
        </w:rPr>
        <w:t>2</w:t>
      </w:r>
      <w:r w:rsidRPr="00B865FE">
        <w:rPr>
          <w:rFonts w:ascii="Arial" w:hAnsi="Arial" w:cs="Arial"/>
          <w:color w:val="000000" w:themeColor="text1"/>
          <w:sz w:val="22"/>
          <w:szCs w:val="22"/>
          <w:lang w:val="fr-FR"/>
        </w:rPr>
        <w:t>, Tommaso Patriarchi</w:t>
      </w:r>
      <w:r w:rsidRPr="00B865FE">
        <w:rPr>
          <w:rFonts w:ascii="Arial" w:hAnsi="Arial" w:cs="Arial"/>
          <w:color w:val="000000" w:themeColor="text1"/>
          <w:sz w:val="22"/>
          <w:szCs w:val="22"/>
          <w:vertAlign w:val="superscript"/>
          <w:lang w:val="fr-FR"/>
        </w:rPr>
        <w:t>3</w:t>
      </w:r>
      <w:r w:rsidRPr="00B865FE">
        <w:rPr>
          <w:rFonts w:ascii="Arial" w:hAnsi="Arial" w:cs="Arial"/>
          <w:color w:val="000000" w:themeColor="text1"/>
          <w:sz w:val="22"/>
          <w:szCs w:val="22"/>
          <w:lang w:val="fr-FR"/>
        </w:rPr>
        <w:t>, Anantha Anilkumar</w:t>
      </w:r>
      <w:r w:rsidRPr="00B865FE">
        <w:rPr>
          <w:rFonts w:ascii="Arial" w:hAnsi="Arial" w:cs="Arial"/>
          <w:color w:val="000000" w:themeColor="text1"/>
          <w:sz w:val="22"/>
          <w:szCs w:val="22"/>
          <w:vertAlign w:val="superscript"/>
          <w:lang w:val="fr-FR"/>
        </w:rPr>
        <w:t>1</w:t>
      </w:r>
      <w:r w:rsidRPr="00B865FE">
        <w:rPr>
          <w:rFonts w:ascii="Arial" w:hAnsi="Arial" w:cs="Arial"/>
          <w:color w:val="000000" w:themeColor="text1"/>
          <w:sz w:val="22"/>
          <w:szCs w:val="22"/>
          <w:lang w:val="fr-FR"/>
        </w:rPr>
        <w:t>, Yannick Lichterfeld</w:t>
      </w:r>
      <w:r w:rsidRPr="00B865FE">
        <w:rPr>
          <w:rFonts w:ascii="Arial" w:hAnsi="Arial" w:cs="Arial"/>
          <w:color w:val="000000" w:themeColor="text1"/>
          <w:sz w:val="22"/>
          <w:szCs w:val="22"/>
          <w:vertAlign w:val="superscript"/>
          <w:lang w:val="fr-FR"/>
        </w:rPr>
        <w:t>4</w:t>
      </w:r>
      <w:r w:rsidRPr="00B865FE">
        <w:rPr>
          <w:rFonts w:ascii="Arial" w:hAnsi="Arial" w:cs="Arial"/>
          <w:color w:val="000000" w:themeColor="text1"/>
          <w:sz w:val="22"/>
          <w:szCs w:val="22"/>
          <w:lang w:val="fr-FR"/>
        </w:rPr>
        <w:t>, Christian Liemersdorf</w:t>
      </w:r>
      <w:r w:rsidRPr="00B865FE">
        <w:rPr>
          <w:rFonts w:ascii="Arial" w:hAnsi="Arial" w:cs="Arial"/>
          <w:color w:val="000000" w:themeColor="text1"/>
          <w:sz w:val="22"/>
          <w:szCs w:val="22"/>
          <w:vertAlign w:val="superscript"/>
          <w:lang w:val="fr-FR"/>
        </w:rPr>
        <w:t>4</w:t>
      </w:r>
      <w:r w:rsidRPr="00B865FE">
        <w:rPr>
          <w:rFonts w:ascii="Arial" w:hAnsi="Arial" w:cs="Arial"/>
          <w:color w:val="000000" w:themeColor="text1"/>
          <w:sz w:val="22"/>
          <w:szCs w:val="22"/>
          <w:lang w:val="fr-FR"/>
        </w:rPr>
        <w:t>, Primal de Lanerolle</w:t>
      </w:r>
      <w:r w:rsidRPr="00B865FE">
        <w:rPr>
          <w:rFonts w:ascii="Arial" w:hAnsi="Arial" w:cs="Arial"/>
          <w:color w:val="000000" w:themeColor="text1"/>
          <w:sz w:val="22"/>
          <w:szCs w:val="22"/>
          <w:vertAlign w:val="superscript"/>
          <w:lang w:val="fr-FR"/>
        </w:rPr>
        <w:t>5</w:t>
      </w:r>
      <w:r w:rsidRPr="00B865FE">
        <w:rPr>
          <w:rFonts w:ascii="Arial" w:hAnsi="Arial" w:cs="Arial"/>
          <w:color w:val="000000" w:themeColor="text1"/>
          <w:sz w:val="22"/>
          <w:szCs w:val="22"/>
          <w:lang w:val="fr-FR"/>
        </w:rPr>
        <w:t>, Paolo Annibale</w:t>
      </w:r>
      <w:r w:rsidRPr="00B865FE">
        <w:rPr>
          <w:rFonts w:ascii="Arial" w:hAnsi="Arial" w:cs="Arial"/>
          <w:color w:val="000000" w:themeColor="text1"/>
          <w:sz w:val="22"/>
          <w:szCs w:val="22"/>
          <w:vertAlign w:val="superscript"/>
          <w:lang w:val="fr-FR"/>
        </w:rPr>
        <w:t>1,2,6</w:t>
      </w:r>
    </w:p>
    <w:p w14:paraId="061E166C" w14:textId="77777777" w:rsidR="00FE36C9" w:rsidRPr="00B865FE" w:rsidRDefault="00FE36C9" w:rsidP="00FE36C9">
      <w:pPr>
        <w:spacing w:after="160" w:line="259" w:lineRule="auto"/>
        <w:rPr>
          <w:rFonts w:ascii="Arial" w:hAnsi="Arial" w:cs="Arial"/>
          <w:color w:val="000000" w:themeColor="text1"/>
          <w:sz w:val="20"/>
          <w:szCs w:val="20"/>
        </w:rPr>
      </w:pPr>
    </w:p>
    <w:p w14:paraId="4B4ED326" w14:textId="77777777" w:rsidR="00FE36C9" w:rsidRPr="00B865FE" w:rsidRDefault="00FE36C9" w:rsidP="00FE36C9">
      <w:pPr>
        <w:spacing w:after="160"/>
        <w:rPr>
          <w:rFonts w:ascii="Arial" w:hAnsi="Arial" w:cs="Arial"/>
          <w:color w:val="000000" w:themeColor="text1"/>
          <w:sz w:val="20"/>
          <w:szCs w:val="20"/>
        </w:rPr>
      </w:pPr>
      <w:r w:rsidRPr="00B865FE">
        <w:rPr>
          <w:rFonts w:ascii="Arial" w:hAnsi="Arial" w:cs="Arial"/>
          <w:color w:val="000000" w:themeColor="text1"/>
          <w:sz w:val="20"/>
          <w:szCs w:val="20"/>
        </w:rPr>
        <w:t>1 School of Physics and Astronomy, University of St Andrews, St Andrews, United Kingdom</w:t>
      </w:r>
    </w:p>
    <w:p w14:paraId="2A072F33" w14:textId="77777777" w:rsidR="00FE36C9" w:rsidRPr="00B865FE" w:rsidRDefault="00FE36C9" w:rsidP="00FE36C9">
      <w:pPr>
        <w:spacing w:after="160"/>
        <w:rPr>
          <w:rFonts w:ascii="Arial" w:hAnsi="Arial" w:cs="Arial"/>
          <w:color w:val="000000" w:themeColor="text1"/>
          <w:sz w:val="20"/>
          <w:szCs w:val="20"/>
        </w:rPr>
      </w:pPr>
      <w:r w:rsidRPr="00B865FE">
        <w:rPr>
          <w:rFonts w:ascii="Arial" w:hAnsi="Arial" w:cs="Arial"/>
          <w:color w:val="000000" w:themeColor="text1"/>
          <w:sz w:val="20"/>
          <w:szCs w:val="20"/>
        </w:rPr>
        <w:t>2 Max-Delbrück-Center for Molecular Medicine, Berlin, Germany</w:t>
      </w:r>
    </w:p>
    <w:p w14:paraId="70AA7B8F" w14:textId="77777777" w:rsidR="00FE36C9" w:rsidRPr="00B865FE" w:rsidRDefault="00FE36C9" w:rsidP="00FE36C9">
      <w:pPr>
        <w:spacing w:after="160"/>
        <w:rPr>
          <w:rFonts w:ascii="Arial" w:hAnsi="Arial" w:cs="Arial"/>
          <w:color w:val="000000" w:themeColor="text1"/>
          <w:sz w:val="20"/>
          <w:szCs w:val="20"/>
        </w:rPr>
      </w:pPr>
      <w:r w:rsidRPr="00B865FE">
        <w:rPr>
          <w:rFonts w:ascii="Arial" w:hAnsi="Arial" w:cs="Arial"/>
          <w:color w:val="000000" w:themeColor="text1"/>
          <w:sz w:val="20"/>
          <w:szCs w:val="20"/>
        </w:rPr>
        <w:t>3 Institute of Pharmacology and Toxicology, University of Zürich and Neuroscience Center Zürich (ZNZ), ETH and University of Zürich, Zürich, Switzerland</w:t>
      </w:r>
    </w:p>
    <w:p w14:paraId="57531A74" w14:textId="77777777" w:rsidR="00FE36C9" w:rsidRPr="00B865FE" w:rsidRDefault="00FE36C9" w:rsidP="00FE36C9">
      <w:pPr>
        <w:spacing w:after="160"/>
        <w:rPr>
          <w:rFonts w:ascii="Arial" w:hAnsi="Arial" w:cs="Arial"/>
          <w:color w:val="000000" w:themeColor="text1"/>
          <w:sz w:val="20"/>
          <w:szCs w:val="20"/>
          <w:lang w:val="de-DE"/>
        </w:rPr>
      </w:pPr>
      <w:r w:rsidRPr="00B865FE">
        <w:rPr>
          <w:rFonts w:ascii="Arial" w:hAnsi="Arial" w:cs="Arial"/>
          <w:color w:val="000000" w:themeColor="text1"/>
          <w:sz w:val="20"/>
          <w:szCs w:val="20"/>
          <w:lang w:val="de-DE"/>
        </w:rPr>
        <w:t>4 Institute for Aerospace Medicine, Deutsches Zentrum für Luft- und Raumfahrt, Cologne, Germany</w:t>
      </w:r>
    </w:p>
    <w:p w14:paraId="2A2AB792" w14:textId="77777777" w:rsidR="00FE36C9" w:rsidRPr="00B865FE" w:rsidRDefault="00FE36C9" w:rsidP="00FE36C9">
      <w:pPr>
        <w:spacing w:after="160"/>
        <w:rPr>
          <w:rFonts w:ascii="Arial" w:eastAsiaTheme="minorHAnsi" w:hAnsi="Arial" w:cs="Arial"/>
          <w:color w:val="000000" w:themeColor="text1"/>
          <w:sz w:val="20"/>
          <w:szCs w:val="20"/>
          <w:lang w:eastAsia="en-US"/>
        </w:rPr>
      </w:pPr>
      <w:r w:rsidRPr="00B865FE">
        <w:rPr>
          <w:rFonts w:ascii="Arial" w:hAnsi="Arial" w:cs="Arial"/>
          <w:color w:val="000000" w:themeColor="text1"/>
          <w:sz w:val="20"/>
          <w:szCs w:val="20"/>
        </w:rPr>
        <w:t xml:space="preserve">5 </w:t>
      </w:r>
      <w:r w:rsidRPr="00B865FE">
        <w:rPr>
          <w:rFonts w:ascii="Arial" w:eastAsiaTheme="minorHAnsi" w:hAnsi="Arial" w:cs="Arial"/>
          <w:color w:val="000000" w:themeColor="text1"/>
          <w:sz w:val="20"/>
          <w:szCs w:val="20"/>
          <w:lang w:eastAsia="en-US"/>
        </w:rPr>
        <w:t>Department of Physiology and Biophysics, College of Medicine, University of Illinois at Chicago, United States</w:t>
      </w:r>
    </w:p>
    <w:p w14:paraId="43D1374D" w14:textId="77777777" w:rsidR="00FE36C9" w:rsidRPr="00B865FE" w:rsidRDefault="00FE36C9" w:rsidP="00FE36C9">
      <w:pPr>
        <w:rPr>
          <w:rFonts w:ascii="Arial" w:hAnsi="Arial" w:cs="Arial"/>
          <w:color w:val="000000" w:themeColor="text1"/>
          <w:sz w:val="20"/>
          <w:szCs w:val="20"/>
        </w:rPr>
      </w:pPr>
      <w:r w:rsidRPr="00B865FE">
        <w:rPr>
          <w:rFonts w:ascii="Arial" w:hAnsi="Arial" w:cs="Arial"/>
          <w:color w:val="000000" w:themeColor="text1"/>
          <w:sz w:val="20"/>
          <w:szCs w:val="20"/>
        </w:rPr>
        <w:t>6 Correspondence to pa53@st-andrews.ac.uk</w:t>
      </w:r>
    </w:p>
    <w:p w14:paraId="3EEA33F2" w14:textId="77777777" w:rsidR="00FE36C9" w:rsidRDefault="00FE36C9" w:rsidP="00FE36C9">
      <w:pPr>
        <w:rPr>
          <w:rFonts w:ascii="Arial" w:hAnsi="Arial" w:cs="Arial"/>
          <w:b/>
          <w:bCs/>
          <w:color w:val="000000" w:themeColor="text1"/>
        </w:rPr>
      </w:pPr>
    </w:p>
    <w:p w14:paraId="1224366B" w14:textId="77777777" w:rsidR="00FE36C9" w:rsidRDefault="00FE36C9" w:rsidP="00FE36C9">
      <w:pPr>
        <w:rPr>
          <w:rFonts w:ascii="Arial" w:hAnsi="Arial" w:cs="Arial"/>
          <w:b/>
          <w:bCs/>
          <w:color w:val="000000" w:themeColor="text1"/>
        </w:rPr>
      </w:pPr>
      <w:r>
        <w:rPr>
          <w:rFonts w:ascii="Arial" w:hAnsi="Arial" w:cs="Arial"/>
          <w:b/>
          <w:bCs/>
          <w:color w:val="000000" w:themeColor="text1"/>
        </w:rPr>
        <w:t>This files contains:</w:t>
      </w:r>
    </w:p>
    <w:p w14:paraId="0BADF8C7" w14:textId="23E30808" w:rsidR="00FE36C9" w:rsidRDefault="00FE36C9" w:rsidP="00FE36C9">
      <w:pPr>
        <w:rPr>
          <w:rFonts w:ascii="Arial" w:hAnsi="Arial" w:cs="Arial"/>
          <w:b/>
          <w:bCs/>
          <w:color w:val="000000" w:themeColor="text1"/>
        </w:rPr>
      </w:pPr>
      <w:r>
        <w:rPr>
          <w:rFonts w:ascii="Arial" w:hAnsi="Arial" w:cs="Arial"/>
          <w:b/>
          <w:bCs/>
          <w:color w:val="000000" w:themeColor="text1"/>
        </w:rPr>
        <w:t>Supplementary Figures S1-S</w:t>
      </w:r>
      <w:r w:rsidR="00ED77EB">
        <w:rPr>
          <w:rFonts w:ascii="Arial" w:hAnsi="Arial" w:cs="Arial"/>
          <w:b/>
          <w:bCs/>
          <w:color w:val="000000" w:themeColor="text1"/>
        </w:rPr>
        <w:t>10</w:t>
      </w:r>
    </w:p>
    <w:p w14:paraId="33775E3B" w14:textId="0ACD93DB" w:rsidR="00FE36C9" w:rsidRDefault="00FE36C9" w:rsidP="00FE36C9">
      <w:pPr>
        <w:rPr>
          <w:rFonts w:ascii="Arial" w:hAnsi="Arial" w:cs="Arial"/>
          <w:b/>
          <w:bCs/>
          <w:color w:val="000000" w:themeColor="text1"/>
        </w:rPr>
      </w:pPr>
      <w:r>
        <w:rPr>
          <w:rFonts w:ascii="Arial" w:hAnsi="Arial" w:cs="Arial"/>
          <w:b/>
          <w:bCs/>
          <w:color w:val="000000" w:themeColor="text1"/>
        </w:rPr>
        <w:t>Supplementary Table 1</w:t>
      </w:r>
    </w:p>
    <w:p w14:paraId="0519CDCD" w14:textId="77777777" w:rsidR="004617D0" w:rsidRPr="00AF512C" w:rsidRDefault="00FE36C9" w:rsidP="004617D0">
      <w:pPr>
        <w:rPr>
          <w:rFonts w:ascii="Arial" w:hAnsi="Arial" w:cs="Arial"/>
          <w:b/>
          <w:bCs/>
          <w:color w:val="000000" w:themeColor="text1"/>
        </w:rPr>
      </w:pPr>
      <w:r>
        <w:rPr>
          <w:rFonts w:ascii="Arial" w:hAnsi="Arial" w:cs="Arial"/>
          <w:b/>
          <w:bCs/>
          <w:color w:val="000000" w:themeColor="text1"/>
        </w:rPr>
        <w:br w:type="page"/>
      </w:r>
      <w:r w:rsidR="004617D0" w:rsidRPr="00AF512C">
        <w:rPr>
          <w:rFonts w:ascii="Arial" w:hAnsi="Arial" w:cs="Arial"/>
          <w:b/>
          <w:bCs/>
          <w:color w:val="000000" w:themeColor="text1"/>
        </w:rPr>
        <w:lastRenderedPageBreak/>
        <w:t>Supplementary Figures</w:t>
      </w:r>
    </w:p>
    <w:p w14:paraId="49F8DD01" w14:textId="77777777" w:rsidR="004617D0" w:rsidRPr="00AF512C" w:rsidRDefault="004617D0" w:rsidP="004617D0">
      <w:pPr>
        <w:pStyle w:val="Caption"/>
        <w:jc w:val="both"/>
        <w:rPr>
          <w:rFonts w:ascii="Arial" w:hAnsi="Arial" w:cs="Arial"/>
          <w:b/>
          <w:bCs/>
          <w:color w:val="000000" w:themeColor="text1"/>
          <w:sz w:val="22"/>
          <w:szCs w:val="22"/>
        </w:rPr>
      </w:pPr>
      <w:r w:rsidRPr="00AF512C">
        <w:rPr>
          <w:rFonts w:ascii="Arial" w:hAnsi="Arial" w:cs="Arial"/>
          <w:b/>
          <w:bCs/>
          <w:noProof/>
          <w:color w:val="000000" w:themeColor="text1"/>
          <w:sz w:val="22"/>
          <w:szCs w:val="22"/>
        </w:rPr>
        <w:drawing>
          <wp:inline distT="0" distB="0" distL="0" distR="0" wp14:anchorId="02B5D93D" wp14:editId="155BB721">
            <wp:extent cx="3781979" cy="2103120"/>
            <wp:effectExtent l="0" t="0" r="3175" b="0"/>
            <wp:docPr id="1920518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18332" name=""/>
                    <pic:cNvPicPr/>
                  </pic:nvPicPr>
                  <pic:blipFill>
                    <a:blip r:embed="rId7"/>
                    <a:stretch>
                      <a:fillRect/>
                    </a:stretch>
                  </pic:blipFill>
                  <pic:spPr>
                    <a:xfrm>
                      <a:off x="0" y="0"/>
                      <a:ext cx="3821041" cy="2124842"/>
                    </a:xfrm>
                    <a:prstGeom prst="rect">
                      <a:avLst/>
                    </a:prstGeom>
                  </pic:spPr>
                </pic:pic>
              </a:graphicData>
            </a:graphic>
          </wp:inline>
        </w:drawing>
      </w:r>
      <w:r w:rsidRPr="00AF512C">
        <w:rPr>
          <w:rFonts w:ascii="Arial" w:hAnsi="Arial" w:cs="Arial"/>
          <w:b/>
          <w:bCs/>
          <w:color w:val="000000" w:themeColor="text1"/>
          <w:sz w:val="22"/>
          <w:szCs w:val="22"/>
        </w:rPr>
        <w:t xml:space="preserve"> </w:t>
      </w:r>
    </w:p>
    <w:p w14:paraId="6B435DA8" w14:textId="77777777" w:rsidR="004617D0" w:rsidRPr="00AF512C" w:rsidRDefault="004617D0" w:rsidP="004617D0">
      <w:pPr>
        <w:pStyle w:val="Caption"/>
        <w:jc w:val="both"/>
        <w:rPr>
          <w:rFonts w:ascii="Arial" w:hAnsi="Arial" w:cs="Arial"/>
          <w:i w:val="0"/>
          <w:iCs w:val="0"/>
          <w:color w:val="000000" w:themeColor="text1"/>
          <w:sz w:val="22"/>
          <w:szCs w:val="22"/>
        </w:rPr>
      </w:pPr>
      <w:r w:rsidRPr="00AF512C">
        <w:rPr>
          <w:rFonts w:ascii="Arial" w:hAnsi="Arial" w:cs="Arial"/>
          <w:b/>
          <w:bCs/>
          <w:i w:val="0"/>
          <w:iCs w:val="0"/>
          <w:color w:val="000000" w:themeColor="text1"/>
          <w:sz w:val="22"/>
          <w:szCs w:val="22"/>
        </w:rPr>
        <w:t>Figure S1. Effect of fixation on FRET readout for HEK293 cells transiently transfected with EPAC-S</w:t>
      </w:r>
      <w:r w:rsidRPr="00AF512C">
        <w:rPr>
          <w:rFonts w:ascii="Arial" w:hAnsi="Arial" w:cs="Arial"/>
          <w:b/>
          <w:bCs/>
          <w:i w:val="0"/>
          <w:iCs w:val="0"/>
          <w:color w:val="000000" w:themeColor="text1"/>
          <w:sz w:val="22"/>
          <w:szCs w:val="22"/>
          <w:vertAlign w:val="superscript"/>
        </w:rPr>
        <w:t>H187</w:t>
      </w:r>
      <w:r w:rsidRPr="00AF512C">
        <w:rPr>
          <w:rFonts w:ascii="Arial" w:hAnsi="Arial" w:cs="Arial"/>
          <w:i w:val="0"/>
          <w:iCs w:val="0"/>
          <w:color w:val="000000" w:themeColor="text1"/>
          <w:sz w:val="22"/>
          <w:szCs w:val="22"/>
        </w:rPr>
        <w:t xml:space="preserve">. cAMP concentration as a function of Isoproterenol(Iso) stimulus comparing live vs chemically fixed HEK293 cells using. Fixation was achieved by a combination of 4% Paraformaldehyde and 0.2% Gluteraldehyde, for 10 minutes at room temperature. n=1 replicate. </w:t>
      </w:r>
    </w:p>
    <w:p w14:paraId="126CDE42" w14:textId="77777777" w:rsidR="004617D0" w:rsidRPr="00AF512C" w:rsidRDefault="004617D0" w:rsidP="004617D0">
      <w:pPr>
        <w:keepNext/>
        <w:jc w:val="center"/>
        <w:rPr>
          <w:rFonts w:ascii="Arial" w:hAnsi="Arial" w:cs="Arial"/>
          <w:color w:val="000000" w:themeColor="text1"/>
        </w:rPr>
      </w:pPr>
      <w:r w:rsidRPr="00AF512C">
        <w:rPr>
          <w:noProof/>
          <w:color w:val="000000" w:themeColor="text1"/>
        </w:rPr>
        <w:t xml:space="preserve"> </w:t>
      </w:r>
      <w:r w:rsidRPr="00AF512C">
        <w:rPr>
          <w:noProof/>
          <w:color w:val="000000" w:themeColor="text1"/>
        </w:rPr>
        <w:drawing>
          <wp:inline distT="0" distB="0" distL="0" distR="0" wp14:anchorId="7A8D28C8" wp14:editId="14626F8E">
            <wp:extent cx="5943600" cy="2569210"/>
            <wp:effectExtent l="0" t="0" r="0" b="0"/>
            <wp:docPr id="5633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7955" name=""/>
                    <pic:cNvPicPr/>
                  </pic:nvPicPr>
                  <pic:blipFill>
                    <a:blip r:embed="rId8"/>
                    <a:stretch>
                      <a:fillRect/>
                    </a:stretch>
                  </pic:blipFill>
                  <pic:spPr>
                    <a:xfrm>
                      <a:off x="0" y="0"/>
                      <a:ext cx="5943600" cy="2569210"/>
                    </a:xfrm>
                    <a:prstGeom prst="rect">
                      <a:avLst/>
                    </a:prstGeom>
                  </pic:spPr>
                </pic:pic>
              </a:graphicData>
            </a:graphic>
          </wp:inline>
        </w:drawing>
      </w:r>
    </w:p>
    <w:p w14:paraId="759756ED" w14:textId="77777777" w:rsidR="004617D0" w:rsidRPr="00AF512C" w:rsidRDefault="004617D0" w:rsidP="004617D0">
      <w:pPr>
        <w:pStyle w:val="Caption"/>
        <w:jc w:val="both"/>
        <w:rPr>
          <w:rFonts w:ascii="Arial" w:hAnsi="Arial" w:cs="Arial"/>
          <w:i w:val="0"/>
          <w:iCs w:val="0"/>
          <w:color w:val="000000" w:themeColor="text1"/>
          <w:sz w:val="24"/>
          <w:szCs w:val="24"/>
        </w:rPr>
      </w:pPr>
      <w:r w:rsidRPr="00AF512C">
        <w:rPr>
          <w:rFonts w:ascii="Arial" w:hAnsi="Arial" w:cs="Arial"/>
          <w:b/>
          <w:bCs/>
          <w:i w:val="0"/>
          <w:iCs w:val="0"/>
          <w:color w:val="000000" w:themeColor="text1"/>
          <w:sz w:val="24"/>
          <w:szCs w:val="24"/>
        </w:rPr>
        <w:t>Figure S2:</w:t>
      </w:r>
      <w:r w:rsidRPr="00AF512C">
        <w:rPr>
          <w:rFonts w:ascii="Arial" w:hAnsi="Arial" w:cs="Arial"/>
          <w:i w:val="0"/>
          <w:iCs w:val="0"/>
          <w:color w:val="000000" w:themeColor="text1"/>
          <w:sz w:val="24"/>
          <w:szCs w:val="24"/>
        </w:rPr>
        <w:t xml:space="preserve"> </w:t>
      </w:r>
      <w:r w:rsidRPr="00AF512C">
        <w:rPr>
          <w:rFonts w:ascii="Arial" w:hAnsi="Arial" w:cs="Arial"/>
          <w:i w:val="0"/>
          <w:iCs w:val="0"/>
          <w:color w:val="000000" w:themeColor="text1"/>
          <w:sz w:val="24"/>
          <w:szCs w:val="24"/>
          <w:lang w:val="el-GR"/>
        </w:rPr>
        <w:t>β-</w:t>
      </w:r>
      <w:r w:rsidRPr="00AF512C">
        <w:rPr>
          <w:rFonts w:ascii="Arial" w:hAnsi="Arial" w:cs="Arial"/>
          <w:i w:val="0"/>
          <w:iCs w:val="0"/>
          <w:color w:val="000000" w:themeColor="text1"/>
          <w:sz w:val="24"/>
          <w:szCs w:val="24"/>
        </w:rPr>
        <w:t>adrenergic activation measured by live FRET microscopy of HEK293 transfected the EPAC-SH187 sensor and exposed to 1g or 2g conditions in the Hyperscope. a) donor (mTurquoise2, left)and FRET (mVenus, right) signals from two representative experiments (out of n=5 experiments) where HEK293 cells were stimulated at the indicated time with 1 µM isoproterenol in 1 g conditions. b) donor (left)and FRET (right) signals from two representative experiments (from n=5 experiments) where HEK293 cells were stimulated at the indicated time with 1 µM isoproterenol in 2 g conditions.  Each time sequence contains a snapshot stimulus, shortly after (rising phase), at peak response, and after peak. Scale bar is 20 µm throughout.</w:t>
      </w:r>
    </w:p>
    <w:p w14:paraId="49EEB0D7" w14:textId="77777777" w:rsidR="004617D0" w:rsidRPr="00AF512C" w:rsidRDefault="004617D0" w:rsidP="004617D0">
      <w:pPr>
        <w:pStyle w:val="Caption"/>
        <w:jc w:val="both"/>
        <w:rPr>
          <w:rFonts w:ascii="Arial" w:hAnsi="Arial" w:cs="Arial"/>
          <w:color w:val="000000" w:themeColor="text1"/>
          <w:sz w:val="22"/>
          <w:szCs w:val="22"/>
        </w:rPr>
      </w:pPr>
    </w:p>
    <w:p w14:paraId="650313C7" w14:textId="77777777" w:rsidR="004617D0" w:rsidRPr="00AF512C" w:rsidRDefault="004617D0" w:rsidP="004617D0">
      <w:pPr>
        <w:rPr>
          <w:rFonts w:ascii="Arial" w:hAnsi="Arial" w:cs="Arial"/>
          <w:color w:val="000000" w:themeColor="text1"/>
        </w:rPr>
      </w:pPr>
    </w:p>
    <w:p w14:paraId="421A93CE" w14:textId="77777777" w:rsidR="004617D0" w:rsidRPr="00AF512C" w:rsidRDefault="004617D0" w:rsidP="004617D0">
      <w:pPr>
        <w:rPr>
          <w:rFonts w:ascii="Arial" w:hAnsi="Arial" w:cs="Arial"/>
          <w:b/>
          <w:bCs/>
          <w:color w:val="000000" w:themeColor="text1"/>
        </w:rPr>
      </w:pPr>
      <w:r w:rsidRPr="00AF512C">
        <w:rPr>
          <w:rFonts w:ascii="Arial" w:hAnsi="Arial" w:cs="Arial"/>
          <w:b/>
          <w:bCs/>
          <w:noProof/>
          <w:color w:val="000000" w:themeColor="text1"/>
        </w:rPr>
        <w:lastRenderedPageBreak/>
        <w:drawing>
          <wp:inline distT="0" distB="0" distL="0" distR="0" wp14:anchorId="1F5E4778" wp14:editId="7EE898DD">
            <wp:extent cx="5943600" cy="2173605"/>
            <wp:effectExtent l="0" t="0" r="0" b="0"/>
            <wp:docPr id="7714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1505" name=""/>
                    <pic:cNvPicPr/>
                  </pic:nvPicPr>
                  <pic:blipFill>
                    <a:blip r:embed="rId9"/>
                    <a:stretch>
                      <a:fillRect/>
                    </a:stretch>
                  </pic:blipFill>
                  <pic:spPr>
                    <a:xfrm>
                      <a:off x="0" y="0"/>
                      <a:ext cx="5943600" cy="2173605"/>
                    </a:xfrm>
                    <a:prstGeom prst="rect">
                      <a:avLst/>
                    </a:prstGeom>
                  </pic:spPr>
                </pic:pic>
              </a:graphicData>
            </a:graphic>
          </wp:inline>
        </w:drawing>
      </w:r>
    </w:p>
    <w:p w14:paraId="10A52FDD" w14:textId="77777777" w:rsidR="004617D0" w:rsidRPr="00AF512C" w:rsidRDefault="004617D0" w:rsidP="004617D0">
      <w:pPr>
        <w:rPr>
          <w:rFonts w:ascii="Arial" w:hAnsi="Arial" w:cs="Arial"/>
          <w:color w:val="000000" w:themeColor="text1"/>
        </w:rPr>
      </w:pPr>
      <w:r w:rsidRPr="00AF512C">
        <w:rPr>
          <w:rFonts w:ascii="Arial" w:hAnsi="Arial" w:cs="Arial"/>
          <w:b/>
          <w:bCs/>
          <w:color w:val="000000" w:themeColor="text1"/>
        </w:rPr>
        <w:t>Figure S3:</w:t>
      </w:r>
      <w:r w:rsidRPr="00AF512C">
        <w:rPr>
          <w:rFonts w:ascii="Arial" w:hAnsi="Arial" w:cs="Arial"/>
          <w:color w:val="000000" w:themeColor="text1"/>
        </w:rPr>
        <w:t xml:space="preserve"> </w:t>
      </w:r>
      <w:r w:rsidRPr="00AF512C">
        <w:rPr>
          <w:rFonts w:ascii="Arial" w:hAnsi="Arial" w:cs="Arial"/>
          <w:color w:val="000000" w:themeColor="text1"/>
          <w:lang w:val="el-GR"/>
        </w:rPr>
        <w:t>β-</w:t>
      </w:r>
      <w:r w:rsidRPr="00AF512C">
        <w:rPr>
          <w:rFonts w:ascii="Arial" w:hAnsi="Arial" w:cs="Arial"/>
          <w:color w:val="000000" w:themeColor="text1"/>
        </w:rPr>
        <w:t xml:space="preserve">adrenergic activation measured by live FRET microscopy of HEK293 transfected the </w:t>
      </w:r>
      <w:r w:rsidRPr="00AF512C">
        <w:rPr>
          <w:rFonts w:ascii="Arial" w:hAnsi="Arial" w:cs="Arial"/>
          <w:color w:val="000000" w:themeColor="text1"/>
          <w:lang w:val="el-GR"/>
        </w:rPr>
        <w:t>β</w:t>
      </w:r>
      <w:r w:rsidRPr="00AF512C">
        <w:rPr>
          <w:rFonts w:ascii="Arial" w:hAnsi="Arial" w:cs="Arial"/>
          <w:color w:val="000000" w:themeColor="text1"/>
        </w:rPr>
        <w:t>2-AR-cpGFP sensor and exposed to 1g or 2g conditions in the Hyperscope. a) cpGFP (green, left) and DIC (gray, right) signals from a representative experiments where HEK293 cells were stimulated at the indicated time with 1 µM isoproterenol in 1 g conditions. n=1 experiment. b) signals from</w:t>
      </w:r>
      <w:r w:rsidRPr="00AF512C" w:rsidDel="00FB1D44">
        <w:rPr>
          <w:rFonts w:ascii="Arial" w:hAnsi="Arial" w:cs="Arial"/>
          <w:color w:val="000000" w:themeColor="text1"/>
        </w:rPr>
        <w:t xml:space="preserve"> </w:t>
      </w:r>
      <w:r w:rsidRPr="00AF512C">
        <w:rPr>
          <w:rFonts w:ascii="Arial" w:hAnsi="Arial" w:cs="Arial"/>
          <w:color w:val="000000" w:themeColor="text1"/>
        </w:rPr>
        <w:t xml:space="preserve">n=2 experiments where HEK293 cells were stimulated at the indicated time with 1 µM isoproterenol in 2 g conditions.  Each time sequence contains a snapshot stimulus, shortly after (rising phase), at peak response, and after peak. Scale bar is 20 µm. </w:t>
      </w:r>
    </w:p>
    <w:p w14:paraId="2C29E596" w14:textId="77777777" w:rsidR="004617D0" w:rsidRPr="00AF512C" w:rsidRDefault="004617D0" w:rsidP="004617D0">
      <w:pPr>
        <w:rPr>
          <w:rFonts w:ascii="Arial" w:hAnsi="Arial" w:cs="Arial"/>
          <w:color w:val="000000" w:themeColor="text1"/>
        </w:rPr>
      </w:pPr>
      <w:r w:rsidRPr="00AF512C">
        <w:rPr>
          <w:rFonts w:ascii="Arial" w:hAnsi="Arial" w:cs="Arial"/>
          <w:noProof/>
          <w:color w:val="000000" w:themeColor="text1"/>
        </w:rPr>
        <w:drawing>
          <wp:inline distT="0" distB="0" distL="0" distR="0" wp14:anchorId="3C3D410F" wp14:editId="14F5B026">
            <wp:extent cx="5943600" cy="1614170"/>
            <wp:effectExtent l="0" t="0" r="0" b="0"/>
            <wp:docPr id="1317447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47190" name=""/>
                    <pic:cNvPicPr/>
                  </pic:nvPicPr>
                  <pic:blipFill>
                    <a:blip r:embed="rId10"/>
                    <a:stretch>
                      <a:fillRect/>
                    </a:stretch>
                  </pic:blipFill>
                  <pic:spPr>
                    <a:xfrm>
                      <a:off x="0" y="0"/>
                      <a:ext cx="5943600" cy="1614170"/>
                    </a:xfrm>
                    <a:prstGeom prst="rect">
                      <a:avLst/>
                    </a:prstGeom>
                  </pic:spPr>
                </pic:pic>
              </a:graphicData>
            </a:graphic>
          </wp:inline>
        </w:drawing>
      </w:r>
    </w:p>
    <w:p w14:paraId="5E597D16" w14:textId="77777777" w:rsidR="004617D0" w:rsidRPr="00AF512C" w:rsidRDefault="004617D0" w:rsidP="004617D0">
      <w:pPr>
        <w:jc w:val="both"/>
        <w:rPr>
          <w:rFonts w:ascii="Arial" w:hAnsi="Arial" w:cs="Arial"/>
          <w:color w:val="000000" w:themeColor="text1"/>
        </w:rPr>
      </w:pPr>
      <w:r w:rsidRPr="00AF512C">
        <w:rPr>
          <w:rFonts w:ascii="Arial" w:hAnsi="Arial" w:cs="Arial"/>
          <w:b/>
          <w:bCs/>
          <w:color w:val="000000" w:themeColor="text1"/>
        </w:rPr>
        <w:t>Figure S4:</w:t>
      </w:r>
      <w:r w:rsidRPr="00AF512C">
        <w:rPr>
          <w:rFonts w:ascii="Arial" w:hAnsi="Arial" w:cs="Arial"/>
          <w:color w:val="000000" w:themeColor="text1"/>
        </w:rPr>
        <w:t xml:space="preserve"> </w:t>
      </w:r>
      <w:r w:rsidRPr="00AF512C">
        <w:rPr>
          <w:rFonts w:ascii="Arial" w:hAnsi="Arial" w:cs="Arial"/>
          <w:color w:val="000000" w:themeColor="text1"/>
          <w:lang w:val="el-GR"/>
        </w:rPr>
        <w:t>β-</w:t>
      </w:r>
      <w:r w:rsidRPr="00AF512C">
        <w:rPr>
          <w:rFonts w:ascii="Arial" w:hAnsi="Arial" w:cs="Arial"/>
          <w:color w:val="000000" w:themeColor="text1"/>
        </w:rPr>
        <w:t>adrenergic activation measured by live FRET microscopy of H9c2 transfected the EPAC-SH187 sensor and exposed to 1g or 2g conditions in the Hyperscope. a) representative donor (mTurquoise2, left)and FRET (mVenus, right) signals from n=5 experiments where H9c2 cells were stimulated at the indicated time with 1 µM isoproterenol in 1 g conditions. a) representative donor (left)and FRET (right) signals from n=2 experiments where H9c2 cells were stimulated at the indicated time with 1 µM isoproterenol in 2 g conditions.  Each time sequence contains a snapshot stimulus, shortly after (rising phase), at peak response, and after peak. Scale bar is 20 µm. Scale bar is 20 µm throughout.</w:t>
      </w:r>
    </w:p>
    <w:p w14:paraId="2A20ADC7" w14:textId="77777777" w:rsidR="004617D0" w:rsidRPr="00AF512C" w:rsidRDefault="004617D0" w:rsidP="004617D0">
      <w:pPr>
        <w:rPr>
          <w:rFonts w:ascii="Arial" w:hAnsi="Arial" w:cs="Arial"/>
          <w:color w:val="000000" w:themeColor="text1"/>
        </w:rPr>
      </w:pPr>
    </w:p>
    <w:p w14:paraId="42B77DA4" w14:textId="77777777" w:rsidR="004617D0" w:rsidRPr="00AF512C" w:rsidRDefault="004617D0" w:rsidP="004617D0">
      <w:pPr>
        <w:rPr>
          <w:rFonts w:ascii="Arial" w:hAnsi="Arial" w:cs="Arial"/>
          <w:color w:val="000000" w:themeColor="text1"/>
        </w:rPr>
      </w:pPr>
      <w:r w:rsidRPr="00AF512C">
        <w:rPr>
          <w:noProof/>
          <w:color w:val="000000" w:themeColor="text1"/>
        </w:rPr>
        <w:lastRenderedPageBreak/>
        <w:drawing>
          <wp:inline distT="0" distB="0" distL="0" distR="0" wp14:anchorId="30735129" wp14:editId="52FD63F1">
            <wp:extent cx="5943600" cy="1990725"/>
            <wp:effectExtent l="0" t="0" r="0" b="3175"/>
            <wp:docPr id="817790724" name="Picture 81779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t="21937" b="18518"/>
                    <a:stretch>
                      <a:fillRect/>
                    </a:stretch>
                  </pic:blipFill>
                  <pic:spPr>
                    <a:xfrm>
                      <a:off x="0" y="0"/>
                      <a:ext cx="5943600" cy="1990725"/>
                    </a:xfrm>
                    <a:prstGeom prst="rect">
                      <a:avLst/>
                    </a:prstGeom>
                  </pic:spPr>
                </pic:pic>
              </a:graphicData>
            </a:graphic>
          </wp:inline>
        </w:drawing>
      </w:r>
    </w:p>
    <w:p w14:paraId="145BC7F5" w14:textId="77777777" w:rsidR="004617D0" w:rsidRPr="00AF512C" w:rsidRDefault="004617D0" w:rsidP="004617D0">
      <w:pPr>
        <w:rPr>
          <w:rFonts w:ascii="Arial" w:hAnsi="Arial" w:cs="Arial"/>
          <w:color w:val="000000" w:themeColor="text1"/>
        </w:rPr>
      </w:pPr>
      <w:r w:rsidRPr="00AF512C">
        <w:rPr>
          <w:rFonts w:ascii="Arial" w:hAnsi="Arial" w:cs="Arial"/>
          <w:b/>
          <w:bCs/>
          <w:color w:val="000000" w:themeColor="text1"/>
        </w:rPr>
        <w:t>Figure S5: β-adrenergic activation in retinoic-acid treated H9c2 cells under hyper-g.</w:t>
      </w:r>
      <w:r w:rsidRPr="00AF512C">
        <w:rPr>
          <w:rFonts w:ascii="Arial" w:hAnsi="Arial" w:cs="Arial"/>
          <w:color w:val="000000" w:themeColor="text1"/>
        </w:rPr>
        <w:t xml:space="preserve"> (a) Representative image series at different time points before stimulus, shortly after (rising phase), at peak, and after peak. Frames indicate the first change in channels fluorescence. Scale bar is 20 µm. (b) Averaged traces represent 2g (green, n=2 experiment, 6 cells) via FRET readout with the  EPAC-S</w:t>
      </w:r>
      <w:r w:rsidRPr="00AF512C">
        <w:rPr>
          <w:rFonts w:ascii="Arial" w:hAnsi="Arial" w:cs="Arial"/>
          <w:color w:val="000000" w:themeColor="text1"/>
          <w:vertAlign w:val="superscript"/>
        </w:rPr>
        <w:t>H187</w:t>
      </w:r>
      <w:r w:rsidRPr="00AF512C">
        <w:rPr>
          <w:rFonts w:ascii="Arial" w:hAnsi="Arial" w:cs="Arial"/>
          <w:color w:val="000000" w:themeColor="text1"/>
        </w:rPr>
        <w:t xml:space="preserve"> sensor after 1 µM stimulation with Isoproterenol. Error bands represent sem. </w:t>
      </w:r>
    </w:p>
    <w:p w14:paraId="2012D181" w14:textId="77777777" w:rsidR="004617D0" w:rsidRPr="00AF512C" w:rsidRDefault="004617D0" w:rsidP="004617D0">
      <w:pPr>
        <w:rPr>
          <w:rFonts w:ascii="Arial" w:hAnsi="Arial" w:cs="Arial"/>
          <w:color w:val="000000" w:themeColor="text1"/>
        </w:rPr>
      </w:pPr>
    </w:p>
    <w:p w14:paraId="0CFC10FE" w14:textId="77777777" w:rsidR="004617D0" w:rsidRPr="00AF512C" w:rsidRDefault="004617D0" w:rsidP="004617D0">
      <w:pPr>
        <w:rPr>
          <w:rFonts w:ascii="Arial" w:hAnsi="Arial" w:cs="Arial"/>
          <w:color w:val="000000" w:themeColor="text1"/>
        </w:rPr>
      </w:pPr>
    </w:p>
    <w:p w14:paraId="3D248C8E" w14:textId="77777777" w:rsidR="004617D0" w:rsidRPr="00AF512C" w:rsidRDefault="004617D0" w:rsidP="004617D0">
      <w:pPr>
        <w:rPr>
          <w:rFonts w:ascii="Arial" w:hAnsi="Arial" w:cs="Arial"/>
          <w:color w:val="000000" w:themeColor="text1"/>
        </w:rPr>
      </w:pPr>
    </w:p>
    <w:p w14:paraId="3E310AD6" w14:textId="77777777" w:rsidR="004617D0" w:rsidRPr="00AF512C" w:rsidRDefault="004617D0" w:rsidP="004617D0">
      <w:pPr>
        <w:rPr>
          <w:rFonts w:ascii="Arial" w:hAnsi="Arial" w:cs="Arial"/>
          <w:color w:val="000000" w:themeColor="text1"/>
        </w:rPr>
      </w:pPr>
    </w:p>
    <w:p w14:paraId="7A79991E" w14:textId="77777777" w:rsidR="004617D0" w:rsidRPr="00AF512C" w:rsidRDefault="004617D0" w:rsidP="004617D0">
      <w:pPr>
        <w:rPr>
          <w:rFonts w:ascii="Arial" w:hAnsi="Arial" w:cs="Arial"/>
          <w:color w:val="000000" w:themeColor="text1"/>
        </w:rPr>
      </w:pPr>
      <w:r w:rsidRPr="00AF512C">
        <w:rPr>
          <w:rFonts w:ascii="Arial" w:hAnsi="Arial" w:cs="Arial"/>
          <w:noProof/>
          <w:color w:val="000000" w:themeColor="text1"/>
        </w:rPr>
        <w:drawing>
          <wp:inline distT="0" distB="0" distL="0" distR="0" wp14:anchorId="5DEFEA6B" wp14:editId="5800EADA">
            <wp:extent cx="5943600" cy="3957955"/>
            <wp:effectExtent l="0" t="0" r="0" b="0"/>
            <wp:docPr id="588419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9868" name=""/>
                    <pic:cNvPicPr/>
                  </pic:nvPicPr>
                  <pic:blipFill>
                    <a:blip r:embed="rId12"/>
                    <a:stretch>
                      <a:fillRect/>
                    </a:stretch>
                  </pic:blipFill>
                  <pic:spPr>
                    <a:xfrm>
                      <a:off x="0" y="0"/>
                      <a:ext cx="5943600" cy="3957955"/>
                    </a:xfrm>
                    <a:prstGeom prst="rect">
                      <a:avLst/>
                    </a:prstGeom>
                  </pic:spPr>
                </pic:pic>
              </a:graphicData>
            </a:graphic>
          </wp:inline>
        </w:drawing>
      </w:r>
    </w:p>
    <w:p w14:paraId="25F40AE3" w14:textId="77777777" w:rsidR="004617D0" w:rsidRPr="00AF512C" w:rsidRDefault="004617D0" w:rsidP="004617D0">
      <w:pPr>
        <w:rPr>
          <w:rFonts w:ascii="Arial" w:hAnsi="Arial" w:cs="Arial"/>
          <w:color w:val="000000" w:themeColor="text1"/>
        </w:rPr>
      </w:pPr>
      <w:r w:rsidRPr="00AF512C">
        <w:rPr>
          <w:rFonts w:ascii="Arial" w:hAnsi="Arial" w:cs="Arial"/>
          <w:b/>
          <w:bCs/>
          <w:color w:val="000000" w:themeColor="text1"/>
        </w:rPr>
        <w:t xml:space="preserve">Figure S6: </w:t>
      </w:r>
      <w:r w:rsidRPr="00AF512C">
        <w:rPr>
          <w:rFonts w:ascii="Arial" w:hAnsi="Arial" w:cs="Arial"/>
          <w:color w:val="000000" w:themeColor="text1"/>
        </w:rPr>
        <w:t>mosaic of HEK293 cells transfected with lifeact-EGFP and exposed to control gravity conditions or simulated microgravity for 24h. Representative images (24 per condition) from two experimental sessions conducted at the Ground Based Facility (GBF).</w:t>
      </w:r>
    </w:p>
    <w:p w14:paraId="1E526B07" w14:textId="77777777" w:rsidR="004617D0" w:rsidRPr="00AF512C" w:rsidRDefault="004617D0" w:rsidP="004617D0">
      <w:pPr>
        <w:rPr>
          <w:rFonts w:ascii="Arial" w:hAnsi="Arial" w:cs="Arial"/>
          <w:color w:val="000000" w:themeColor="text1"/>
        </w:rPr>
      </w:pPr>
    </w:p>
    <w:p w14:paraId="5AE0A6BC" w14:textId="77777777" w:rsidR="004617D0" w:rsidRPr="00AF512C" w:rsidRDefault="004617D0" w:rsidP="004617D0">
      <w:pPr>
        <w:rPr>
          <w:rFonts w:ascii="Arial" w:hAnsi="Arial" w:cs="Arial"/>
          <w:color w:val="000000" w:themeColor="text1"/>
        </w:rPr>
      </w:pPr>
      <w:r w:rsidRPr="00AF512C">
        <w:rPr>
          <w:rFonts w:ascii="Arial" w:hAnsi="Arial" w:cs="Arial"/>
          <w:noProof/>
          <w:color w:val="000000" w:themeColor="text1"/>
        </w:rPr>
        <w:lastRenderedPageBreak/>
        <w:drawing>
          <wp:inline distT="0" distB="0" distL="0" distR="0" wp14:anchorId="363EA12F" wp14:editId="1BBA68CF">
            <wp:extent cx="5943600" cy="2415540"/>
            <wp:effectExtent l="0" t="0" r="0" b="0"/>
            <wp:docPr id="165074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46548" name=""/>
                    <pic:cNvPicPr/>
                  </pic:nvPicPr>
                  <pic:blipFill>
                    <a:blip r:embed="rId13"/>
                    <a:stretch>
                      <a:fillRect/>
                    </a:stretch>
                  </pic:blipFill>
                  <pic:spPr>
                    <a:xfrm>
                      <a:off x="0" y="0"/>
                      <a:ext cx="5943600" cy="2415540"/>
                    </a:xfrm>
                    <a:prstGeom prst="rect">
                      <a:avLst/>
                    </a:prstGeom>
                  </pic:spPr>
                </pic:pic>
              </a:graphicData>
            </a:graphic>
          </wp:inline>
        </w:drawing>
      </w:r>
    </w:p>
    <w:p w14:paraId="7769672A" w14:textId="77777777" w:rsidR="004617D0" w:rsidRPr="00AF512C" w:rsidRDefault="004617D0" w:rsidP="004617D0">
      <w:pPr>
        <w:tabs>
          <w:tab w:val="left" w:pos="2460"/>
        </w:tabs>
        <w:jc w:val="both"/>
        <w:rPr>
          <w:rFonts w:ascii="Arial" w:hAnsi="Arial" w:cs="Arial"/>
          <w:color w:val="000000" w:themeColor="text1"/>
        </w:rPr>
      </w:pPr>
      <w:r w:rsidRPr="00AF512C">
        <w:rPr>
          <w:rFonts w:ascii="Arial" w:hAnsi="Arial" w:cs="Arial"/>
          <w:b/>
          <w:bCs/>
          <w:color w:val="000000" w:themeColor="text1"/>
        </w:rPr>
        <w:t xml:space="preserve">Figure S7: Qualitative morphological changes at HEK293 cells transfected with lifeact-EGFP and exposed to control gravity conditions or simulated microgravity for 24h. </w:t>
      </w:r>
      <w:r w:rsidRPr="00AF512C">
        <w:rPr>
          <w:rFonts w:ascii="Arial" w:hAnsi="Arial" w:cs="Arial"/>
          <w:color w:val="000000" w:themeColor="text1"/>
        </w:rPr>
        <w:t>Displayed value indicate a) cell area within the confocal section, either at the basolateral membrane or at an intermediate perinuclear section; b) cell perimeter within the confocal section, either at the basolateral membrane or at an intermediate perinuclear section and c) overall cell roundness observed at the confocal section, either at the basolateral membrane or at an intermediate perinuclear section. Number of images acquired for basolateral µg: 27, 1g: 45; for middle µg: 34, 1g 48. The data originate from two experimental sessions conducted at the GBF.</w:t>
      </w:r>
    </w:p>
    <w:p w14:paraId="21A7B38A" w14:textId="77777777" w:rsidR="004617D0" w:rsidRPr="00AF512C" w:rsidRDefault="004617D0" w:rsidP="004617D0">
      <w:pPr>
        <w:rPr>
          <w:rFonts w:ascii="Arial" w:hAnsi="Arial" w:cs="Arial"/>
          <w:color w:val="000000" w:themeColor="text1"/>
        </w:rPr>
      </w:pPr>
    </w:p>
    <w:p w14:paraId="399F8395" w14:textId="77777777" w:rsidR="004617D0" w:rsidRPr="00AF512C" w:rsidRDefault="004617D0" w:rsidP="004617D0">
      <w:pPr>
        <w:rPr>
          <w:rFonts w:ascii="Arial" w:hAnsi="Arial" w:cs="Arial"/>
          <w:color w:val="000000" w:themeColor="text1"/>
        </w:rPr>
      </w:pPr>
    </w:p>
    <w:p w14:paraId="3787CBCA" w14:textId="77777777" w:rsidR="004617D0" w:rsidRPr="00AF512C" w:rsidRDefault="004617D0" w:rsidP="004617D0">
      <w:pPr>
        <w:rPr>
          <w:rFonts w:ascii="Arial" w:hAnsi="Arial" w:cs="Arial"/>
          <w:color w:val="000000" w:themeColor="text1"/>
        </w:rPr>
      </w:pPr>
      <w:r w:rsidRPr="00AF512C">
        <w:rPr>
          <w:rFonts w:ascii="Arial" w:hAnsi="Arial" w:cs="Arial"/>
          <w:noProof/>
          <w:color w:val="000000" w:themeColor="text1"/>
        </w:rPr>
        <w:lastRenderedPageBreak/>
        <w:drawing>
          <wp:inline distT="0" distB="0" distL="0" distR="0" wp14:anchorId="595393C8" wp14:editId="76593D8A">
            <wp:extent cx="5943600" cy="4759960"/>
            <wp:effectExtent l="0" t="0" r="0" b="2540"/>
            <wp:docPr id="105282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24002" name=""/>
                    <pic:cNvPicPr/>
                  </pic:nvPicPr>
                  <pic:blipFill>
                    <a:blip r:embed="rId14"/>
                    <a:stretch>
                      <a:fillRect/>
                    </a:stretch>
                  </pic:blipFill>
                  <pic:spPr>
                    <a:xfrm>
                      <a:off x="0" y="0"/>
                      <a:ext cx="5943600" cy="4759960"/>
                    </a:xfrm>
                    <a:prstGeom prst="rect">
                      <a:avLst/>
                    </a:prstGeom>
                  </pic:spPr>
                </pic:pic>
              </a:graphicData>
            </a:graphic>
          </wp:inline>
        </w:drawing>
      </w:r>
    </w:p>
    <w:p w14:paraId="6FA1C3FF" w14:textId="77777777" w:rsidR="004617D0" w:rsidRPr="00AF512C" w:rsidRDefault="004617D0" w:rsidP="004617D0">
      <w:pPr>
        <w:tabs>
          <w:tab w:val="left" w:pos="2460"/>
        </w:tabs>
        <w:rPr>
          <w:rFonts w:ascii="Arial" w:hAnsi="Arial" w:cs="Arial"/>
          <w:color w:val="000000" w:themeColor="text1"/>
        </w:rPr>
      </w:pPr>
      <w:r w:rsidRPr="00AF512C">
        <w:rPr>
          <w:rFonts w:ascii="Arial" w:hAnsi="Arial" w:cs="Arial"/>
          <w:b/>
          <w:bCs/>
          <w:color w:val="000000" w:themeColor="text1"/>
        </w:rPr>
        <w:t xml:space="preserve">Figure S8: mosaic of hiPSCs cells expressing endogenously tagged EGFP-actin and exposed to control gravity conditions or simulated microgravity for 24h. </w:t>
      </w:r>
      <w:r w:rsidRPr="00AF512C">
        <w:rPr>
          <w:rFonts w:ascii="Arial" w:hAnsi="Arial" w:cs="Arial"/>
          <w:color w:val="000000" w:themeColor="text1"/>
        </w:rPr>
        <w:t>Basolateral and perinuclear refer to the position where the images were taken in the confocal z-stack. Number of images acquired for each condition is 20.</w:t>
      </w:r>
      <w:r w:rsidRPr="00AF512C">
        <w:rPr>
          <w:rFonts w:ascii="Aptos" w:hAnsi="Aptos"/>
          <w:color w:val="000000" w:themeColor="text1"/>
        </w:rPr>
        <w:t xml:space="preserve"> The data originate from one experimental session conducted at the GBF.</w:t>
      </w:r>
    </w:p>
    <w:p w14:paraId="2BE8EFA5" w14:textId="77777777" w:rsidR="004617D0" w:rsidRPr="00AF512C" w:rsidRDefault="004617D0" w:rsidP="004617D0">
      <w:pPr>
        <w:tabs>
          <w:tab w:val="left" w:pos="2460"/>
        </w:tabs>
        <w:rPr>
          <w:rFonts w:ascii="Arial" w:hAnsi="Arial" w:cs="Arial"/>
          <w:color w:val="000000" w:themeColor="text1"/>
        </w:rPr>
      </w:pPr>
    </w:p>
    <w:p w14:paraId="223E56E6" w14:textId="77777777" w:rsidR="004617D0" w:rsidRPr="00AF512C" w:rsidRDefault="004617D0" w:rsidP="004617D0">
      <w:pPr>
        <w:keepNext/>
        <w:spacing w:after="360"/>
        <w:jc w:val="both"/>
        <w:rPr>
          <w:rFonts w:ascii="Arial" w:hAnsi="Arial" w:cs="Arial"/>
          <w:color w:val="000000" w:themeColor="text1"/>
        </w:rPr>
      </w:pPr>
      <w:r w:rsidRPr="00AF512C">
        <w:rPr>
          <w:rFonts w:ascii="Arial" w:hAnsi="Arial" w:cs="Arial"/>
          <w:noProof/>
          <w:color w:val="000000" w:themeColor="text1"/>
          <w:spacing w:val="2"/>
        </w:rPr>
        <w:drawing>
          <wp:inline distT="0" distB="0" distL="0" distR="0" wp14:anchorId="589AC7D3" wp14:editId="44F0CAAF">
            <wp:extent cx="3011482" cy="2236424"/>
            <wp:effectExtent l="0" t="0" r="0" b="0"/>
            <wp:docPr id="9" name="Picture 8">
              <a:extLst xmlns:a="http://schemas.openxmlformats.org/drawingml/2006/main">
                <a:ext uri="{FF2B5EF4-FFF2-40B4-BE49-F238E27FC236}">
                  <a16:creationId xmlns:a16="http://schemas.microsoft.com/office/drawing/2014/main" id="{94FB3054-6F44-47D1-19A6-48F09AFFD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4FB3054-6F44-47D1-19A6-48F09AFFD806}"/>
                        </a:ext>
                      </a:extLst>
                    </pic:cNvPr>
                    <pic:cNvPicPr>
                      <a:picLocks noChangeAspect="1"/>
                    </pic:cNvPicPr>
                  </pic:nvPicPr>
                  <pic:blipFill>
                    <a:blip r:embed="rId15"/>
                    <a:stretch>
                      <a:fillRect/>
                    </a:stretch>
                  </pic:blipFill>
                  <pic:spPr>
                    <a:xfrm>
                      <a:off x="0" y="0"/>
                      <a:ext cx="3033445" cy="2252734"/>
                    </a:xfrm>
                    <a:prstGeom prst="rect">
                      <a:avLst/>
                    </a:prstGeom>
                  </pic:spPr>
                </pic:pic>
              </a:graphicData>
            </a:graphic>
          </wp:inline>
        </w:drawing>
      </w:r>
    </w:p>
    <w:p w14:paraId="4C9873BF" w14:textId="4E6A5BD7" w:rsidR="004617D0" w:rsidRPr="00AF512C" w:rsidRDefault="004617D0" w:rsidP="004617D0">
      <w:pPr>
        <w:pStyle w:val="Caption"/>
        <w:jc w:val="both"/>
        <w:rPr>
          <w:rFonts w:ascii="Arial" w:hAnsi="Arial" w:cs="Arial"/>
          <w:i w:val="0"/>
          <w:iCs w:val="0"/>
          <w:color w:val="000000" w:themeColor="text1"/>
          <w:sz w:val="24"/>
          <w:szCs w:val="24"/>
        </w:rPr>
      </w:pPr>
      <w:r w:rsidRPr="00AF512C">
        <w:rPr>
          <w:rFonts w:ascii="Arial" w:hAnsi="Arial" w:cs="Arial"/>
          <w:b/>
          <w:bCs/>
          <w:i w:val="0"/>
          <w:iCs w:val="0"/>
          <w:color w:val="000000" w:themeColor="text1"/>
          <w:sz w:val="24"/>
          <w:szCs w:val="24"/>
        </w:rPr>
        <w:t xml:space="preserve">Figure S9: Effect of 24h hypergravity on cAMP production in HEK293 cells expressing the melanocortin 4 receptor (MC4R). </w:t>
      </w:r>
      <w:r w:rsidRPr="00AF512C">
        <w:rPr>
          <w:rFonts w:ascii="Arial" w:hAnsi="Arial" w:cs="Arial"/>
          <w:i w:val="0"/>
          <w:iCs w:val="0"/>
          <w:color w:val="000000" w:themeColor="text1"/>
          <w:sz w:val="24"/>
          <w:szCs w:val="24"/>
        </w:rPr>
        <w:t xml:space="preserve">The MC4R is a Gs-coupled a receptor involved in appetite regulation, upon stimulation with the agonist </w:t>
      </w:r>
      <w:r w:rsidRPr="00AF512C">
        <w:rPr>
          <w:rFonts w:ascii="Cambria Math" w:hAnsi="Cambria Math" w:cs="Cambria Math"/>
          <w:i w:val="0"/>
          <w:iCs w:val="0"/>
          <w:color w:val="000000" w:themeColor="text1"/>
          <w:sz w:val="24"/>
          <w:szCs w:val="24"/>
        </w:rPr>
        <w:t>⍺</w:t>
      </w:r>
      <w:r w:rsidRPr="00AF512C">
        <w:rPr>
          <w:rFonts w:ascii="Arial" w:hAnsi="Arial" w:cs="Arial"/>
          <w:i w:val="0"/>
          <w:iCs w:val="0"/>
          <w:color w:val="000000" w:themeColor="text1"/>
          <w:sz w:val="24"/>
          <w:szCs w:val="24"/>
        </w:rPr>
        <w:t xml:space="preserve">MSH. Here, </w:t>
      </w:r>
      <w:r w:rsidRPr="00AF512C">
        <w:rPr>
          <w:rFonts w:ascii="Arial" w:hAnsi="Arial" w:cs="Arial"/>
          <w:i w:val="0"/>
          <w:iCs w:val="0"/>
          <w:color w:val="000000" w:themeColor="text1"/>
          <w:sz w:val="24"/>
          <w:szCs w:val="24"/>
        </w:rPr>
        <w:lastRenderedPageBreak/>
        <w:t xml:space="preserve">concentration-response curve of FRET ratio to </w:t>
      </w:r>
      <w:r w:rsidRPr="00AF512C">
        <w:rPr>
          <w:rFonts w:ascii="Cambria Math" w:hAnsi="Cambria Math" w:cs="Cambria Math"/>
          <w:i w:val="0"/>
          <w:iCs w:val="0"/>
          <w:color w:val="000000" w:themeColor="text1"/>
          <w:sz w:val="24"/>
          <w:szCs w:val="24"/>
        </w:rPr>
        <w:t>⍺</w:t>
      </w:r>
      <w:r w:rsidRPr="00AF512C">
        <w:rPr>
          <w:rFonts w:ascii="Arial" w:hAnsi="Arial" w:cs="Arial"/>
          <w:i w:val="0"/>
          <w:iCs w:val="0"/>
          <w:color w:val="000000" w:themeColor="text1"/>
          <w:sz w:val="24"/>
          <w:szCs w:val="24"/>
        </w:rPr>
        <w:t>MSH stimulus does not highlight any significant difference between 2g and 1g control (</w:t>
      </w:r>
      <w:r w:rsidR="00985E67">
        <w:rPr>
          <w:rFonts w:ascii="Arial" w:hAnsi="Arial" w:cs="Arial"/>
          <w:i w:val="0"/>
          <w:iCs w:val="0"/>
          <w:color w:val="000000" w:themeColor="text1"/>
          <w:sz w:val="24"/>
          <w:szCs w:val="24"/>
        </w:rPr>
        <w:t>n=</w:t>
      </w:r>
      <w:r w:rsidRPr="00AF512C">
        <w:rPr>
          <w:rFonts w:ascii="Arial" w:hAnsi="Arial" w:cs="Arial"/>
          <w:i w:val="0"/>
          <w:iCs w:val="0"/>
          <w:color w:val="000000" w:themeColor="text1"/>
          <w:sz w:val="24"/>
          <w:szCs w:val="24"/>
        </w:rPr>
        <w:t>1 biological replicate).</w:t>
      </w:r>
      <w:r w:rsidR="00D60117" w:rsidRPr="00D60117">
        <w:rPr>
          <w:rFonts w:ascii="Arial" w:hAnsi="Arial" w:cs="Arial"/>
          <w:i w:val="0"/>
          <w:iCs w:val="0"/>
          <w:color w:val="000000" w:themeColor="text1"/>
          <w:sz w:val="24"/>
          <w:szCs w:val="24"/>
        </w:rPr>
        <w:t xml:space="preserve"> </w:t>
      </w:r>
      <w:r w:rsidR="00D60117" w:rsidRPr="00C2423E">
        <w:rPr>
          <w:rFonts w:ascii="Arial" w:hAnsi="Arial" w:cs="Arial"/>
          <w:i w:val="0"/>
          <w:iCs w:val="0"/>
          <w:color w:val="000000" w:themeColor="text1"/>
          <w:sz w:val="24"/>
          <w:szCs w:val="24"/>
        </w:rPr>
        <w:t>FRET ratios are not normalised here</w:t>
      </w:r>
      <w:r w:rsidR="00B13262">
        <w:rPr>
          <w:rFonts w:ascii="Arial" w:hAnsi="Arial" w:cs="Arial"/>
          <w:i w:val="0"/>
          <w:iCs w:val="0"/>
          <w:color w:val="000000" w:themeColor="text1"/>
          <w:sz w:val="24"/>
          <w:szCs w:val="24"/>
        </w:rPr>
        <w:t xml:space="preserve">, </w:t>
      </w:r>
      <w:r w:rsidR="00D60117" w:rsidRPr="00C2423E">
        <w:rPr>
          <w:rFonts w:ascii="Arial" w:hAnsi="Arial" w:cs="Arial"/>
          <w:i w:val="0"/>
          <w:iCs w:val="0"/>
          <w:color w:val="000000" w:themeColor="text1"/>
          <w:sz w:val="24"/>
          <w:szCs w:val="24"/>
        </w:rPr>
        <w:t>e.g. FRET ratio decreases as more cAMP is present</w:t>
      </w:r>
      <w:r w:rsidR="00B13262">
        <w:rPr>
          <w:rFonts w:ascii="Arial" w:hAnsi="Arial" w:cs="Arial"/>
          <w:i w:val="0"/>
          <w:iCs w:val="0"/>
          <w:color w:val="000000" w:themeColor="text1"/>
          <w:sz w:val="24"/>
          <w:szCs w:val="24"/>
        </w:rPr>
        <w:t>.</w:t>
      </w:r>
    </w:p>
    <w:p w14:paraId="2A60A958" w14:textId="1058B3DF" w:rsidR="00ED77EB" w:rsidRDefault="00A86B15" w:rsidP="00ED77EB">
      <w:pPr>
        <w:keepNext/>
      </w:pPr>
      <w:r w:rsidRPr="00A86B15">
        <w:rPr>
          <w:noProof/>
        </w:rPr>
        <w:drawing>
          <wp:inline distT="0" distB="0" distL="0" distR="0" wp14:anchorId="74ADC6E0" wp14:editId="11893EF2">
            <wp:extent cx="3950542" cy="3076923"/>
            <wp:effectExtent l="0" t="0" r="0" b="0"/>
            <wp:docPr id="1813414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14192" name=""/>
                    <pic:cNvPicPr/>
                  </pic:nvPicPr>
                  <pic:blipFill>
                    <a:blip r:embed="rId16"/>
                    <a:stretch>
                      <a:fillRect/>
                    </a:stretch>
                  </pic:blipFill>
                  <pic:spPr>
                    <a:xfrm>
                      <a:off x="0" y="0"/>
                      <a:ext cx="3976862" cy="3097422"/>
                    </a:xfrm>
                    <a:prstGeom prst="rect">
                      <a:avLst/>
                    </a:prstGeom>
                  </pic:spPr>
                </pic:pic>
              </a:graphicData>
            </a:graphic>
          </wp:inline>
        </w:drawing>
      </w:r>
    </w:p>
    <w:p w14:paraId="594D5B07" w14:textId="1F53C273" w:rsidR="00ED77EB" w:rsidRPr="00E16EAB" w:rsidRDefault="00C2423E" w:rsidP="00C2423E">
      <w:pPr>
        <w:pStyle w:val="Caption"/>
        <w:jc w:val="both"/>
        <w:rPr>
          <w:rFonts w:ascii="Arial" w:hAnsi="Arial" w:cs="Arial"/>
          <w:color w:val="222222"/>
          <w:spacing w:val="2"/>
        </w:rPr>
      </w:pPr>
      <w:r w:rsidRPr="00AF512C">
        <w:rPr>
          <w:rFonts w:ascii="Arial" w:hAnsi="Arial" w:cs="Arial"/>
          <w:b/>
          <w:bCs/>
          <w:i w:val="0"/>
          <w:iCs w:val="0"/>
          <w:color w:val="000000" w:themeColor="text1"/>
          <w:sz w:val="24"/>
          <w:szCs w:val="24"/>
        </w:rPr>
        <w:t>Figure S</w:t>
      </w:r>
      <w:r>
        <w:rPr>
          <w:rFonts w:ascii="Arial" w:hAnsi="Arial" w:cs="Arial"/>
          <w:b/>
          <w:bCs/>
          <w:i w:val="0"/>
          <w:iCs w:val="0"/>
          <w:color w:val="000000" w:themeColor="text1"/>
          <w:sz w:val="24"/>
          <w:szCs w:val="24"/>
        </w:rPr>
        <w:t>10</w:t>
      </w:r>
      <w:r w:rsidRPr="00AF512C">
        <w:rPr>
          <w:rFonts w:ascii="Arial" w:hAnsi="Arial" w:cs="Arial"/>
          <w:b/>
          <w:bCs/>
          <w:i w:val="0"/>
          <w:iCs w:val="0"/>
          <w:color w:val="000000" w:themeColor="text1"/>
          <w:sz w:val="24"/>
          <w:szCs w:val="24"/>
        </w:rPr>
        <w:t xml:space="preserve">: Effect of </w:t>
      </w:r>
      <w:r w:rsidR="001468B8">
        <w:rPr>
          <w:rFonts w:ascii="Arial" w:hAnsi="Arial" w:cs="Arial"/>
          <w:b/>
          <w:bCs/>
          <w:i w:val="0"/>
          <w:iCs w:val="0"/>
          <w:color w:val="000000" w:themeColor="text1"/>
          <w:sz w:val="24"/>
          <w:szCs w:val="24"/>
        </w:rPr>
        <w:t>24</w:t>
      </w:r>
      <w:r w:rsidRPr="00AF512C">
        <w:rPr>
          <w:rFonts w:ascii="Arial" w:hAnsi="Arial" w:cs="Arial"/>
          <w:b/>
          <w:bCs/>
          <w:i w:val="0"/>
          <w:iCs w:val="0"/>
          <w:color w:val="000000" w:themeColor="text1"/>
          <w:sz w:val="24"/>
          <w:szCs w:val="24"/>
        </w:rPr>
        <w:t xml:space="preserve">h hypergravity on cAMP production in HEK293 cells </w:t>
      </w:r>
      <w:r>
        <w:rPr>
          <w:rFonts w:ascii="Arial" w:hAnsi="Arial" w:cs="Arial"/>
          <w:b/>
          <w:bCs/>
          <w:i w:val="0"/>
          <w:iCs w:val="0"/>
          <w:color w:val="000000" w:themeColor="text1"/>
          <w:sz w:val="24"/>
          <w:szCs w:val="24"/>
        </w:rPr>
        <w:t>upon stimulation with salbutamol</w:t>
      </w:r>
      <w:r w:rsidRPr="00AF512C">
        <w:rPr>
          <w:rFonts w:ascii="Arial" w:hAnsi="Arial" w:cs="Arial"/>
          <w:b/>
          <w:bCs/>
          <w:i w:val="0"/>
          <w:iCs w:val="0"/>
          <w:color w:val="000000" w:themeColor="text1"/>
          <w:sz w:val="24"/>
          <w:szCs w:val="24"/>
        </w:rPr>
        <w:t xml:space="preserve">. </w:t>
      </w:r>
      <w:r w:rsidRPr="00C2423E">
        <w:rPr>
          <w:rFonts w:ascii="Arial" w:hAnsi="Arial" w:cs="Arial"/>
          <w:i w:val="0"/>
          <w:iCs w:val="0"/>
          <w:color w:val="000000" w:themeColor="text1"/>
          <w:sz w:val="24"/>
          <w:szCs w:val="24"/>
        </w:rPr>
        <w:t xml:space="preserve">Effect of </w:t>
      </w:r>
      <w:r w:rsidR="00F234B3">
        <w:rPr>
          <w:rFonts w:ascii="Arial" w:hAnsi="Arial" w:cs="Arial"/>
          <w:i w:val="0"/>
          <w:iCs w:val="0"/>
          <w:color w:val="000000" w:themeColor="text1"/>
          <w:sz w:val="24"/>
          <w:szCs w:val="24"/>
        </w:rPr>
        <w:t>24</w:t>
      </w:r>
      <w:r w:rsidRPr="00C2423E">
        <w:rPr>
          <w:rFonts w:ascii="Arial" w:hAnsi="Arial" w:cs="Arial"/>
          <w:i w:val="0"/>
          <w:iCs w:val="0"/>
          <w:color w:val="000000" w:themeColor="text1"/>
          <w:sz w:val="24"/>
          <w:szCs w:val="24"/>
        </w:rPr>
        <w:t xml:space="preserve">h hypergravity (2g) </w:t>
      </w:r>
      <w:r w:rsidR="007E1207">
        <w:rPr>
          <w:rFonts w:ascii="Arial" w:hAnsi="Arial" w:cs="Arial"/>
          <w:i w:val="0"/>
          <w:iCs w:val="0"/>
          <w:color w:val="000000" w:themeColor="text1"/>
          <w:sz w:val="24"/>
          <w:szCs w:val="24"/>
        </w:rPr>
        <w:t xml:space="preserve">on </w:t>
      </w:r>
      <w:r w:rsidRPr="00C2423E">
        <w:rPr>
          <w:rFonts w:ascii="Arial" w:hAnsi="Arial" w:cs="Arial"/>
          <w:i w:val="0"/>
          <w:iCs w:val="0"/>
          <w:color w:val="000000" w:themeColor="text1"/>
          <w:sz w:val="24"/>
          <w:szCs w:val="24"/>
        </w:rPr>
        <w:t>cAMP production</w:t>
      </w:r>
      <w:r w:rsidR="00A86B15">
        <w:rPr>
          <w:rFonts w:ascii="Arial" w:hAnsi="Arial" w:cs="Arial"/>
          <w:i w:val="0"/>
          <w:iCs w:val="0"/>
          <w:color w:val="000000" w:themeColor="text1"/>
          <w:sz w:val="24"/>
          <w:szCs w:val="24"/>
        </w:rPr>
        <w:t xml:space="preserve"> in</w:t>
      </w:r>
      <w:r w:rsidRPr="00C2423E">
        <w:rPr>
          <w:rFonts w:ascii="Arial" w:hAnsi="Arial" w:cs="Arial"/>
          <w:i w:val="0"/>
          <w:iCs w:val="0"/>
          <w:color w:val="000000" w:themeColor="text1"/>
          <w:sz w:val="24"/>
          <w:szCs w:val="24"/>
        </w:rPr>
        <w:t xml:space="preserve"> response to </w:t>
      </w:r>
      <w:r w:rsidR="007E1207">
        <w:rPr>
          <w:rFonts w:ascii="Arial" w:hAnsi="Arial" w:cs="Arial"/>
          <w:i w:val="0"/>
          <w:iCs w:val="0"/>
          <w:color w:val="000000" w:themeColor="text1"/>
          <w:sz w:val="24"/>
          <w:szCs w:val="24"/>
        </w:rPr>
        <w:t xml:space="preserve">increasing concentration of </w:t>
      </w:r>
      <w:r w:rsidRPr="00C2423E">
        <w:rPr>
          <w:rFonts w:ascii="Arial" w:hAnsi="Arial" w:cs="Arial"/>
          <w:i w:val="0"/>
          <w:iCs w:val="0"/>
          <w:color w:val="000000" w:themeColor="text1"/>
          <w:sz w:val="24"/>
          <w:szCs w:val="24"/>
        </w:rPr>
        <w:t>Salbutamol,</w:t>
      </w:r>
      <w:r w:rsidR="007E1207">
        <w:rPr>
          <w:rFonts w:ascii="Arial" w:hAnsi="Arial" w:cs="Arial"/>
          <w:i w:val="0"/>
          <w:iCs w:val="0"/>
          <w:color w:val="000000" w:themeColor="text1"/>
          <w:sz w:val="24"/>
          <w:szCs w:val="24"/>
        </w:rPr>
        <w:t xml:space="preserve"> conducted in HEK293 cells </w:t>
      </w:r>
      <w:r w:rsidR="007E1207" w:rsidRPr="00C2423E">
        <w:rPr>
          <w:rFonts w:ascii="Arial" w:hAnsi="Arial" w:cs="Arial"/>
          <w:i w:val="0"/>
          <w:iCs w:val="0"/>
          <w:color w:val="000000" w:themeColor="text1"/>
          <w:sz w:val="24"/>
          <w:szCs w:val="24"/>
        </w:rPr>
        <w:t>transfected with Epac-S</w:t>
      </w:r>
      <w:r w:rsidR="007E1207" w:rsidRPr="00C2423E">
        <w:rPr>
          <w:rFonts w:ascii="Arial" w:hAnsi="Arial" w:cs="Arial"/>
          <w:i w:val="0"/>
          <w:iCs w:val="0"/>
          <w:color w:val="000000" w:themeColor="text1"/>
          <w:sz w:val="24"/>
          <w:szCs w:val="24"/>
          <w:vertAlign w:val="superscript"/>
        </w:rPr>
        <w:t>H187</w:t>
      </w:r>
      <w:r w:rsidR="007E1207" w:rsidRPr="00C2423E">
        <w:rPr>
          <w:rFonts w:ascii="Arial" w:hAnsi="Arial" w:cs="Arial"/>
          <w:i w:val="0"/>
          <w:iCs w:val="0"/>
          <w:color w:val="000000" w:themeColor="text1"/>
          <w:sz w:val="24"/>
          <w:szCs w:val="24"/>
        </w:rPr>
        <w:t xml:space="preserve"> biosensor</w:t>
      </w:r>
      <w:r w:rsidRPr="00C2423E">
        <w:rPr>
          <w:rFonts w:ascii="Arial" w:hAnsi="Arial" w:cs="Arial"/>
          <w:i w:val="0"/>
          <w:iCs w:val="0"/>
          <w:color w:val="000000" w:themeColor="text1"/>
          <w:sz w:val="24"/>
          <w:szCs w:val="24"/>
        </w:rPr>
        <w:t xml:space="preserve">. </w:t>
      </w:r>
      <w:r w:rsidR="00A86B15">
        <w:rPr>
          <w:rFonts w:ascii="Arial" w:hAnsi="Arial" w:cs="Arial"/>
          <w:i w:val="0"/>
          <w:iCs w:val="0"/>
          <w:color w:val="000000" w:themeColor="text1"/>
          <w:sz w:val="24"/>
          <w:szCs w:val="24"/>
        </w:rPr>
        <w:t>EC</w:t>
      </w:r>
      <w:r w:rsidR="00A86B15" w:rsidRPr="00C2349C">
        <w:rPr>
          <w:rFonts w:ascii="Arial" w:hAnsi="Arial" w:cs="Arial"/>
          <w:i w:val="0"/>
          <w:iCs w:val="0"/>
          <w:color w:val="000000" w:themeColor="text1"/>
          <w:sz w:val="24"/>
          <w:szCs w:val="24"/>
          <w:vertAlign w:val="subscript"/>
        </w:rPr>
        <w:t>50</w:t>
      </w:r>
      <w:r w:rsidR="00A86B15" w:rsidRPr="00C2349C">
        <w:rPr>
          <w:rFonts w:ascii="Arial" w:hAnsi="Arial" w:cs="Arial"/>
          <w:i w:val="0"/>
          <w:iCs w:val="0"/>
          <w:color w:val="000000" w:themeColor="text1"/>
          <w:sz w:val="24"/>
          <w:szCs w:val="24"/>
          <w:vertAlign w:val="superscript"/>
        </w:rPr>
        <w:t>control</w:t>
      </w:r>
      <w:r w:rsidR="00A86B15">
        <w:rPr>
          <w:rFonts w:ascii="Arial" w:hAnsi="Arial" w:cs="Arial"/>
          <w:i w:val="0"/>
          <w:iCs w:val="0"/>
          <w:color w:val="000000" w:themeColor="text1"/>
          <w:sz w:val="24"/>
          <w:szCs w:val="24"/>
        </w:rPr>
        <w:t xml:space="preserve">=74 nM </w:t>
      </w:r>
      <w:r w:rsidR="00A86B15" w:rsidRPr="00C2349C">
        <w:rPr>
          <w:rFonts w:ascii="Arial" w:hAnsi="Arial" w:cs="Arial"/>
          <w:i w:val="0"/>
          <w:iCs w:val="0"/>
          <w:color w:val="000000" w:themeColor="text1"/>
          <w:sz w:val="24"/>
          <w:szCs w:val="24"/>
        </w:rPr>
        <w:t>(logEC50 95%CI[-7.4 to -6.8])</w:t>
      </w:r>
      <w:r w:rsidR="00A86B15">
        <w:rPr>
          <w:rFonts w:ascii="Arial" w:hAnsi="Arial" w:cs="Arial"/>
          <w:i w:val="0"/>
          <w:iCs w:val="0"/>
          <w:color w:val="000000" w:themeColor="text1"/>
          <w:sz w:val="24"/>
          <w:szCs w:val="24"/>
        </w:rPr>
        <w:t>, EC</w:t>
      </w:r>
      <w:r w:rsidR="00A86B15" w:rsidRPr="00C2349C">
        <w:rPr>
          <w:rFonts w:ascii="Arial" w:hAnsi="Arial" w:cs="Arial"/>
          <w:i w:val="0"/>
          <w:iCs w:val="0"/>
          <w:color w:val="000000" w:themeColor="text1"/>
          <w:sz w:val="24"/>
          <w:szCs w:val="24"/>
          <w:vertAlign w:val="subscript"/>
        </w:rPr>
        <w:t>50</w:t>
      </w:r>
      <w:r w:rsidR="00A86B15" w:rsidRPr="00C2349C">
        <w:rPr>
          <w:rFonts w:ascii="Arial" w:hAnsi="Arial" w:cs="Arial"/>
          <w:i w:val="0"/>
          <w:iCs w:val="0"/>
          <w:color w:val="000000" w:themeColor="text1"/>
          <w:sz w:val="24"/>
          <w:szCs w:val="24"/>
          <w:vertAlign w:val="superscript"/>
        </w:rPr>
        <w:t>2g</w:t>
      </w:r>
      <w:r w:rsidR="00A86B15">
        <w:rPr>
          <w:rFonts w:ascii="Arial" w:hAnsi="Arial" w:cs="Arial"/>
          <w:i w:val="0"/>
          <w:iCs w:val="0"/>
          <w:color w:val="000000" w:themeColor="text1"/>
          <w:sz w:val="24"/>
          <w:szCs w:val="24"/>
        </w:rPr>
        <w:t xml:space="preserve">=34 nM </w:t>
      </w:r>
      <w:r w:rsidR="00A86B15" w:rsidRPr="00C2349C">
        <w:rPr>
          <w:rFonts w:ascii="Arial" w:hAnsi="Arial" w:cs="Arial"/>
          <w:i w:val="0"/>
          <w:iCs w:val="0"/>
          <w:color w:val="000000" w:themeColor="text1"/>
          <w:sz w:val="24"/>
          <w:szCs w:val="24"/>
        </w:rPr>
        <w:t>(logEC50 95%CI[-7.</w:t>
      </w:r>
      <w:r w:rsidR="00A86B15">
        <w:rPr>
          <w:rFonts w:ascii="Arial" w:hAnsi="Arial" w:cs="Arial"/>
          <w:i w:val="0"/>
          <w:iCs w:val="0"/>
          <w:color w:val="000000" w:themeColor="text1"/>
          <w:sz w:val="24"/>
          <w:szCs w:val="24"/>
        </w:rPr>
        <w:t>6</w:t>
      </w:r>
      <w:r w:rsidR="00A86B15" w:rsidRPr="00C2349C">
        <w:rPr>
          <w:rFonts w:ascii="Arial" w:hAnsi="Arial" w:cs="Arial"/>
          <w:i w:val="0"/>
          <w:iCs w:val="0"/>
          <w:color w:val="000000" w:themeColor="text1"/>
          <w:sz w:val="24"/>
          <w:szCs w:val="24"/>
        </w:rPr>
        <w:t xml:space="preserve"> to -</w:t>
      </w:r>
      <w:r w:rsidR="00A86B15">
        <w:rPr>
          <w:rFonts w:ascii="Arial" w:hAnsi="Arial" w:cs="Arial"/>
          <w:i w:val="0"/>
          <w:iCs w:val="0"/>
          <w:color w:val="000000" w:themeColor="text1"/>
          <w:sz w:val="24"/>
          <w:szCs w:val="24"/>
        </w:rPr>
        <w:t>7</w:t>
      </w:r>
      <w:r w:rsidR="00A86B15" w:rsidRPr="00C2349C">
        <w:rPr>
          <w:rFonts w:ascii="Arial" w:hAnsi="Arial" w:cs="Arial"/>
          <w:i w:val="0"/>
          <w:iCs w:val="0"/>
          <w:color w:val="000000" w:themeColor="text1"/>
          <w:sz w:val="24"/>
          <w:szCs w:val="24"/>
        </w:rPr>
        <w:t>.</w:t>
      </w:r>
      <w:r w:rsidR="007E1207">
        <w:rPr>
          <w:rFonts w:ascii="Arial" w:hAnsi="Arial" w:cs="Arial"/>
          <w:i w:val="0"/>
          <w:iCs w:val="0"/>
          <w:color w:val="000000" w:themeColor="text1"/>
          <w:sz w:val="24"/>
          <w:szCs w:val="24"/>
        </w:rPr>
        <w:t>4</w:t>
      </w:r>
      <w:r w:rsidR="00A86B15" w:rsidRPr="00C2349C">
        <w:rPr>
          <w:rFonts w:ascii="Arial" w:hAnsi="Arial" w:cs="Arial"/>
          <w:i w:val="0"/>
          <w:iCs w:val="0"/>
          <w:color w:val="000000" w:themeColor="text1"/>
          <w:sz w:val="24"/>
          <w:szCs w:val="24"/>
        </w:rPr>
        <w:t>])</w:t>
      </w:r>
      <w:r w:rsidR="00A86B15">
        <w:rPr>
          <w:rFonts w:ascii="Arial" w:hAnsi="Arial" w:cs="Arial"/>
          <w:i w:val="0"/>
          <w:iCs w:val="0"/>
          <w:color w:val="000000" w:themeColor="text1"/>
          <w:sz w:val="24"/>
          <w:szCs w:val="24"/>
        </w:rPr>
        <w:t xml:space="preserve"> </w:t>
      </w:r>
      <w:r w:rsidR="009362FE">
        <w:rPr>
          <w:rFonts w:ascii="Arial" w:hAnsi="Arial" w:cs="Arial"/>
          <w:i w:val="0"/>
          <w:iCs w:val="0"/>
          <w:color w:val="000000" w:themeColor="text1"/>
          <w:sz w:val="24"/>
          <w:szCs w:val="24"/>
        </w:rPr>
        <w:t>(n=</w:t>
      </w:r>
      <w:r w:rsidR="00F234B3">
        <w:rPr>
          <w:rFonts w:ascii="Arial" w:hAnsi="Arial" w:cs="Arial"/>
          <w:i w:val="0"/>
          <w:iCs w:val="0"/>
          <w:color w:val="000000" w:themeColor="text1"/>
          <w:sz w:val="24"/>
          <w:szCs w:val="24"/>
        </w:rPr>
        <w:t>2</w:t>
      </w:r>
      <w:r w:rsidR="009362FE">
        <w:rPr>
          <w:rFonts w:ascii="Arial" w:hAnsi="Arial" w:cs="Arial"/>
          <w:i w:val="0"/>
          <w:iCs w:val="0"/>
          <w:color w:val="000000" w:themeColor="text1"/>
          <w:sz w:val="24"/>
          <w:szCs w:val="24"/>
        </w:rPr>
        <w:t>)</w:t>
      </w:r>
      <w:r w:rsidRPr="00C2423E">
        <w:rPr>
          <w:rFonts w:ascii="Arial" w:hAnsi="Arial" w:cs="Arial"/>
          <w:i w:val="0"/>
          <w:iCs w:val="0"/>
          <w:color w:val="000000" w:themeColor="text1"/>
          <w:sz w:val="24"/>
          <w:szCs w:val="24"/>
        </w:rPr>
        <w:t>.</w:t>
      </w:r>
    </w:p>
    <w:p w14:paraId="0F9D3716" w14:textId="77777777" w:rsidR="004617D0" w:rsidRPr="00AF512C" w:rsidRDefault="004617D0" w:rsidP="004617D0">
      <w:pPr>
        <w:tabs>
          <w:tab w:val="left" w:pos="2460"/>
        </w:tabs>
        <w:rPr>
          <w:rFonts w:ascii="Arial" w:hAnsi="Arial" w:cs="Arial"/>
          <w:b/>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26"/>
        <w:gridCol w:w="680"/>
        <w:gridCol w:w="282"/>
        <w:gridCol w:w="826"/>
        <w:gridCol w:w="781"/>
        <w:gridCol w:w="2268"/>
        <w:gridCol w:w="18"/>
      </w:tblGrid>
      <w:tr w:rsidR="004617D0" w:rsidRPr="00AF512C" w14:paraId="649BDB10" w14:textId="77777777" w:rsidTr="00AC2586">
        <w:trPr>
          <w:gridAfter w:val="1"/>
          <w:wAfter w:w="18" w:type="dxa"/>
          <w:trHeight w:val="285"/>
        </w:trPr>
        <w:tc>
          <w:tcPr>
            <w:tcW w:w="1826" w:type="dxa"/>
            <w:tcMar>
              <w:top w:w="15" w:type="dxa"/>
              <w:left w:w="15" w:type="dxa"/>
              <w:right w:w="15" w:type="dxa"/>
            </w:tcMar>
            <w:vAlign w:val="bottom"/>
          </w:tcPr>
          <w:p w14:paraId="1D571286" w14:textId="77777777" w:rsidR="004617D0" w:rsidRPr="00AF512C" w:rsidRDefault="004617D0" w:rsidP="00AC2586">
            <w:pPr>
              <w:rPr>
                <w:rFonts w:ascii="Arial" w:eastAsia="Arial" w:hAnsi="Arial" w:cs="Arial"/>
                <w:color w:val="000000" w:themeColor="text1"/>
              </w:rPr>
            </w:pPr>
          </w:p>
        </w:tc>
        <w:tc>
          <w:tcPr>
            <w:tcW w:w="680" w:type="dxa"/>
            <w:tcMar>
              <w:top w:w="15" w:type="dxa"/>
              <w:left w:w="15" w:type="dxa"/>
              <w:right w:w="15" w:type="dxa"/>
            </w:tcMar>
            <w:vAlign w:val="bottom"/>
          </w:tcPr>
          <w:p w14:paraId="306E55C1" w14:textId="77777777" w:rsidR="004617D0" w:rsidRPr="00AF512C" w:rsidRDefault="004617D0" w:rsidP="00AC2586">
            <w:pPr>
              <w:rPr>
                <w:rFonts w:ascii="Arial" w:eastAsia="Arial" w:hAnsi="Arial" w:cs="Arial"/>
                <w:color w:val="000000" w:themeColor="text1"/>
                <w:sz w:val="22"/>
                <w:szCs w:val="22"/>
              </w:rPr>
            </w:pPr>
            <m:oMath>
              <m:r>
                <w:rPr>
                  <w:rFonts w:ascii="Cambria Math" w:hAnsi="Cambria Math"/>
                  <w:color w:val="000000" w:themeColor="text1"/>
                </w:rPr>
                <m:t>τ </m:t>
              </m:r>
            </m:oMath>
            <w:r w:rsidRPr="00AF512C">
              <w:rPr>
                <w:rFonts w:ascii="Arial" w:eastAsia="Arial" w:hAnsi="Arial" w:cs="Arial"/>
                <w:color w:val="000000" w:themeColor="text1"/>
                <w:sz w:val="22"/>
                <w:szCs w:val="22"/>
              </w:rPr>
              <w:t xml:space="preserve"> [s]</w:t>
            </w:r>
          </w:p>
        </w:tc>
        <w:tc>
          <w:tcPr>
            <w:tcW w:w="282" w:type="dxa"/>
            <w:tcMar>
              <w:top w:w="15" w:type="dxa"/>
              <w:left w:w="15" w:type="dxa"/>
              <w:right w:w="15" w:type="dxa"/>
            </w:tcMar>
            <w:vAlign w:val="bottom"/>
          </w:tcPr>
          <w:p w14:paraId="13DC9400" w14:textId="77777777" w:rsidR="004617D0" w:rsidRPr="00AF512C" w:rsidRDefault="004617D0" w:rsidP="00AC2586">
            <w:pPr>
              <w:rPr>
                <w:rFonts w:ascii="Arial" w:eastAsia="Arial" w:hAnsi="Arial" w:cs="Arial"/>
                <w:color w:val="000000" w:themeColor="text1"/>
              </w:rPr>
            </w:pPr>
          </w:p>
        </w:tc>
        <w:tc>
          <w:tcPr>
            <w:tcW w:w="1607" w:type="dxa"/>
            <w:gridSpan w:val="2"/>
            <w:tcMar>
              <w:top w:w="15" w:type="dxa"/>
              <w:left w:w="15" w:type="dxa"/>
              <w:right w:w="15" w:type="dxa"/>
            </w:tcMar>
            <w:vAlign w:val="bottom"/>
          </w:tcPr>
          <w:p w14:paraId="10267109" w14:textId="77777777" w:rsidR="004617D0" w:rsidRPr="00AF512C" w:rsidRDefault="004617D0" w:rsidP="00AC2586">
            <w:pPr>
              <w:rPr>
                <w:rFonts w:ascii="Arial" w:eastAsia="Arial" w:hAnsi="Arial" w:cs="Arial"/>
                <w:color w:val="000000" w:themeColor="text1"/>
                <w:sz w:val="22"/>
                <w:szCs w:val="22"/>
              </w:rPr>
            </w:pPr>
            <w:r w:rsidRPr="00AF512C">
              <w:rPr>
                <w:rFonts w:ascii="Arial" w:eastAsia="Arial" w:hAnsi="Arial" w:cs="Arial"/>
                <w:color w:val="000000" w:themeColor="text1"/>
                <w:sz w:val="22"/>
                <w:szCs w:val="22"/>
              </w:rPr>
              <w:t>95% confidence interval from fit</w:t>
            </w:r>
          </w:p>
        </w:tc>
        <w:tc>
          <w:tcPr>
            <w:tcW w:w="2268" w:type="dxa"/>
            <w:tcMar>
              <w:top w:w="15" w:type="dxa"/>
              <w:left w:w="15" w:type="dxa"/>
              <w:right w:w="15" w:type="dxa"/>
            </w:tcMar>
            <w:vAlign w:val="bottom"/>
          </w:tcPr>
          <w:p w14:paraId="2DCB201E" w14:textId="77777777" w:rsidR="004617D0" w:rsidRPr="00AF512C" w:rsidRDefault="004617D0" w:rsidP="00AC2586">
            <w:pPr>
              <w:rPr>
                <w:rFonts w:ascii="Arial" w:eastAsia="Arial" w:hAnsi="Arial" w:cs="Arial"/>
                <w:color w:val="000000" w:themeColor="text1"/>
                <w:sz w:val="22"/>
                <w:szCs w:val="22"/>
              </w:rPr>
            </w:pPr>
            <w:r w:rsidRPr="00AF512C">
              <w:rPr>
                <w:rFonts w:ascii="Arial" w:eastAsia="Arial" w:hAnsi="Arial" w:cs="Arial"/>
                <w:color w:val="000000" w:themeColor="text1"/>
                <w:sz w:val="22"/>
                <w:szCs w:val="22"/>
              </w:rPr>
              <w:t>calculated standard error</w:t>
            </w:r>
          </w:p>
        </w:tc>
      </w:tr>
      <w:tr w:rsidR="004617D0" w:rsidRPr="00AF512C" w14:paraId="3207B420" w14:textId="77777777" w:rsidTr="00AC2586">
        <w:trPr>
          <w:trHeight w:val="285"/>
        </w:trPr>
        <w:tc>
          <w:tcPr>
            <w:tcW w:w="1826" w:type="dxa"/>
            <w:tcMar>
              <w:top w:w="15" w:type="dxa"/>
              <w:left w:w="15" w:type="dxa"/>
              <w:right w:w="15" w:type="dxa"/>
            </w:tcMar>
            <w:vAlign w:val="bottom"/>
          </w:tcPr>
          <w:p w14:paraId="4A2FEF8B" w14:textId="77777777" w:rsidR="004617D0" w:rsidRPr="00AF512C" w:rsidRDefault="004617D0" w:rsidP="00AC2586">
            <w:pPr>
              <w:rPr>
                <w:rFonts w:ascii="Arial" w:eastAsia="Arial" w:hAnsi="Arial" w:cs="Arial"/>
                <w:color w:val="000000" w:themeColor="text1"/>
                <w:sz w:val="22"/>
                <w:szCs w:val="22"/>
              </w:rPr>
            </w:pPr>
          </w:p>
        </w:tc>
        <w:tc>
          <w:tcPr>
            <w:tcW w:w="680" w:type="dxa"/>
            <w:tcMar>
              <w:top w:w="15" w:type="dxa"/>
              <w:left w:w="15" w:type="dxa"/>
              <w:right w:w="15" w:type="dxa"/>
            </w:tcMar>
            <w:vAlign w:val="bottom"/>
          </w:tcPr>
          <w:p w14:paraId="2C059591" w14:textId="77777777" w:rsidR="004617D0" w:rsidRPr="00AF512C" w:rsidRDefault="004617D0" w:rsidP="00AC2586">
            <w:pPr>
              <w:jc w:val="right"/>
              <w:rPr>
                <w:rFonts w:ascii="Arial" w:eastAsia="Arial" w:hAnsi="Arial" w:cs="Arial"/>
                <w:color w:val="000000" w:themeColor="text1"/>
                <w:sz w:val="22"/>
                <w:szCs w:val="22"/>
              </w:rPr>
            </w:pPr>
          </w:p>
        </w:tc>
        <w:tc>
          <w:tcPr>
            <w:tcW w:w="282" w:type="dxa"/>
            <w:tcMar>
              <w:top w:w="15" w:type="dxa"/>
              <w:left w:w="15" w:type="dxa"/>
              <w:right w:w="15" w:type="dxa"/>
            </w:tcMar>
            <w:vAlign w:val="bottom"/>
          </w:tcPr>
          <w:p w14:paraId="6D47AEFE" w14:textId="77777777" w:rsidR="004617D0" w:rsidRPr="00AF512C" w:rsidRDefault="004617D0" w:rsidP="00AC2586">
            <w:pPr>
              <w:rPr>
                <w:rFonts w:ascii="Arial" w:eastAsia="Arial" w:hAnsi="Arial" w:cs="Arial"/>
                <w:color w:val="000000" w:themeColor="text1"/>
              </w:rPr>
            </w:pPr>
          </w:p>
        </w:tc>
        <w:tc>
          <w:tcPr>
            <w:tcW w:w="826" w:type="dxa"/>
            <w:tcMar>
              <w:top w:w="15" w:type="dxa"/>
              <w:left w:w="15" w:type="dxa"/>
              <w:right w:w="15" w:type="dxa"/>
            </w:tcMar>
            <w:vAlign w:val="bottom"/>
          </w:tcPr>
          <w:p w14:paraId="721145E0"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lower</w:t>
            </w:r>
          </w:p>
        </w:tc>
        <w:tc>
          <w:tcPr>
            <w:tcW w:w="781" w:type="dxa"/>
            <w:tcMar>
              <w:top w:w="15" w:type="dxa"/>
              <w:left w:w="15" w:type="dxa"/>
              <w:right w:w="15" w:type="dxa"/>
            </w:tcMar>
            <w:vAlign w:val="bottom"/>
          </w:tcPr>
          <w:p w14:paraId="1BB2891B"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upper</w:t>
            </w:r>
          </w:p>
        </w:tc>
        <w:tc>
          <w:tcPr>
            <w:tcW w:w="2286" w:type="dxa"/>
            <w:gridSpan w:val="2"/>
            <w:tcMar>
              <w:top w:w="15" w:type="dxa"/>
              <w:left w:w="15" w:type="dxa"/>
              <w:right w:w="15" w:type="dxa"/>
            </w:tcMar>
            <w:vAlign w:val="bottom"/>
          </w:tcPr>
          <w:p w14:paraId="2B42857C" w14:textId="77777777" w:rsidR="004617D0" w:rsidRPr="00AF512C" w:rsidRDefault="004617D0" w:rsidP="00AC2586">
            <w:pPr>
              <w:jc w:val="right"/>
              <w:rPr>
                <w:rFonts w:ascii="Arial" w:eastAsia="Arial" w:hAnsi="Arial" w:cs="Arial"/>
                <w:color w:val="000000" w:themeColor="text1"/>
                <w:sz w:val="22"/>
                <w:szCs w:val="22"/>
              </w:rPr>
            </w:pPr>
          </w:p>
        </w:tc>
      </w:tr>
      <w:tr w:rsidR="004617D0" w:rsidRPr="00AF512C" w14:paraId="1CACEB1A" w14:textId="77777777" w:rsidTr="00AC2586">
        <w:trPr>
          <w:trHeight w:val="285"/>
        </w:trPr>
        <w:tc>
          <w:tcPr>
            <w:tcW w:w="1826" w:type="dxa"/>
            <w:tcMar>
              <w:top w:w="15" w:type="dxa"/>
              <w:left w:w="15" w:type="dxa"/>
              <w:right w:w="15" w:type="dxa"/>
            </w:tcMar>
            <w:vAlign w:val="bottom"/>
          </w:tcPr>
          <w:p w14:paraId="6C95ED70" w14:textId="77777777" w:rsidR="004617D0" w:rsidRPr="00AF512C" w:rsidRDefault="004617D0" w:rsidP="00AC2586">
            <w:pPr>
              <w:rPr>
                <w:rFonts w:ascii="Arial" w:eastAsia="Arial" w:hAnsi="Arial" w:cs="Arial"/>
                <w:color w:val="000000" w:themeColor="text1"/>
                <w:sz w:val="22"/>
                <w:szCs w:val="22"/>
              </w:rPr>
            </w:pPr>
            <w:r w:rsidRPr="00AF512C">
              <w:rPr>
                <w:rFonts w:ascii="Arial" w:eastAsia="Arial" w:hAnsi="Arial" w:cs="Arial"/>
                <w:color w:val="000000" w:themeColor="text1"/>
                <w:sz w:val="22"/>
                <w:szCs w:val="22"/>
              </w:rPr>
              <w:t>HEK 2g (Figure 2)</w:t>
            </w:r>
          </w:p>
        </w:tc>
        <w:tc>
          <w:tcPr>
            <w:tcW w:w="680" w:type="dxa"/>
            <w:tcMar>
              <w:top w:w="15" w:type="dxa"/>
              <w:left w:w="15" w:type="dxa"/>
              <w:right w:w="15" w:type="dxa"/>
            </w:tcMar>
            <w:vAlign w:val="bottom"/>
          </w:tcPr>
          <w:p w14:paraId="4EC2DC45"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9.671</w:t>
            </w:r>
          </w:p>
        </w:tc>
        <w:tc>
          <w:tcPr>
            <w:tcW w:w="282" w:type="dxa"/>
            <w:tcMar>
              <w:top w:w="15" w:type="dxa"/>
              <w:left w:w="15" w:type="dxa"/>
              <w:right w:w="15" w:type="dxa"/>
            </w:tcMar>
            <w:vAlign w:val="bottom"/>
          </w:tcPr>
          <w:p w14:paraId="24892334" w14:textId="77777777" w:rsidR="004617D0" w:rsidRPr="00AF512C" w:rsidRDefault="004617D0" w:rsidP="00AC2586">
            <w:pPr>
              <w:rPr>
                <w:rFonts w:ascii="Arial" w:eastAsia="Arial" w:hAnsi="Arial" w:cs="Arial"/>
                <w:color w:val="000000" w:themeColor="text1"/>
              </w:rPr>
            </w:pPr>
          </w:p>
        </w:tc>
        <w:tc>
          <w:tcPr>
            <w:tcW w:w="826" w:type="dxa"/>
            <w:tcMar>
              <w:top w:w="15" w:type="dxa"/>
              <w:left w:w="15" w:type="dxa"/>
              <w:right w:w="15" w:type="dxa"/>
            </w:tcMar>
            <w:vAlign w:val="bottom"/>
          </w:tcPr>
          <w:p w14:paraId="3C183717"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8.869</w:t>
            </w:r>
          </w:p>
        </w:tc>
        <w:tc>
          <w:tcPr>
            <w:tcW w:w="781" w:type="dxa"/>
            <w:tcMar>
              <w:top w:w="15" w:type="dxa"/>
              <w:left w:w="15" w:type="dxa"/>
              <w:right w:w="15" w:type="dxa"/>
            </w:tcMar>
            <w:vAlign w:val="bottom"/>
          </w:tcPr>
          <w:p w14:paraId="080645D9"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10.47</w:t>
            </w:r>
          </w:p>
        </w:tc>
        <w:tc>
          <w:tcPr>
            <w:tcW w:w="2286" w:type="dxa"/>
            <w:gridSpan w:val="2"/>
            <w:tcMar>
              <w:top w:w="15" w:type="dxa"/>
              <w:left w:w="15" w:type="dxa"/>
              <w:right w:w="15" w:type="dxa"/>
            </w:tcMar>
            <w:vAlign w:val="bottom"/>
          </w:tcPr>
          <w:p w14:paraId="73B25D29"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0.41</w:t>
            </w:r>
          </w:p>
        </w:tc>
      </w:tr>
      <w:tr w:rsidR="004617D0" w:rsidRPr="00AF512C" w14:paraId="630777E3" w14:textId="77777777" w:rsidTr="00AC2586">
        <w:trPr>
          <w:trHeight w:val="285"/>
        </w:trPr>
        <w:tc>
          <w:tcPr>
            <w:tcW w:w="1826" w:type="dxa"/>
            <w:tcMar>
              <w:top w:w="15" w:type="dxa"/>
              <w:left w:w="15" w:type="dxa"/>
              <w:right w:w="15" w:type="dxa"/>
            </w:tcMar>
            <w:vAlign w:val="bottom"/>
          </w:tcPr>
          <w:p w14:paraId="30C40C01" w14:textId="77777777" w:rsidR="004617D0" w:rsidRPr="00AF512C" w:rsidRDefault="004617D0" w:rsidP="00AC2586">
            <w:pPr>
              <w:rPr>
                <w:rFonts w:ascii="Arial" w:eastAsia="Arial" w:hAnsi="Arial" w:cs="Arial"/>
                <w:color w:val="000000" w:themeColor="text1"/>
                <w:sz w:val="22"/>
                <w:szCs w:val="22"/>
              </w:rPr>
            </w:pPr>
            <w:r w:rsidRPr="00AF512C">
              <w:rPr>
                <w:rFonts w:ascii="Arial" w:eastAsia="Arial" w:hAnsi="Arial" w:cs="Arial"/>
                <w:color w:val="000000" w:themeColor="text1"/>
                <w:sz w:val="22"/>
                <w:szCs w:val="22"/>
              </w:rPr>
              <w:t>H9c2 2g (Figure 4)</w:t>
            </w:r>
          </w:p>
        </w:tc>
        <w:tc>
          <w:tcPr>
            <w:tcW w:w="680" w:type="dxa"/>
            <w:tcMar>
              <w:top w:w="15" w:type="dxa"/>
              <w:left w:w="15" w:type="dxa"/>
              <w:right w:w="15" w:type="dxa"/>
            </w:tcMar>
            <w:vAlign w:val="bottom"/>
          </w:tcPr>
          <w:p w14:paraId="6C0D47BF"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30.42</w:t>
            </w:r>
          </w:p>
        </w:tc>
        <w:tc>
          <w:tcPr>
            <w:tcW w:w="282" w:type="dxa"/>
            <w:tcMar>
              <w:top w:w="15" w:type="dxa"/>
              <w:left w:w="15" w:type="dxa"/>
              <w:right w:w="15" w:type="dxa"/>
            </w:tcMar>
            <w:vAlign w:val="bottom"/>
          </w:tcPr>
          <w:p w14:paraId="54864BDE" w14:textId="77777777" w:rsidR="004617D0" w:rsidRPr="00AF512C" w:rsidRDefault="004617D0" w:rsidP="00AC2586">
            <w:pPr>
              <w:rPr>
                <w:rFonts w:ascii="Arial" w:eastAsia="Arial" w:hAnsi="Arial" w:cs="Arial"/>
                <w:color w:val="000000" w:themeColor="text1"/>
              </w:rPr>
            </w:pPr>
          </w:p>
        </w:tc>
        <w:tc>
          <w:tcPr>
            <w:tcW w:w="826" w:type="dxa"/>
            <w:tcMar>
              <w:top w:w="15" w:type="dxa"/>
              <w:left w:w="15" w:type="dxa"/>
              <w:right w:w="15" w:type="dxa"/>
            </w:tcMar>
            <w:vAlign w:val="bottom"/>
          </w:tcPr>
          <w:p w14:paraId="3F1969A0"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24.74</w:t>
            </w:r>
          </w:p>
        </w:tc>
        <w:tc>
          <w:tcPr>
            <w:tcW w:w="781" w:type="dxa"/>
            <w:tcMar>
              <w:top w:w="15" w:type="dxa"/>
              <w:left w:w="15" w:type="dxa"/>
              <w:right w:w="15" w:type="dxa"/>
            </w:tcMar>
            <w:vAlign w:val="bottom"/>
          </w:tcPr>
          <w:p w14:paraId="4CF60121"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36.11</w:t>
            </w:r>
          </w:p>
        </w:tc>
        <w:tc>
          <w:tcPr>
            <w:tcW w:w="2286" w:type="dxa"/>
            <w:gridSpan w:val="2"/>
            <w:tcMar>
              <w:top w:w="15" w:type="dxa"/>
              <w:left w:w="15" w:type="dxa"/>
              <w:right w:w="15" w:type="dxa"/>
            </w:tcMar>
            <w:vAlign w:val="bottom"/>
          </w:tcPr>
          <w:p w14:paraId="14963F4F"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2.79</w:t>
            </w:r>
          </w:p>
        </w:tc>
      </w:tr>
      <w:tr w:rsidR="004617D0" w:rsidRPr="00AF512C" w14:paraId="1944A306" w14:textId="77777777" w:rsidTr="00AC2586">
        <w:trPr>
          <w:trHeight w:val="285"/>
        </w:trPr>
        <w:tc>
          <w:tcPr>
            <w:tcW w:w="1826" w:type="dxa"/>
            <w:tcMar>
              <w:top w:w="15" w:type="dxa"/>
              <w:left w:w="15" w:type="dxa"/>
              <w:right w:w="15" w:type="dxa"/>
            </w:tcMar>
            <w:vAlign w:val="bottom"/>
          </w:tcPr>
          <w:p w14:paraId="308F3687" w14:textId="77777777" w:rsidR="004617D0" w:rsidRPr="00AF512C" w:rsidRDefault="004617D0" w:rsidP="00AC2586">
            <w:pPr>
              <w:rPr>
                <w:rFonts w:ascii="Arial" w:eastAsia="Arial" w:hAnsi="Arial" w:cs="Arial"/>
                <w:color w:val="000000" w:themeColor="text1"/>
                <w:sz w:val="22"/>
                <w:szCs w:val="22"/>
              </w:rPr>
            </w:pPr>
            <w:r w:rsidRPr="00AF512C">
              <w:rPr>
                <w:rFonts w:ascii="Arial" w:eastAsia="Arial" w:hAnsi="Arial" w:cs="Arial"/>
                <w:color w:val="000000" w:themeColor="text1"/>
                <w:sz w:val="22"/>
                <w:szCs w:val="22"/>
              </w:rPr>
              <w:t>H9c2 retinoic 2g (Figure S5)</w:t>
            </w:r>
          </w:p>
        </w:tc>
        <w:tc>
          <w:tcPr>
            <w:tcW w:w="680" w:type="dxa"/>
            <w:tcMar>
              <w:top w:w="15" w:type="dxa"/>
              <w:left w:w="15" w:type="dxa"/>
              <w:right w:w="15" w:type="dxa"/>
            </w:tcMar>
            <w:vAlign w:val="bottom"/>
          </w:tcPr>
          <w:p w14:paraId="012BA493"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3.294</w:t>
            </w:r>
          </w:p>
        </w:tc>
        <w:tc>
          <w:tcPr>
            <w:tcW w:w="282" w:type="dxa"/>
            <w:tcMar>
              <w:top w:w="15" w:type="dxa"/>
              <w:left w:w="15" w:type="dxa"/>
              <w:right w:w="15" w:type="dxa"/>
            </w:tcMar>
            <w:vAlign w:val="bottom"/>
          </w:tcPr>
          <w:p w14:paraId="0255527B" w14:textId="77777777" w:rsidR="004617D0" w:rsidRPr="00AF512C" w:rsidRDefault="004617D0" w:rsidP="00AC2586">
            <w:pPr>
              <w:rPr>
                <w:rFonts w:ascii="Arial" w:eastAsia="Arial" w:hAnsi="Arial" w:cs="Arial"/>
                <w:color w:val="000000" w:themeColor="text1"/>
              </w:rPr>
            </w:pPr>
          </w:p>
        </w:tc>
        <w:tc>
          <w:tcPr>
            <w:tcW w:w="826" w:type="dxa"/>
            <w:tcMar>
              <w:top w:w="15" w:type="dxa"/>
              <w:left w:w="15" w:type="dxa"/>
              <w:right w:w="15" w:type="dxa"/>
            </w:tcMar>
            <w:vAlign w:val="bottom"/>
          </w:tcPr>
          <w:p w14:paraId="1E49D935"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2.385</w:t>
            </w:r>
          </w:p>
        </w:tc>
        <w:tc>
          <w:tcPr>
            <w:tcW w:w="781" w:type="dxa"/>
            <w:tcMar>
              <w:top w:w="15" w:type="dxa"/>
              <w:left w:w="15" w:type="dxa"/>
              <w:right w:w="15" w:type="dxa"/>
            </w:tcMar>
            <w:vAlign w:val="bottom"/>
          </w:tcPr>
          <w:p w14:paraId="121E7ECA"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4.203</w:t>
            </w:r>
          </w:p>
        </w:tc>
        <w:tc>
          <w:tcPr>
            <w:tcW w:w="2286" w:type="dxa"/>
            <w:gridSpan w:val="2"/>
            <w:tcMar>
              <w:top w:w="15" w:type="dxa"/>
              <w:left w:w="15" w:type="dxa"/>
              <w:right w:w="15" w:type="dxa"/>
            </w:tcMar>
            <w:vAlign w:val="bottom"/>
          </w:tcPr>
          <w:p w14:paraId="36F2BCE0"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0.45</w:t>
            </w:r>
          </w:p>
        </w:tc>
      </w:tr>
      <w:tr w:rsidR="004617D0" w:rsidRPr="00AF512C" w14:paraId="0427033A" w14:textId="77777777" w:rsidTr="00AC2586">
        <w:trPr>
          <w:trHeight w:val="285"/>
        </w:trPr>
        <w:tc>
          <w:tcPr>
            <w:tcW w:w="1826" w:type="dxa"/>
            <w:tcMar>
              <w:top w:w="15" w:type="dxa"/>
              <w:left w:w="15" w:type="dxa"/>
              <w:right w:w="15" w:type="dxa"/>
            </w:tcMar>
            <w:vAlign w:val="bottom"/>
          </w:tcPr>
          <w:p w14:paraId="792EDD8A" w14:textId="77777777" w:rsidR="004617D0" w:rsidRPr="00AF512C" w:rsidRDefault="004617D0" w:rsidP="00AC2586">
            <w:pPr>
              <w:rPr>
                <w:rFonts w:ascii="Arial" w:eastAsia="Arial" w:hAnsi="Arial" w:cs="Arial"/>
                <w:color w:val="000000" w:themeColor="text1"/>
              </w:rPr>
            </w:pPr>
          </w:p>
        </w:tc>
        <w:tc>
          <w:tcPr>
            <w:tcW w:w="680" w:type="dxa"/>
            <w:tcMar>
              <w:top w:w="15" w:type="dxa"/>
              <w:left w:w="15" w:type="dxa"/>
              <w:right w:w="15" w:type="dxa"/>
            </w:tcMar>
            <w:vAlign w:val="bottom"/>
          </w:tcPr>
          <w:p w14:paraId="15F5F876" w14:textId="77777777" w:rsidR="004617D0" w:rsidRPr="00AF512C" w:rsidRDefault="004617D0" w:rsidP="00AC2586">
            <w:pPr>
              <w:rPr>
                <w:rFonts w:ascii="Arial" w:eastAsia="Arial" w:hAnsi="Arial" w:cs="Arial"/>
                <w:color w:val="000000" w:themeColor="text1"/>
              </w:rPr>
            </w:pPr>
          </w:p>
        </w:tc>
        <w:tc>
          <w:tcPr>
            <w:tcW w:w="282" w:type="dxa"/>
            <w:tcMar>
              <w:top w:w="15" w:type="dxa"/>
              <w:left w:w="15" w:type="dxa"/>
              <w:right w:w="15" w:type="dxa"/>
            </w:tcMar>
            <w:vAlign w:val="bottom"/>
          </w:tcPr>
          <w:p w14:paraId="18498DFA" w14:textId="77777777" w:rsidR="004617D0" w:rsidRPr="00AF512C" w:rsidRDefault="004617D0" w:rsidP="00AC2586">
            <w:pPr>
              <w:rPr>
                <w:rFonts w:ascii="Arial" w:eastAsia="Arial" w:hAnsi="Arial" w:cs="Arial"/>
                <w:color w:val="000000" w:themeColor="text1"/>
              </w:rPr>
            </w:pPr>
          </w:p>
        </w:tc>
        <w:tc>
          <w:tcPr>
            <w:tcW w:w="826" w:type="dxa"/>
            <w:tcMar>
              <w:top w:w="15" w:type="dxa"/>
              <w:left w:w="15" w:type="dxa"/>
              <w:right w:w="15" w:type="dxa"/>
            </w:tcMar>
            <w:vAlign w:val="bottom"/>
          </w:tcPr>
          <w:p w14:paraId="58D871C2" w14:textId="77777777" w:rsidR="004617D0" w:rsidRPr="00AF512C" w:rsidRDefault="004617D0" w:rsidP="00AC2586">
            <w:pPr>
              <w:rPr>
                <w:rFonts w:ascii="Arial" w:eastAsia="Arial" w:hAnsi="Arial" w:cs="Arial"/>
                <w:color w:val="000000" w:themeColor="text1"/>
              </w:rPr>
            </w:pPr>
          </w:p>
        </w:tc>
        <w:tc>
          <w:tcPr>
            <w:tcW w:w="781" w:type="dxa"/>
            <w:tcMar>
              <w:top w:w="15" w:type="dxa"/>
              <w:left w:w="15" w:type="dxa"/>
              <w:right w:w="15" w:type="dxa"/>
            </w:tcMar>
            <w:vAlign w:val="bottom"/>
          </w:tcPr>
          <w:p w14:paraId="0290F353" w14:textId="77777777" w:rsidR="004617D0" w:rsidRPr="00AF512C" w:rsidRDefault="004617D0" w:rsidP="00AC2586">
            <w:pPr>
              <w:rPr>
                <w:rFonts w:ascii="Arial" w:eastAsia="Arial" w:hAnsi="Arial" w:cs="Arial"/>
                <w:color w:val="000000" w:themeColor="text1"/>
              </w:rPr>
            </w:pPr>
          </w:p>
        </w:tc>
        <w:tc>
          <w:tcPr>
            <w:tcW w:w="2286" w:type="dxa"/>
            <w:gridSpan w:val="2"/>
            <w:tcMar>
              <w:top w:w="15" w:type="dxa"/>
              <w:left w:w="15" w:type="dxa"/>
              <w:right w:w="15" w:type="dxa"/>
            </w:tcMar>
            <w:vAlign w:val="bottom"/>
          </w:tcPr>
          <w:p w14:paraId="0DD37472" w14:textId="77777777" w:rsidR="004617D0" w:rsidRPr="00AF512C" w:rsidRDefault="004617D0" w:rsidP="00AC2586">
            <w:pPr>
              <w:rPr>
                <w:rFonts w:ascii="Arial" w:eastAsia="Arial" w:hAnsi="Arial" w:cs="Arial"/>
                <w:color w:val="000000" w:themeColor="text1"/>
              </w:rPr>
            </w:pPr>
          </w:p>
        </w:tc>
      </w:tr>
      <w:tr w:rsidR="004617D0" w:rsidRPr="00AF512C" w14:paraId="245DB29D" w14:textId="77777777" w:rsidTr="00AC2586">
        <w:trPr>
          <w:trHeight w:val="285"/>
        </w:trPr>
        <w:tc>
          <w:tcPr>
            <w:tcW w:w="1826" w:type="dxa"/>
            <w:tcMar>
              <w:top w:w="15" w:type="dxa"/>
              <w:left w:w="15" w:type="dxa"/>
              <w:right w:w="15" w:type="dxa"/>
            </w:tcMar>
            <w:vAlign w:val="bottom"/>
          </w:tcPr>
          <w:p w14:paraId="67B368F6" w14:textId="77777777" w:rsidR="004617D0" w:rsidRPr="00AF512C" w:rsidRDefault="004617D0" w:rsidP="00AC2586">
            <w:pPr>
              <w:rPr>
                <w:rFonts w:ascii="Arial" w:eastAsia="Arial" w:hAnsi="Arial" w:cs="Arial"/>
                <w:color w:val="000000" w:themeColor="text1"/>
              </w:rPr>
            </w:pPr>
          </w:p>
        </w:tc>
        <w:tc>
          <w:tcPr>
            <w:tcW w:w="680" w:type="dxa"/>
            <w:tcMar>
              <w:top w:w="15" w:type="dxa"/>
              <w:left w:w="15" w:type="dxa"/>
              <w:right w:w="15" w:type="dxa"/>
            </w:tcMar>
            <w:vAlign w:val="bottom"/>
          </w:tcPr>
          <w:p w14:paraId="68CE9B9A" w14:textId="77777777" w:rsidR="004617D0" w:rsidRPr="00AF512C" w:rsidRDefault="004617D0" w:rsidP="00AC2586">
            <w:pPr>
              <w:rPr>
                <w:rFonts w:ascii="Arial" w:eastAsia="Arial" w:hAnsi="Arial" w:cs="Arial"/>
                <w:color w:val="000000" w:themeColor="text1"/>
              </w:rPr>
            </w:pPr>
          </w:p>
        </w:tc>
        <w:tc>
          <w:tcPr>
            <w:tcW w:w="282" w:type="dxa"/>
            <w:tcMar>
              <w:top w:w="15" w:type="dxa"/>
              <w:left w:w="15" w:type="dxa"/>
              <w:right w:w="15" w:type="dxa"/>
            </w:tcMar>
            <w:vAlign w:val="bottom"/>
          </w:tcPr>
          <w:p w14:paraId="593454E9" w14:textId="77777777" w:rsidR="004617D0" w:rsidRPr="00AF512C" w:rsidRDefault="004617D0" w:rsidP="00AC2586">
            <w:pPr>
              <w:rPr>
                <w:rFonts w:ascii="Arial" w:eastAsia="Arial" w:hAnsi="Arial" w:cs="Arial"/>
                <w:color w:val="000000" w:themeColor="text1"/>
              </w:rPr>
            </w:pPr>
          </w:p>
        </w:tc>
        <w:tc>
          <w:tcPr>
            <w:tcW w:w="826" w:type="dxa"/>
            <w:tcMar>
              <w:top w:w="15" w:type="dxa"/>
              <w:left w:w="15" w:type="dxa"/>
              <w:right w:w="15" w:type="dxa"/>
            </w:tcMar>
            <w:vAlign w:val="bottom"/>
          </w:tcPr>
          <w:p w14:paraId="47AA530C" w14:textId="77777777" w:rsidR="004617D0" w:rsidRPr="00AF512C" w:rsidRDefault="004617D0" w:rsidP="00AC2586">
            <w:pPr>
              <w:rPr>
                <w:rFonts w:ascii="Arial" w:eastAsia="Arial" w:hAnsi="Arial" w:cs="Arial"/>
                <w:color w:val="000000" w:themeColor="text1"/>
              </w:rPr>
            </w:pPr>
          </w:p>
        </w:tc>
        <w:tc>
          <w:tcPr>
            <w:tcW w:w="781" w:type="dxa"/>
            <w:tcMar>
              <w:top w:w="15" w:type="dxa"/>
              <w:left w:w="15" w:type="dxa"/>
              <w:right w:w="15" w:type="dxa"/>
            </w:tcMar>
            <w:vAlign w:val="bottom"/>
          </w:tcPr>
          <w:p w14:paraId="6C40DC7B" w14:textId="77777777" w:rsidR="004617D0" w:rsidRPr="00AF512C" w:rsidRDefault="004617D0" w:rsidP="00AC2586">
            <w:pPr>
              <w:rPr>
                <w:rFonts w:ascii="Arial" w:eastAsia="Arial" w:hAnsi="Arial" w:cs="Arial"/>
                <w:color w:val="000000" w:themeColor="text1"/>
              </w:rPr>
            </w:pPr>
          </w:p>
        </w:tc>
        <w:tc>
          <w:tcPr>
            <w:tcW w:w="2286" w:type="dxa"/>
            <w:gridSpan w:val="2"/>
            <w:tcMar>
              <w:top w:w="15" w:type="dxa"/>
              <w:left w:w="15" w:type="dxa"/>
              <w:right w:w="15" w:type="dxa"/>
            </w:tcMar>
            <w:vAlign w:val="bottom"/>
          </w:tcPr>
          <w:p w14:paraId="0F5754D2" w14:textId="77777777" w:rsidR="004617D0" w:rsidRPr="00AF512C" w:rsidRDefault="004617D0" w:rsidP="00AC2586">
            <w:pPr>
              <w:rPr>
                <w:rFonts w:ascii="Arial" w:eastAsia="Arial" w:hAnsi="Arial" w:cs="Arial"/>
                <w:color w:val="000000" w:themeColor="text1"/>
              </w:rPr>
            </w:pPr>
          </w:p>
        </w:tc>
      </w:tr>
      <w:tr w:rsidR="004617D0" w:rsidRPr="00AF512C" w14:paraId="2930BF90" w14:textId="77777777" w:rsidTr="00AC2586">
        <w:trPr>
          <w:trHeight w:val="285"/>
        </w:trPr>
        <w:tc>
          <w:tcPr>
            <w:tcW w:w="1826" w:type="dxa"/>
            <w:tcMar>
              <w:top w:w="15" w:type="dxa"/>
              <w:left w:w="15" w:type="dxa"/>
              <w:right w:w="15" w:type="dxa"/>
            </w:tcMar>
            <w:vAlign w:val="bottom"/>
          </w:tcPr>
          <w:p w14:paraId="3999FEF6" w14:textId="77777777" w:rsidR="004617D0" w:rsidRPr="00AF512C" w:rsidRDefault="004617D0" w:rsidP="00AC2586">
            <w:pPr>
              <w:rPr>
                <w:rFonts w:ascii="Arial" w:eastAsia="Arial" w:hAnsi="Arial" w:cs="Arial"/>
                <w:color w:val="000000" w:themeColor="text1"/>
                <w:sz w:val="22"/>
                <w:szCs w:val="22"/>
              </w:rPr>
            </w:pPr>
            <w:r w:rsidRPr="00AF512C">
              <w:rPr>
                <w:rFonts w:ascii="Arial" w:eastAsia="Arial" w:hAnsi="Arial" w:cs="Arial"/>
                <w:color w:val="000000" w:themeColor="text1"/>
                <w:sz w:val="22"/>
                <w:szCs w:val="22"/>
              </w:rPr>
              <w:t>HEK 1g (Figure 2)</w:t>
            </w:r>
          </w:p>
        </w:tc>
        <w:tc>
          <w:tcPr>
            <w:tcW w:w="680" w:type="dxa"/>
            <w:tcMar>
              <w:top w:w="15" w:type="dxa"/>
              <w:left w:w="15" w:type="dxa"/>
              <w:right w:w="15" w:type="dxa"/>
            </w:tcMar>
            <w:vAlign w:val="bottom"/>
          </w:tcPr>
          <w:p w14:paraId="63D6F99C"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156.9</w:t>
            </w:r>
          </w:p>
        </w:tc>
        <w:tc>
          <w:tcPr>
            <w:tcW w:w="282" w:type="dxa"/>
            <w:tcMar>
              <w:top w:w="15" w:type="dxa"/>
              <w:left w:w="15" w:type="dxa"/>
              <w:right w:w="15" w:type="dxa"/>
            </w:tcMar>
            <w:vAlign w:val="bottom"/>
          </w:tcPr>
          <w:p w14:paraId="4932B222" w14:textId="77777777" w:rsidR="004617D0" w:rsidRPr="00AF512C" w:rsidRDefault="004617D0" w:rsidP="00AC2586">
            <w:pPr>
              <w:rPr>
                <w:rFonts w:ascii="Arial" w:eastAsia="Arial" w:hAnsi="Arial" w:cs="Arial"/>
                <w:color w:val="000000" w:themeColor="text1"/>
              </w:rPr>
            </w:pPr>
          </w:p>
        </w:tc>
        <w:tc>
          <w:tcPr>
            <w:tcW w:w="826" w:type="dxa"/>
            <w:tcMar>
              <w:top w:w="15" w:type="dxa"/>
              <w:left w:w="15" w:type="dxa"/>
              <w:right w:w="15" w:type="dxa"/>
            </w:tcMar>
            <w:vAlign w:val="bottom"/>
          </w:tcPr>
          <w:p w14:paraId="38E8A1BC"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144.1</w:t>
            </w:r>
          </w:p>
        </w:tc>
        <w:tc>
          <w:tcPr>
            <w:tcW w:w="781" w:type="dxa"/>
            <w:tcMar>
              <w:top w:w="15" w:type="dxa"/>
              <w:left w:w="15" w:type="dxa"/>
              <w:right w:w="15" w:type="dxa"/>
            </w:tcMar>
            <w:vAlign w:val="bottom"/>
          </w:tcPr>
          <w:p w14:paraId="4F918BE7"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169.7</w:t>
            </w:r>
          </w:p>
        </w:tc>
        <w:tc>
          <w:tcPr>
            <w:tcW w:w="2286" w:type="dxa"/>
            <w:gridSpan w:val="2"/>
            <w:tcMar>
              <w:top w:w="15" w:type="dxa"/>
              <w:left w:w="15" w:type="dxa"/>
              <w:right w:w="15" w:type="dxa"/>
            </w:tcMar>
            <w:vAlign w:val="bottom"/>
          </w:tcPr>
          <w:p w14:paraId="1DB0F842"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6.49</w:t>
            </w:r>
          </w:p>
        </w:tc>
      </w:tr>
      <w:tr w:rsidR="004617D0" w:rsidRPr="00AF512C" w14:paraId="19407843" w14:textId="77777777" w:rsidTr="00AC2586">
        <w:trPr>
          <w:trHeight w:val="285"/>
        </w:trPr>
        <w:tc>
          <w:tcPr>
            <w:tcW w:w="1826" w:type="dxa"/>
            <w:tcMar>
              <w:top w:w="15" w:type="dxa"/>
              <w:left w:w="15" w:type="dxa"/>
              <w:right w:w="15" w:type="dxa"/>
            </w:tcMar>
            <w:vAlign w:val="bottom"/>
          </w:tcPr>
          <w:p w14:paraId="4E31CB02" w14:textId="77777777" w:rsidR="004617D0" w:rsidRPr="00AF512C" w:rsidRDefault="004617D0" w:rsidP="00AC2586">
            <w:pPr>
              <w:rPr>
                <w:rFonts w:ascii="Arial" w:eastAsia="Arial" w:hAnsi="Arial" w:cs="Arial"/>
                <w:color w:val="000000" w:themeColor="text1"/>
                <w:sz w:val="22"/>
                <w:szCs w:val="22"/>
              </w:rPr>
            </w:pPr>
            <w:r w:rsidRPr="00AF512C">
              <w:rPr>
                <w:rFonts w:ascii="Arial" w:eastAsia="Arial" w:hAnsi="Arial" w:cs="Arial"/>
                <w:color w:val="000000" w:themeColor="text1"/>
                <w:sz w:val="22"/>
                <w:szCs w:val="22"/>
              </w:rPr>
              <w:t>H9c2 1g (Figure 4)</w:t>
            </w:r>
          </w:p>
        </w:tc>
        <w:tc>
          <w:tcPr>
            <w:tcW w:w="680" w:type="dxa"/>
            <w:tcMar>
              <w:top w:w="15" w:type="dxa"/>
              <w:left w:w="15" w:type="dxa"/>
              <w:right w:w="15" w:type="dxa"/>
            </w:tcMar>
            <w:vAlign w:val="bottom"/>
          </w:tcPr>
          <w:p w14:paraId="6745E171"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21.44</w:t>
            </w:r>
          </w:p>
        </w:tc>
        <w:tc>
          <w:tcPr>
            <w:tcW w:w="282" w:type="dxa"/>
            <w:tcMar>
              <w:top w:w="15" w:type="dxa"/>
              <w:left w:w="15" w:type="dxa"/>
              <w:right w:w="15" w:type="dxa"/>
            </w:tcMar>
            <w:vAlign w:val="bottom"/>
          </w:tcPr>
          <w:p w14:paraId="7EE6A475" w14:textId="77777777" w:rsidR="004617D0" w:rsidRPr="00AF512C" w:rsidRDefault="004617D0" w:rsidP="00AC2586">
            <w:pPr>
              <w:rPr>
                <w:rFonts w:ascii="Arial" w:eastAsia="Arial" w:hAnsi="Arial" w:cs="Arial"/>
                <w:color w:val="000000" w:themeColor="text1"/>
              </w:rPr>
            </w:pPr>
          </w:p>
        </w:tc>
        <w:tc>
          <w:tcPr>
            <w:tcW w:w="826" w:type="dxa"/>
            <w:tcMar>
              <w:top w:w="15" w:type="dxa"/>
              <w:left w:w="15" w:type="dxa"/>
              <w:right w:w="15" w:type="dxa"/>
            </w:tcMar>
            <w:vAlign w:val="bottom"/>
          </w:tcPr>
          <w:p w14:paraId="714018BB"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20.01</w:t>
            </w:r>
          </w:p>
        </w:tc>
        <w:tc>
          <w:tcPr>
            <w:tcW w:w="781" w:type="dxa"/>
            <w:tcMar>
              <w:top w:w="15" w:type="dxa"/>
              <w:left w:w="15" w:type="dxa"/>
              <w:right w:w="15" w:type="dxa"/>
            </w:tcMar>
            <w:vAlign w:val="bottom"/>
          </w:tcPr>
          <w:p w14:paraId="4301C448"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22.88</w:t>
            </w:r>
          </w:p>
        </w:tc>
        <w:tc>
          <w:tcPr>
            <w:tcW w:w="2286" w:type="dxa"/>
            <w:gridSpan w:val="2"/>
            <w:tcMar>
              <w:top w:w="15" w:type="dxa"/>
              <w:left w:w="15" w:type="dxa"/>
              <w:right w:w="15" w:type="dxa"/>
            </w:tcMar>
            <w:vAlign w:val="bottom"/>
          </w:tcPr>
          <w:p w14:paraId="35D3CBDC" w14:textId="77777777" w:rsidR="004617D0" w:rsidRPr="00AF512C" w:rsidRDefault="004617D0" w:rsidP="00AC2586">
            <w:pPr>
              <w:jc w:val="right"/>
              <w:rPr>
                <w:rFonts w:ascii="Arial" w:eastAsia="Arial" w:hAnsi="Arial" w:cs="Arial"/>
                <w:color w:val="000000" w:themeColor="text1"/>
                <w:sz w:val="22"/>
                <w:szCs w:val="22"/>
              </w:rPr>
            </w:pPr>
            <w:r w:rsidRPr="00AF512C">
              <w:rPr>
                <w:rFonts w:ascii="Arial" w:eastAsia="Arial" w:hAnsi="Arial" w:cs="Arial"/>
                <w:color w:val="000000" w:themeColor="text1"/>
                <w:sz w:val="22"/>
                <w:szCs w:val="22"/>
              </w:rPr>
              <w:t>0.72</w:t>
            </w:r>
          </w:p>
        </w:tc>
      </w:tr>
    </w:tbl>
    <w:p w14:paraId="595264CD" w14:textId="77777777" w:rsidR="004617D0" w:rsidRPr="00AF512C" w:rsidRDefault="004617D0" w:rsidP="004617D0">
      <w:pPr>
        <w:tabs>
          <w:tab w:val="left" w:pos="2460"/>
        </w:tabs>
        <w:rPr>
          <w:rFonts w:ascii="Arial" w:hAnsi="Arial" w:cs="Arial"/>
          <w:color w:val="000000" w:themeColor="text1"/>
        </w:rPr>
      </w:pPr>
    </w:p>
    <w:p w14:paraId="48F1EABB" w14:textId="77777777" w:rsidR="004617D0" w:rsidRPr="00AF512C" w:rsidRDefault="004617D0" w:rsidP="004617D0">
      <w:pPr>
        <w:tabs>
          <w:tab w:val="left" w:pos="2460"/>
        </w:tabs>
        <w:rPr>
          <w:rFonts w:ascii="Cambria Math" w:hAnsi="Cambria Math" w:cs="Arial"/>
          <w:color w:val="000000" w:themeColor="text1"/>
        </w:rPr>
      </w:pPr>
      <w:r w:rsidRPr="00AF512C">
        <w:rPr>
          <w:rFonts w:ascii="Arial" w:hAnsi="Arial" w:cs="Arial"/>
          <w:b/>
          <w:bCs/>
          <w:color w:val="000000" w:themeColor="text1"/>
        </w:rPr>
        <w:t xml:space="preserve">Supplementary Table 1: result of the fit of kinetic cAMP accumulation traces in Figures 2,4 and S5 and associated confidence intervals for  the time constant </w:t>
      </w:r>
      <w:r w:rsidRPr="00AF512C">
        <w:rPr>
          <w:rFonts w:ascii="Cambria Math" w:hAnsi="Cambria Math" w:cs="Arial"/>
          <w:b/>
          <w:bCs/>
          <w:color w:val="000000" w:themeColor="text1"/>
        </w:rPr>
        <w:t>𝛕.</w:t>
      </w:r>
    </w:p>
    <w:p w14:paraId="6B1ED65A" w14:textId="03C6F51C" w:rsidR="00FE36C9" w:rsidRDefault="00FE36C9">
      <w:pPr>
        <w:rPr>
          <w:rFonts w:ascii="Arial" w:hAnsi="Arial" w:cs="Arial"/>
          <w:b/>
          <w:bCs/>
          <w:color w:val="000000" w:themeColor="text1"/>
        </w:rPr>
      </w:pPr>
    </w:p>
    <w:sectPr w:rsidR="00FE36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6C9"/>
    <w:rsid w:val="00006BB9"/>
    <w:rsid w:val="0001193D"/>
    <w:rsid w:val="00016A95"/>
    <w:rsid w:val="0002784A"/>
    <w:rsid w:val="0003264A"/>
    <w:rsid w:val="000356DD"/>
    <w:rsid w:val="00037B18"/>
    <w:rsid w:val="00051EE7"/>
    <w:rsid w:val="00055375"/>
    <w:rsid w:val="00062E60"/>
    <w:rsid w:val="000721B4"/>
    <w:rsid w:val="000808C1"/>
    <w:rsid w:val="0008111A"/>
    <w:rsid w:val="000824F5"/>
    <w:rsid w:val="00086140"/>
    <w:rsid w:val="00095C27"/>
    <w:rsid w:val="000A1B14"/>
    <w:rsid w:val="000A6500"/>
    <w:rsid w:val="000C620C"/>
    <w:rsid w:val="000D27A0"/>
    <w:rsid w:val="000E62A2"/>
    <w:rsid w:val="000E68E5"/>
    <w:rsid w:val="000E748F"/>
    <w:rsid w:val="000F186E"/>
    <w:rsid w:val="000F1998"/>
    <w:rsid w:val="00112C70"/>
    <w:rsid w:val="00137690"/>
    <w:rsid w:val="00145634"/>
    <w:rsid w:val="001468B8"/>
    <w:rsid w:val="00147549"/>
    <w:rsid w:val="0016028E"/>
    <w:rsid w:val="00161D3C"/>
    <w:rsid w:val="0016477C"/>
    <w:rsid w:val="00174B7D"/>
    <w:rsid w:val="001753B5"/>
    <w:rsid w:val="001773F7"/>
    <w:rsid w:val="00186028"/>
    <w:rsid w:val="00186475"/>
    <w:rsid w:val="00194398"/>
    <w:rsid w:val="001A09DE"/>
    <w:rsid w:val="001C1064"/>
    <w:rsid w:val="001C5662"/>
    <w:rsid w:val="001D1B78"/>
    <w:rsid w:val="001E0A92"/>
    <w:rsid w:val="001E5B46"/>
    <w:rsid w:val="001F26E0"/>
    <w:rsid w:val="002013CD"/>
    <w:rsid w:val="00210583"/>
    <w:rsid w:val="00222EB1"/>
    <w:rsid w:val="00224632"/>
    <w:rsid w:val="00246E14"/>
    <w:rsid w:val="00252487"/>
    <w:rsid w:val="00261C95"/>
    <w:rsid w:val="00263EFA"/>
    <w:rsid w:val="0026797E"/>
    <w:rsid w:val="00274D88"/>
    <w:rsid w:val="002756E5"/>
    <w:rsid w:val="00280569"/>
    <w:rsid w:val="00281413"/>
    <w:rsid w:val="002931F0"/>
    <w:rsid w:val="002A7C39"/>
    <w:rsid w:val="002B0D1E"/>
    <w:rsid w:val="002C221F"/>
    <w:rsid w:val="002C39D8"/>
    <w:rsid w:val="002D589C"/>
    <w:rsid w:val="002D72CE"/>
    <w:rsid w:val="002E50BD"/>
    <w:rsid w:val="002F6021"/>
    <w:rsid w:val="00311928"/>
    <w:rsid w:val="00316013"/>
    <w:rsid w:val="0031702B"/>
    <w:rsid w:val="0031754D"/>
    <w:rsid w:val="00322107"/>
    <w:rsid w:val="00326157"/>
    <w:rsid w:val="0033481B"/>
    <w:rsid w:val="00334C36"/>
    <w:rsid w:val="00374C67"/>
    <w:rsid w:val="0038722B"/>
    <w:rsid w:val="00393106"/>
    <w:rsid w:val="00396C01"/>
    <w:rsid w:val="003A400D"/>
    <w:rsid w:val="003B1314"/>
    <w:rsid w:val="003C14D5"/>
    <w:rsid w:val="003C7C21"/>
    <w:rsid w:val="003D1092"/>
    <w:rsid w:val="003D1B55"/>
    <w:rsid w:val="003D1C7F"/>
    <w:rsid w:val="003D21BD"/>
    <w:rsid w:val="003E4066"/>
    <w:rsid w:val="003E6E15"/>
    <w:rsid w:val="003F147D"/>
    <w:rsid w:val="003F4256"/>
    <w:rsid w:val="004028A4"/>
    <w:rsid w:val="00406994"/>
    <w:rsid w:val="00406B6D"/>
    <w:rsid w:val="004164A8"/>
    <w:rsid w:val="0041778C"/>
    <w:rsid w:val="004328C3"/>
    <w:rsid w:val="004334E9"/>
    <w:rsid w:val="00451723"/>
    <w:rsid w:val="0045219B"/>
    <w:rsid w:val="004565B1"/>
    <w:rsid w:val="004569DD"/>
    <w:rsid w:val="004617D0"/>
    <w:rsid w:val="00464A8A"/>
    <w:rsid w:val="00474419"/>
    <w:rsid w:val="00475500"/>
    <w:rsid w:val="00480802"/>
    <w:rsid w:val="004A632F"/>
    <w:rsid w:val="004B1409"/>
    <w:rsid w:val="004B3CD9"/>
    <w:rsid w:val="004C231C"/>
    <w:rsid w:val="004D536B"/>
    <w:rsid w:val="004D69CD"/>
    <w:rsid w:val="004E78F3"/>
    <w:rsid w:val="004F7BE7"/>
    <w:rsid w:val="005000A6"/>
    <w:rsid w:val="00501B64"/>
    <w:rsid w:val="00505000"/>
    <w:rsid w:val="00507F4F"/>
    <w:rsid w:val="00511BB4"/>
    <w:rsid w:val="00521460"/>
    <w:rsid w:val="0052176E"/>
    <w:rsid w:val="0052518A"/>
    <w:rsid w:val="0053178D"/>
    <w:rsid w:val="00546E41"/>
    <w:rsid w:val="00557D4B"/>
    <w:rsid w:val="00564BB8"/>
    <w:rsid w:val="00564F0E"/>
    <w:rsid w:val="005670F7"/>
    <w:rsid w:val="005771E6"/>
    <w:rsid w:val="00577B3D"/>
    <w:rsid w:val="00580F3B"/>
    <w:rsid w:val="00581650"/>
    <w:rsid w:val="00584E8F"/>
    <w:rsid w:val="005912CC"/>
    <w:rsid w:val="0059150D"/>
    <w:rsid w:val="005A41B0"/>
    <w:rsid w:val="005A6D8E"/>
    <w:rsid w:val="005C0C79"/>
    <w:rsid w:val="005D42F4"/>
    <w:rsid w:val="005D7CE3"/>
    <w:rsid w:val="005F7F0C"/>
    <w:rsid w:val="00606A1E"/>
    <w:rsid w:val="00607696"/>
    <w:rsid w:val="00610975"/>
    <w:rsid w:val="006160DC"/>
    <w:rsid w:val="00657405"/>
    <w:rsid w:val="00680641"/>
    <w:rsid w:val="00683F60"/>
    <w:rsid w:val="00686874"/>
    <w:rsid w:val="00692573"/>
    <w:rsid w:val="0069470B"/>
    <w:rsid w:val="00697CF2"/>
    <w:rsid w:val="006A1E9F"/>
    <w:rsid w:val="006A397F"/>
    <w:rsid w:val="006A4680"/>
    <w:rsid w:val="006B4256"/>
    <w:rsid w:val="006B6D4B"/>
    <w:rsid w:val="006C1566"/>
    <w:rsid w:val="006C3598"/>
    <w:rsid w:val="006D0906"/>
    <w:rsid w:val="006D409A"/>
    <w:rsid w:val="006E6E8C"/>
    <w:rsid w:val="006F0C55"/>
    <w:rsid w:val="006F5822"/>
    <w:rsid w:val="007033E5"/>
    <w:rsid w:val="0072776D"/>
    <w:rsid w:val="00735F51"/>
    <w:rsid w:val="00736960"/>
    <w:rsid w:val="0074545A"/>
    <w:rsid w:val="00750D05"/>
    <w:rsid w:val="00760350"/>
    <w:rsid w:val="00772ED0"/>
    <w:rsid w:val="0077440A"/>
    <w:rsid w:val="00780E9E"/>
    <w:rsid w:val="00781A45"/>
    <w:rsid w:val="0078415A"/>
    <w:rsid w:val="00792435"/>
    <w:rsid w:val="007931BD"/>
    <w:rsid w:val="007A5019"/>
    <w:rsid w:val="007C2040"/>
    <w:rsid w:val="007C353A"/>
    <w:rsid w:val="007C36F6"/>
    <w:rsid w:val="007C3FCC"/>
    <w:rsid w:val="007D1FA2"/>
    <w:rsid w:val="007D49D7"/>
    <w:rsid w:val="007E1207"/>
    <w:rsid w:val="007E217E"/>
    <w:rsid w:val="007E26CB"/>
    <w:rsid w:val="007E60B8"/>
    <w:rsid w:val="007E6F47"/>
    <w:rsid w:val="007F1352"/>
    <w:rsid w:val="008139BC"/>
    <w:rsid w:val="0082286D"/>
    <w:rsid w:val="00824C1D"/>
    <w:rsid w:val="008423A6"/>
    <w:rsid w:val="0085110D"/>
    <w:rsid w:val="00852BDE"/>
    <w:rsid w:val="00855838"/>
    <w:rsid w:val="00863480"/>
    <w:rsid w:val="008810BB"/>
    <w:rsid w:val="00883BD0"/>
    <w:rsid w:val="008923C3"/>
    <w:rsid w:val="008A36E1"/>
    <w:rsid w:val="008B7018"/>
    <w:rsid w:val="008C07AB"/>
    <w:rsid w:val="008C08F4"/>
    <w:rsid w:val="008D1EE2"/>
    <w:rsid w:val="008E2E88"/>
    <w:rsid w:val="008E5532"/>
    <w:rsid w:val="00912B03"/>
    <w:rsid w:val="00915226"/>
    <w:rsid w:val="00920D31"/>
    <w:rsid w:val="00922416"/>
    <w:rsid w:val="00933B0C"/>
    <w:rsid w:val="009362FE"/>
    <w:rsid w:val="00952BFB"/>
    <w:rsid w:val="0096165E"/>
    <w:rsid w:val="00966129"/>
    <w:rsid w:val="009704D8"/>
    <w:rsid w:val="0097167A"/>
    <w:rsid w:val="00972AE2"/>
    <w:rsid w:val="00973E40"/>
    <w:rsid w:val="00984002"/>
    <w:rsid w:val="00985E67"/>
    <w:rsid w:val="00991509"/>
    <w:rsid w:val="009B3B22"/>
    <w:rsid w:val="009B7D66"/>
    <w:rsid w:val="009C328B"/>
    <w:rsid w:val="009C489D"/>
    <w:rsid w:val="009D3D8E"/>
    <w:rsid w:val="009D4C6D"/>
    <w:rsid w:val="009E7B17"/>
    <w:rsid w:val="009F5ECB"/>
    <w:rsid w:val="009F7688"/>
    <w:rsid w:val="00A07E03"/>
    <w:rsid w:val="00A10F8D"/>
    <w:rsid w:val="00A32B78"/>
    <w:rsid w:val="00A53A2D"/>
    <w:rsid w:val="00A57CB0"/>
    <w:rsid w:val="00A850A6"/>
    <w:rsid w:val="00A86B15"/>
    <w:rsid w:val="00A86D78"/>
    <w:rsid w:val="00A93784"/>
    <w:rsid w:val="00AA2463"/>
    <w:rsid w:val="00AA399A"/>
    <w:rsid w:val="00AA423B"/>
    <w:rsid w:val="00AC1290"/>
    <w:rsid w:val="00AC2CDD"/>
    <w:rsid w:val="00AC5DB8"/>
    <w:rsid w:val="00AD0285"/>
    <w:rsid w:val="00AD3E11"/>
    <w:rsid w:val="00AD6C3A"/>
    <w:rsid w:val="00AE136A"/>
    <w:rsid w:val="00AF512E"/>
    <w:rsid w:val="00B00031"/>
    <w:rsid w:val="00B04A48"/>
    <w:rsid w:val="00B13262"/>
    <w:rsid w:val="00B24A5F"/>
    <w:rsid w:val="00B256FF"/>
    <w:rsid w:val="00B34690"/>
    <w:rsid w:val="00B349A7"/>
    <w:rsid w:val="00B368EA"/>
    <w:rsid w:val="00B408C2"/>
    <w:rsid w:val="00B5073C"/>
    <w:rsid w:val="00B54F32"/>
    <w:rsid w:val="00B6595D"/>
    <w:rsid w:val="00B72723"/>
    <w:rsid w:val="00B72AD4"/>
    <w:rsid w:val="00B90A61"/>
    <w:rsid w:val="00B93C27"/>
    <w:rsid w:val="00B95ED7"/>
    <w:rsid w:val="00BA0B48"/>
    <w:rsid w:val="00BA5FF3"/>
    <w:rsid w:val="00BB55C6"/>
    <w:rsid w:val="00BB5DBE"/>
    <w:rsid w:val="00BC4B3A"/>
    <w:rsid w:val="00BC522A"/>
    <w:rsid w:val="00BD13AD"/>
    <w:rsid w:val="00BE1300"/>
    <w:rsid w:val="00BE6C4D"/>
    <w:rsid w:val="00BF1994"/>
    <w:rsid w:val="00C05680"/>
    <w:rsid w:val="00C15A5D"/>
    <w:rsid w:val="00C22CF7"/>
    <w:rsid w:val="00C2349C"/>
    <w:rsid w:val="00C2423E"/>
    <w:rsid w:val="00C30570"/>
    <w:rsid w:val="00C3796A"/>
    <w:rsid w:val="00C43A7B"/>
    <w:rsid w:val="00C51291"/>
    <w:rsid w:val="00C660C8"/>
    <w:rsid w:val="00C7170D"/>
    <w:rsid w:val="00C717E6"/>
    <w:rsid w:val="00C77D6C"/>
    <w:rsid w:val="00C818C4"/>
    <w:rsid w:val="00C82B59"/>
    <w:rsid w:val="00C84AAB"/>
    <w:rsid w:val="00C864C2"/>
    <w:rsid w:val="00CA17A8"/>
    <w:rsid w:val="00CA4BED"/>
    <w:rsid w:val="00CA65E1"/>
    <w:rsid w:val="00CB0462"/>
    <w:rsid w:val="00CC150A"/>
    <w:rsid w:val="00CC5575"/>
    <w:rsid w:val="00CD2EDF"/>
    <w:rsid w:val="00CD30D8"/>
    <w:rsid w:val="00CD7004"/>
    <w:rsid w:val="00CE0C7A"/>
    <w:rsid w:val="00CE112F"/>
    <w:rsid w:val="00CE206F"/>
    <w:rsid w:val="00CF1E2F"/>
    <w:rsid w:val="00D0307F"/>
    <w:rsid w:val="00D20E22"/>
    <w:rsid w:val="00D245F0"/>
    <w:rsid w:val="00D30444"/>
    <w:rsid w:val="00D3099A"/>
    <w:rsid w:val="00D47E28"/>
    <w:rsid w:val="00D53F2B"/>
    <w:rsid w:val="00D60117"/>
    <w:rsid w:val="00D658B2"/>
    <w:rsid w:val="00D75AF4"/>
    <w:rsid w:val="00D76D7D"/>
    <w:rsid w:val="00D8539E"/>
    <w:rsid w:val="00D86AEE"/>
    <w:rsid w:val="00DA769E"/>
    <w:rsid w:val="00DC689C"/>
    <w:rsid w:val="00DD5278"/>
    <w:rsid w:val="00DE1C70"/>
    <w:rsid w:val="00DE22C8"/>
    <w:rsid w:val="00E0312F"/>
    <w:rsid w:val="00E0596D"/>
    <w:rsid w:val="00E21035"/>
    <w:rsid w:val="00E23072"/>
    <w:rsid w:val="00E25025"/>
    <w:rsid w:val="00E317B3"/>
    <w:rsid w:val="00E32FA0"/>
    <w:rsid w:val="00E36A10"/>
    <w:rsid w:val="00E50C04"/>
    <w:rsid w:val="00E571E2"/>
    <w:rsid w:val="00E64575"/>
    <w:rsid w:val="00E70354"/>
    <w:rsid w:val="00E7204B"/>
    <w:rsid w:val="00E80842"/>
    <w:rsid w:val="00E80B1A"/>
    <w:rsid w:val="00E9445A"/>
    <w:rsid w:val="00E97285"/>
    <w:rsid w:val="00EB7BD6"/>
    <w:rsid w:val="00EC13BC"/>
    <w:rsid w:val="00EC38C3"/>
    <w:rsid w:val="00ED10AC"/>
    <w:rsid w:val="00ED1215"/>
    <w:rsid w:val="00ED4BFA"/>
    <w:rsid w:val="00ED77EB"/>
    <w:rsid w:val="00F023DE"/>
    <w:rsid w:val="00F11AB3"/>
    <w:rsid w:val="00F13866"/>
    <w:rsid w:val="00F20008"/>
    <w:rsid w:val="00F20C3F"/>
    <w:rsid w:val="00F234B3"/>
    <w:rsid w:val="00F26B68"/>
    <w:rsid w:val="00F40BEA"/>
    <w:rsid w:val="00F442EB"/>
    <w:rsid w:val="00F449E5"/>
    <w:rsid w:val="00F50A7A"/>
    <w:rsid w:val="00F66BB4"/>
    <w:rsid w:val="00F670F7"/>
    <w:rsid w:val="00F821C3"/>
    <w:rsid w:val="00F836EE"/>
    <w:rsid w:val="00F84136"/>
    <w:rsid w:val="00F90573"/>
    <w:rsid w:val="00F96011"/>
    <w:rsid w:val="00FA250B"/>
    <w:rsid w:val="00FC25DA"/>
    <w:rsid w:val="00FC7BBB"/>
    <w:rsid w:val="00FD1637"/>
    <w:rsid w:val="00FD267F"/>
    <w:rsid w:val="00FE36C9"/>
    <w:rsid w:val="00FF4C21"/>
    <w:rsid w:val="00FF6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5D69715"/>
  <w15:chartTrackingRefBased/>
  <w15:docId w15:val="{4C13252E-0C7F-3240-85D4-5B6E448C0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6C9"/>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FE36C9"/>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FE36C9"/>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FE36C9"/>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FE36C9"/>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FE36C9"/>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FE36C9"/>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FE36C9"/>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FE36C9"/>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FE36C9"/>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6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36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36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36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36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36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36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36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36C9"/>
    <w:rPr>
      <w:rFonts w:eastAsiaTheme="majorEastAsia" w:cstheme="majorBidi"/>
      <w:color w:val="272727" w:themeColor="text1" w:themeTint="D8"/>
    </w:rPr>
  </w:style>
  <w:style w:type="paragraph" w:styleId="Title">
    <w:name w:val="Title"/>
    <w:basedOn w:val="Normal"/>
    <w:next w:val="Normal"/>
    <w:link w:val="TitleChar"/>
    <w:uiPriority w:val="10"/>
    <w:qFormat/>
    <w:rsid w:val="00FE36C9"/>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FE36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36C9"/>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FE36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36C9"/>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FE36C9"/>
    <w:rPr>
      <w:i/>
      <w:iCs/>
      <w:color w:val="404040" w:themeColor="text1" w:themeTint="BF"/>
    </w:rPr>
  </w:style>
  <w:style w:type="paragraph" w:styleId="ListParagraph">
    <w:name w:val="List Paragraph"/>
    <w:basedOn w:val="Normal"/>
    <w:uiPriority w:val="34"/>
    <w:qFormat/>
    <w:rsid w:val="00FE36C9"/>
    <w:pPr>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FE36C9"/>
    <w:rPr>
      <w:i/>
      <w:iCs/>
      <w:color w:val="0F4761" w:themeColor="accent1" w:themeShade="BF"/>
    </w:rPr>
  </w:style>
  <w:style w:type="paragraph" w:styleId="IntenseQuote">
    <w:name w:val="Intense Quote"/>
    <w:basedOn w:val="Normal"/>
    <w:next w:val="Normal"/>
    <w:link w:val="IntenseQuoteChar"/>
    <w:uiPriority w:val="30"/>
    <w:qFormat/>
    <w:rsid w:val="00FE36C9"/>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FE36C9"/>
    <w:rPr>
      <w:i/>
      <w:iCs/>
      <w:color w:val="0F4761" w:themeColor="accent1" w:themeShade="BF"/>
    </w:rPr>
  </w:style>
  <w:style w:type="character" w:styleId="IntenseReference">
    <w:name w:val="Intense Reference"/>
    <w:basedOn w:val="DefaultParagraphFont"/>
    <w:uiPriority w:val="32"/>
    <w:qFormat/>
    <w:rsid w:val="00FE36C9"/>
    <w:rPr>
      <w:b/>
      <w:bCs/>
      <w:smallCaps/>
      <w:color w:val="0F4761" w:themeColor="accent1" w:themeShade="BF"/>
      <w:spacing w:val="5"/>
    </w:rPr>
  </w:style>
  <w:style w:type="paragraph" w:styleId="Caption">
    <w:name w:val="caption"/>
    <w:basedOn w:val="Normal"/>
    <w:next w:val="Normal"/>
    <w:uiPriority w:val="35"/>
    <w:unhideWhenUsed/>
    <w:qFormat/>
    <w:rsid w:val="00FE36C9"/>
    <w:pPr>
      <w:spacing w:after="200"/>
    </w:pPr>
    <w:rPr>
      <w:i/>
      <w:iCs/>
      <w:color w:val="0E2841" w:themeColor="text2"/>
      <w:sz w:val="18"/>
      <w:szCs w:val="18"/>
    </w:rPr>
  </w:style>
  <w:style w:type="character" w:styleId="CommentReference">
    <w:name w:val="annotation reference"/>
    <w:basedOn w:val="DefaultParagraphFont"/>
    <w:uiPriority w:val="99"/>
    <w:semiHidden/>
    <w:unhideWhenUsed/>
    <w:rsid w:val="00FE36C9"/>
    <w:rPr>
      <w:sz w:val="16"/>
      <w:szCs w:val="16"/>
    </w:rPr>
  </w:style>
  <w:style w:type="paragraph" w:styleId="CommentText">
    <w:name w:val="annotation text"/>
    <w:basedOn w:val="Normal"/>
    <w:link w:val="CommentTextChar"/>
    <w:uiPriority w:val="99"/>
    <w:semiHidden/>
    <w:unhideWhenUsed/>
    <w:rsid w:val="00FE36C9"/>
    <w:rPr>
      <w:sz w:val="20"/>
      <w:szCs w:val="20"/>
    </w:rPr>
  </w:style>
  <w:style w:type="character" w:customStyle="1" w:styleId="CommentTextChar">
    <w:name w:val="Comment Text Char"/>
    <w:basedOn w:val="DefaultParagraphFont"/>
    <w:link w:val="CommentText"/>
    <w:uiPriority w:val="99"/>
    <w:semiHidden/>
    <w:rsid w:val="00FE36C9"/>
    <w:rPr>
      <w:rFonts w:ascii="Times New Roman" w:eastAsia="Times New Roman" w:hAnsi="Times New Roman" w:cs="Times New Roman"/>
      <w:kern w:val="0"/>
      <w:sz w:val="20"/>
      <w:szCs w:val="20"/>
      <w:lang w:eastAsia="en-GB"/>
      <w14:ligatures w14:val="none"/>
    </w:rPr>
  </w:style>
  <w:style w:type="paragraph" w:styleId="Revision">
    <w:name w:val="Revision"/>
    <w:hidden/>
    <w:uiPriority w:val="99"/>
    <w:semiHidden/>
    <w:rsid w:val="00ED77EB"/>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if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5FAD1DA6E91142A88361585CFE7605" ma:contentTypeVersion="4" ma:contentTypeDescription="Create a new document." ma:contentTypeScope="" ma:versionID="95fd11d2a0b2d74c86609710087b1804">
  <xsd:schema xmlns:xsd="http://www.w3.org/2001/XMLSchema" xmlns:xs="http://www.w3.org/2001/XMLSchema" xmlns:p="http://schemas.microsoft.com/office/2006/metadata/properties" xmlns:ns2="0c476130-94c7-49dc-9798-5af185d83dbf" targetNamespace="http://schemas.microsoft.com/office/2006/metadata/properties" ma:root="true" ma:fieldsID="98c5b28d64272a25b1b3bc9a735b6d2a" ns2:_="">
    <xsd:import namespace="0c476130-94c7-49dc-9798-5af185d83d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76130-94c7-49dc-9798-5af185d83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D6236F-E26F-42AA-8D82-875C28F2D2D7}">
  <ds:schemaRefs>
    <ds:schemaRef ds:uri="http://schemas.microsoft.com/sharepoint/v3/contenttype/forms"/>
  </ds:schemaRefs>
</ds:datastoreItem>
</file>

<file path=customXml/itemProps2.xml><?xml version="1.0" encoding="utf-8"?>
<ds:datastoreItem xmlns:ds="http://schemas.openxmlformats.org/officeDocument/2006/customXml" ds:itemID="{233CD900-0C70-426A-9645-F21684400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76130-94c7-49dc-9798-5af185d83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3E329-7841-41BB-A8E9-42C5EC269A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982</Words>
  <Characters>5652</Characters>
  <Application>Microsoft Office Word</Application>
  <DocSecurity>0</DocSecurity>
  <Lines>176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Annibale</dc:creator>
  <cp:keywords/>
  <dc:description/>
  <cp:lastModifiedBy>Paolo Annibale</cp:lastModifiedBy>
  <cp:revision>3</cp:revision>
  <dcterms:created xsi:type="dcterms:W3CDTF">2026-02-18T07:06:00Z</dcterms:created>
  <dcterms:modified xsi:type="dcterms:W3CDTF">2026-02-18T07:06:00Z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0x0101000A5FAD1DA6E91142A88361585CFE7605</vt:lpwstr>
  </property>
</Properties>
</file>