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A3F066" w14:textId="77777777" w:rsidR="00402AA1" w:rsidRPr="009712F8" w:rsidRDefault="00402AA1" w:rsidP="00786512">
      <w:pPr>
        <w:pStyle w:val="Heading1"/>
        <w:spacing w:line="480" w:lineRule="auto"/>
        <w:jc w:val="left"/>
        <w:rPr>
          <w:rFonts w:eastAsia="Times New Roman" w:cs="Arial"/>
          <w:sz w:val="20"/>
          <w:szCs w:val="20"/>
        </w:rPr>
      </w:pPr>
      <w:r w:rsidRPr="009712F8">
        <w:rPr>
          <w:rFonts w:eastAsia="Times New Roman" w:cs="Arial"/>
          <w:sz w:val="20"/>
          <w:szCs w:val="20"/>
        </w:rPr>
        <w:t>Supplementing Information Material and Methods</w:t>
      </w:r>
    </w:p>
    <w:p w14:paraId="544A54FE" w14:textId="77777777" w:rsidR="00402AA1" w:rsidRPr="009712F8" w:rsidRDefault="00402AA1" w:rsidP="00143011">
      <w:pPr>
        <w:spacing w:before="100" w:beforeAutospacing="1" w:after="100" w:afterAutospacing="1" w:line="480" w:lineRule="auto"/>
        <w:rPr>
          <w:rFonts w:eastAsia="Times New Roman" w:cs="Arial"/>
          <w:b/>
          <w:bCs/>
          <w:szCs w:val="20"/>
        </w:rPr>
      </w:pPr>
      <w:r w:rsidRPr="009712F8">
        <w:rPr>
          <w:rFonts w:eastAsia="Times New Roman" w:cs="Arial"/>
          <w:b/>
          <w:bCs/>
          <w:szCs w:val="20"/>
        </w:rPr>
        <w:t>DIA-NN parameters</w:t>
      </w:r>
    </w:p>
    <w:p w14:paraId="42AB693E" w14:textId="77777777" w:rsidR="00402AA1" w:rsidRPr="009712F8" w:rsidRDefault="00402AA1" w:rsidP="00143011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DIA-NN (version 1.8.1) was run with the following parameters to support dynamic SILAC quantification:</w:t>
      </w:r>
    </w:p>
    <w:p w14:paraId="44F1489D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--fixed-mod SILAC,0.0,KR,label</w:t>
      </w:r>
    </w:p>
    <w:p w14:paraId="777B87BF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--lib-fixed-mod SILAC</w:t>
      </w:r>
    </w:p>
    <w:p w14:paraId="5913ACFC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--channels SILAC,L,KR,0:0;SILAC,H,KR,8.014199:10.008269</w:t>
      </w:r>
    </w:p>
    <w:p w14:paraId="62E03076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--peak-translation</w:t>
      </w:r>
    </w:p>
    <w:p w14:paraId="4DB014CE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--original-mods</w:t>
      </w:r>
    </w:p>
    <w:p w14:paraId="771AF8ED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--no-norm</w:t>
      </w:r>
    </w:p>
    <w:p w14:paraId="60CC90FC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--no-maxlfq</w:t>
      </w:r>
    </w:p>
    <w:p w14:paraId="22E2FB2D" w14:textId="77777777" w:rsidR="00402AA1" w:rsidRPr="009712F8" w:rsidRDefault="00402AA1" w:rsidP="00143011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--peak-center</w:t>
      </w:r>
    </w:p>
    <w:p w14:paraId="78CAA8D6" w14:textId="77777777" w:rsidR="00402AA1" w:rsidRPr="009712F8" w:rsidRDefault="00402AA1" w:rsidP="00143011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Additional settings:</w:t>
      </w:r>
    </w:p>
    <w:p w14:paraId="11BC227D" w14:textId="77777777" w:rsidR="00402AA1" w:rsidRPr="009712F8" w:rsidRDefault="00402AA1" w:rsidP="00143011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Missed cleavages: 2</w:t>
      </w:r>
    </w:p>
    <w:p w14:paraId="7983DBEA" w14:textId="77777777" w:rsidR="00402AA1" w:rsidRPr="009712F8" w:rsidRDefault="00402AA1" w:rsidP="00143011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Precursor charge range: 2–4</w:t>
      </w:r>
    </w:p>
    <w:p w14:paraId="52989D49" w14:textId="77777777" w:rsidR="00402AA1" w:rsidRPr="009712F8" w:rsidRDefault="00402AA1" w:rsidP="00143011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Precursor m/z range: 300–1800</w:t>
      </w:r>
    </w:p>
    <w:p w14:paraId="43D6EE55" w14:textId="77777777" w:rsidR="0071425F" w:rsidRDefault="00402AA1" w:rsidP="00143011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eastAsia="Times New Roman" w:cs="Arial"/>
          <w:szCs w:val="20"/>
        </w:rPr>
      </w:pPr>
      <w:r w:rsidRPr="009712F8">
        <w:rPr>
          <w:rFonts w:eastAsia="Times New Roman" w:cs="Arial"/>
          <w:szCs w:val="20"/>
        </w:rPr>
        <w:t>Fragment ion m/z range: 200–1800</w:t>
      </w:r>
    </w:p>
    <w:p w14:paraId="2782138A" w14:textId="77777777" w:rsidR="006607B5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443454BF" w14:textId="77777777" w:rsidR="006607B5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26A40565" w14:textId="77777777" w:rsidR="006607B5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7D6FBDA4" w14:textId="77777777" w:rsidR="006607B5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42CB477F" w14:textId="77777777" w:rsidR="006607B5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0B82A3FD" w14:textId="77777777" w:rsidR="006607B5" w:rsidRPr="00402AA1" w:rsidRDefault="006607B5" w:rsidP="006607B5">
      <w:pPr>
        <w:spacing w:before="100" w:beforeAutospacing="1" w:after="100" w:afterAutospacing="1" w:line="480" w:lineRule="auto"/>
        <w:rPr>
          <w:rFonts w:eastAsia="Times New Roman" w:cs="Arial"/>
          <w:szCs w:val="20"/>
        </w:rPr>
      </w:pPr>
    </w:p>
    <w:p w14:paraId="2DD9D403" w14:textId="77777777" w:rsidR="00402AA1" w:rsidRDefault="00402AA1" w:rsidP="00143011">
      <w:pPr>
        <w:pStyle w:val="Heading1"/>
        <w:spacing w:line="480" w:lineRule="auto"/>
      </w:pPr>
      <w:r>
        <w:lastRenderedPageBreak/>
        <w:t xml:space="preserve">Supplemental </w:t>
      </w:r>
      <w:r w:rsidR="00B202A3">
        <w:t>f</w:t>
      </w:r>
      <w:r>
        <w:t>igure</w:t>
      </w:r>
      <w:r w:rsidR="00143011">
        <w:t>s</w:t>
      </w:r>
    </w:p>
    <w:p w14:paraId="18A74C49" w14:textId="77777777" w:rsidR="00143011" w:rsidRPr="006607B5" w:rsidRDefault="006607B5" w:rsidP="006607B5">
      <w:pPr>
        <w:rPr>
          <w:b/>
          <w:sz w:val="24"/>
        </w:rPr>
      </w:pPr>
      <w:r w:rsidRPr="006607B5">
        <w:rPr>
          <w:rFonts w:cs="Arial"/>
          <w:b/>
          <w:noProof/>
          <w:sz w:val="24"/>
          <w:szCs w:val="20"/>
        </w:rPr>
        <w:drawing>
          <wp:anchor distT="0" distB="0" distL="114300" distR="114300" simplePos="0" relativeHeight="251660288" behindDoc="0" locked="0" layoutInCell="1" allowOverlap="1" wp14:anchorId="11791AA2" wp14:editId="6DFF6176">
            <wp:simplePos x="0" y="0"/>
            <wp:positionH relativeFrom="margin">
              <wp:align>center</wp:align>
            </wp:positionH>
            <wp:positionV relativeFrom="paragraph">
              <wp:posOffset>444500</wp:posOffset>
            </wp:positionV>
            <wp:extent cx="5731510" cy="8065135"/>
            <wp:effectExtent l="0" t="0" r="254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F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607B5">
        <w:rPr>
          <w:b/>
          <w:sz w:val="24"/>
        </w:rPr>
        <w:t>Figure S1</w:t>
      </w:r>
    </w:p>
    <w:p w14:paraId="65265426" w14:textId="45F28C95" w:rsidR="00402AA1" w:rsidRDefault="00402AA1" w:rsidP="00143011">
      <w:pPr>
        <w:spacing w:line="480" w:lineRule="auto"/>
        <w:rPr>
          <w:rFonts w:cs="Arial"/>
          <w:szCs w:val="20"/>
        </w:rPr>
      </w:pPr>
      <w:r w:rsidRPr="009712F8">
        <w:rPr>
          <w:rFonts w:cs="Arial"/>
          <w:b/>
          <w:szCs w:val="20"/>
        </w:rPr>
        <w:lastRenderedPageBreak/>
        <w:t>Figure S</w:t>
      </w:r>
      <w:r w:rsidR="0032717E">
        <w:rPr>
          <w:rFonts w:cs="Arial"/>
          <w:b/>
          <w:szCs w:val="20"/>
        </w:rPr>
        <w:t>1</w:t>
      </w:r>
      <w:r w:rsidRPr="009712F8">
        <w:rPr>
          <w:rFonts w:cs="Arial"/>
          <w:b/>
          <w:szCs w:val="20"/>
        </w:rPr>
        <w:t xml:space="preserve">: </w:t>
      </w:r>
      <w:r w:rsidRPr="009712F8">
        <w:rPr>
          <w:rFonts w:cs="Arial"/>
          <w:szCs w:val="20"/>
        </w:rPr>
        <w:t xml:space="preserve">PCA of dynamic SILAC dataset of light and heavy channels </w:t>
      </w:r>
      <w:r w:rsidRPr="008C4A1A">
        <w:rPr>
          <w:rFonts w:cs="Arial"/>
          <w:szCs w:val="20"/>
        </w:rPr>
        <w:t>comparing (</w:t>
      </w:r>
      <w:r w:rsidRPr="008C4A1A">
        <w:rPr>
          <w:rFonts w:cs="Arial"/>
          <w:b/>
          <w:szCs w:val="20"/>
        </w:rPr>
        <w:t>A</w:t>
      </w:r>
      <w:r w:rsidRPr="008C4A1A">
        <w:rPr>
          <w:rFonts w:cs="Arial"/>
          <w:szCs w:val="20"/>
        </w:rPr>
        <w:t>) all time points without proteolytic inhibitors, (</w:t>
      </w:r>
      <w:r w:rsidRPr="008C4A1A">
        <w:rPr>
          <w:rFonts w:cs="Arial"/>
          <w:b/>
          <w:szCs w:val="20"/>
        </w:rPr>
        <w:t>B</w:t>
      </w:r>
      <w:r w:rsidRPr="008C4A1A">
        <w:rPr>
          <w:rFonts w:cs="Arial"/>
          <w:szCs w:val="20"/>
        </w:rPr>
        <w:t>) atrophying time points with and without proteolytic inhibitors and (</w:t>
      </w:r>
      <w:r w:rsidRPr="0032717E">
        <w:rPr>
          <w:rFonts w:cs="Arial"/>
          <w:b/>
          <w:szCs w:val="20"/>
        </w:rPr>
        <w:t>C</w:t>
      </w:r>
      <w:r w:rsidRPr="008C4A1A">
        <w:rPr>
          <w:rFonts w:cs="Arial"/>
          <w:b/>
          <w:szCs w:val="20"/>
        </w:rPr>
        <w:t>)</w:t>
      </w:r>
      <w:r w:rsidRPr="008C4A1A">
        <w:rPr>
          <w:rFonts w:cs="Arial"/>
          <w:szCs w:val="20"/>
        </w:rPr>
        <w:t xml:space="preserve"> all time points upon autophagy inhibition. A = atrophy, H </w:t>
      </w:r>
      <w:r w:rsidRPr="0056681C">
        <w:rPr>
          <w:rFonts w:cs="Arial"/>
          <w:szCs w:val="20"/>
        </w:rPr>
        <w:t xml:space="preserve">= </w:t>
      </w:r>
      <w:r w:rsidR="00720C5A" w:rsidRPr="0056681C">
        <w:rPr>
          <w:rFonts w:cs="Arial"/>
          <w:szCs w:val="20"/>
        </w:rPr>
        <w:t>homeostatic conditions</w:t>
      </w:r>
      <w:r w:rsidRPr="0056681C">
        <w:rPr>
          <w:rFonts w:cs="Arial"/>
          <w:szCs w:val="20"/>
        </w:rPr>
        <w:t>, 24</w:t>
      </w:r>
      <w:r w:rsidRPr="008C4A1A">
        <w:rPr>
          <w:rFonts w:cs="Arial"/>
          <w:szCs w:val="20"/>
        </w:rPr>
        <w:t xml:space="preserve"> = 24 hours, 72 = 72 hours, 0 = 0 hours with 1-3 depicting three replicates. BafA1 = BafilomycinA1, Lac = </w:t>
      </w:r>
      <w:proofErr w:type="spellStart"/>
      <w:r w:rsidRPr="008C4A1A">
        <w:rPr>
          <w:rFonts w:cs="Arial"/>
          <w:szCs w:val="20"/>
        </w:rPr>
        <w:t>Lactacystin</w:t>
      </w:r>
      <w:proofErr w:type="spellEnd"/>
      <w:r w:rsidRPr="008C4A1A">
        <w:rPr>
          <w:rFonts w:cs="Arial"/>
          <w:szCs w:val="20"/>
        </w:rPr>
        <w:t>.</w:t>
      </w:r>
    </w:p>
    <w:p w14:paraId="0A772886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185A53AE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5C48FA20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6B07523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6A8AC5E9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68D761C5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29CEB283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9A30D4C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F422846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280FF573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07480589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1091A8E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054CA5DC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6883AE87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1ECB676F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C4BC07F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0124CAAA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7B7F9F6A" w14:textId="77777777" w:rsidR="001F1DD3" w:rsidRDefault="001F1DD3" w:rsidP="00143011">
      <w:pPr>
        <w:spacing w:line="480" w:lineRule="auto"/>
        <w:rPr>
          <w:rFonts w:cs="Arial"/>
          <w:szCs w:val="20"/>
        </w:rPr>
      </w:pPr>
    </w:p>
    <w:p w14:paraId="6A13A689" w14:textId="77777777" w:rsidR="001F1DD3" w:rsidRPr="008C4A1A" w:rsidRDefault="001F1DD3" w:rsidP="00143011">
      <w:pPr>
        <w:spacing w:line="480" w:lineRule="auto"/>
        <w:rPr>
          <w:rFonts w:cs="Arial"/>
          <w:szCs w:val="20"/>
        </w:rPr>
      </w:pPr>
    </w:p>
    <w:p w14:paraId="0EE8B2E9" w14:textId="77777777" w:rsidR="00143011" w:rsidRPr="006607B5" w:rsidRDefault="006607B5" w:rsidP="00143011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lastRenderedPageBreak/>
        <w:t>Figure S2:</w:t>
      </w:r>
    </w:p>
    <w:p w14:paraId="10243FA8" w14:textId="6B04A12F" w:rsidR="00143011" w:rsidRDefault="00E64029" w:rsidP="00143011">
      <w:pPr>
        <w:spacing w:line="480" w:lineRule="auto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drawing>
          <wp:inline distT="0" distB="0" distL="0" distR="0" wp14:anchorId="2BA87F23" wp14:editId="6C20ACD6">
            <wp:extent cx="5731510" cy="6543040"/>
            <wp:effectExtent l="0" t="0" r="0" b="0"/>
            <wp:docPr id="766841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41425" name="Picture 76684142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4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B5F7F" w14:textId="6A5E7D37" w:rsidR="00CD4654" w:rsidRPr="0056681C" w:rsidRDefault="00402AA1" w:rsidP="00143011">
      <w:pPr>
        <w:spacing w:line="480" w:lineRule="auto"/>
        <w:rPr>
          <w:rFonts w:cs="Arial"/>
          <w:szCs w:val="20"/>
        </w:rPr>
      </w:pPr>
      <w:r w:rsidRPr="008C4A1A">
        <w:rPr>
          <w:rFonts w:cs="Arial"/>
          <w:b/>
          <w:szCs w:val="20"/>
        </w:rPr>
        <w:t xml:space="preserve">Figure </w:t>
      </w:r>
      <w:r w:rsidRPr="00E4514F">
        <w:rPr>
          <w:rFonts w:cs="Arial"/>
          <w:b/>
          <w:szCs w:val="20"/>
        </w:rPr>
        <w:t>S</w:t>
      </w:r>
      <w:r w:rsidR="0032717E">
        <w:rPr>
          <w:rFonts w:cs="Arial"/>
          <w:b/>
          <w:szCs w:val="20"/>
        </w:rPr>
        <w:t>2</w:t>
      </w:r>
      <w:r w:rsidRPr="008C4A1A">
        <w:rPr>
          <w:rFonts w:cs="Arial"/>
          <w:b/>
          <w:szCs w:val="20"/>
        </w:rPr>
        <w:t>:</w:t>
      </w:r>
      <w:r w:rsidR="00E4514F">
        <w:rPr>
          <w:rFonts w:cs="Arial"/>
          <w:b/>
          <w:szCs w:val="20"/>
        </w:rPr>
        <w:t xml:space="preserve"> </w:t>
      </w:r>
      <w:r w:rsidR="00E4514F">
        <w:rPr>
          <w:rFonts w:cs="Arial"/>
          <w:szCs w:val="20"/>
        </w:rPr>
        <w:t>Temporal profiling of myofibrillar protein expression and autophagy marker quantification.</w:t>
      </w:r>
      <w:r w:rsidRPr="008C4A1A">
        <w:rPr>
          <w:rFonts w:cs="Arial"/>
          <w:szCs w:val="20"/>
        </w:rPr>
        <w:t xml:space="preserve"> </w:t>
      </w:r>
      <w:r w:rsidR="0032717E">
        <w:rPr>
          <w:rFonts w:cs="Arial"/>
          <w:szCs w:val="20"/>
        </w:rPr>
        <w:t>(</w:t>
      </w:r>
      <w:r w:rsidR="0032717E" w:rsidRPr="0032717E">
        <w:rPr>
          <w:rFonts w:cs="Arial"/>
          <w:b/>
          <w:szCs w:val="20"/>
        </w:rPr>
        <w:t>A</w:t>
      </w:r>
      <w:r w:rsidR="0032717E">
        <w:rPr>
          <w:rFonts w:cs="Arial"/>
          <w:szCs w:val="20"/>
        </w:rPr>
        <w:t xml:space="preserve">) </w:t>
      </w:r>
      <w:r w:rsidRPr="008C4A1A">
        <w:rPr>
          <w:rFonts w:cs="Arial"/>
          <w:szCs w:val="20"/>
        </w:rPr>
        <w:t>Myofibrillar proteins were assigned to clusters based on their temporal profile</w:t>
      </w:r>
      <w:r w:rsidRPr="009712F8">
        <w:rPr>
          <w:rFonts w:cs="Arial"/>
          <w:szCs w:val="20"/>
        </w:rPr>
        <w:t xml:space="preserve"> of total intensities (Heavy + Light) between t0, t24 and t72. Clusters were </w:t>
      </w:r>
      <w:r w:rsidRPr="00CD4654">
        <w:rPr>
          <w:rFonts w:cs="Arial"/>
          <w:szCs w:val="20"/>
        </w:rPr>
        <w:t xml:space="preserve">identified for atrophying (left) and homeostatic (right) conditions. Clusters are defined as: 1: increasing, 2: </w:t>
      </w:r>
      <w:r w:rsidRPr="0056681C">
        <w:rPr>
          <w:rFonts w:cs="Arial"/>
          <w:szCs w:val="20"/>
        </w:rPr>
        <w:t>constant, 3: intermittent, 4: decreasing. Y-axis depicts t72-t0 value. Genes are alphabetically ordered within their clusters.</w:t>
      </w:r>
      <w:r w:rsidR="0032717E" w:rsidRPr="0056681C">
        <w:rPr>
          <w:rFonts w:cs="Arial"/>
          <w:szCs w:val="20"/>
        </w:rPr>
        <w:t xml:space="preserve"> </w:t>
      </w:r>
      <w:r w:rsidR="00E4514F" w:rsidRPr="0056681C">
        <w:rPr>
          <w:rFonts w:cs="Arial"/>
          <w:szCs w:val="20"/>
        </w:rPr>
        <w:t>(</w:t>
      </w:r>
      <w:r w:rsidR="00E4514F" w:rsidRPr="0056681C">
        <w:rPr>
          <w:rFonts w:cs="Arial"/>
          <w:b/>
          <w:szCs w:val="20"/>
        </w:rPr>
        <w:t>B-</w:t>
      </w:r>
      <w:r w:rsidR="00CD4654" w:rsidRPr="0056681C">
        <w:rPr>
          <w:rFonts w:cs="Arial"/>
          <w:b/>
          <w:szCs w:val="20"/>
        </w:rPr>
        <w:t>C</w:t>
      </w:r>
      <w:r w:rsidR="00E4514F" w:rsidRPr="0056681C">
        <w:rPr>
          <w:rFonts w:cs="Arial"/>
          <w:szCs w:val="20"/>
        </w:rPr>
        <w:t xml:space="preserve">) </w:t>
      </w:r>
      <w:r w:rsidR="00CD4654" w:rsidRPr="0056681C">
        <w:rPr>
          <w:rFonts w:cs="Arial"/>
          <w:szCs w:val="20"/>
        </w:rPr>
        <w:t>Flow cytometric analysis of (</w:t>
      </w:r>
      <w:r w:rsidR="00CD4654" w:rsidRPr="0056681C">
        <w:rPr>
          <w:rFonts w:cs="Arial"/>
          <w:b/>
          <w:szCs w:val="20"/>
        </w:rPr>
        <w:t>A</w:t>
      </w:r>
      <w:r w:rsidR="00CD4654" w:rsidRPr="0056681C">
        <w:rPr>
          <w:rFonts w:cs="Arial"/>
          <w:szCs w:val="20"/>
        </w:rPr>
        <w:t>) mitochondrial mass (</w:t>
      </w:r>
      <w:proofErr w:type="spellStart"/>
      <w:r w:rsidR="00CD4654" w:rsidRPr="0056681C">
        <w:rPr>
          <w:rFonts w:cs="Arial"/>
          <w:szCs w:val="20"/>
        </w:rPr>
        <w:t>MitoTracker</w:t>
      </w:r>
      <w:proofErr w:type="spellEnd"/>
      <w:r w:rsidR="00CD4654" w:rsidRPr="0056681C">
        <w:rPr>
          <w:rFonts w:cs="Arial"/>
          <w:szCs w:val="20"/>
        </w:rPr>
        <w:t xml:space="preserve"> Green) and (</w:t>
      </w:r>
      <w:r w:rsidR="00CD4654" w:rsidRPr="0056681C">
        <w:rPr>
          <w:rFonts w:cs="Arial"/>
          <w:b/>
          <w:szCs w:val="20"/>
        </w:rPr>
        <w:t>B</w:t>
      </w:r>
      <w:r w:rsidR="00CD4654" w:rsidRPr="0056681C">
        <w:rPr>
          <w:rFonts w:cs="Arial"/>
          <w:szCs w:val="20"/>
        </w:rPr>
        <w:t xml:space="preserve">) mitochondrial superoxide levels </w:t>
      </w:r>
      <w:r w:rsidR="00CD4654" w:rsidRPr="0056681C">
        <w:rPr>
          <w:rFonts w:cs="Arial"/>
          <w:szCs w:val="20"/>
        </w:rPr>
        <w:lastRenderedPageBreak/>
        <w:t>(MitoSOX Green). N = 3 replicates. MFI: median fluorescence intensity. (</w:t>
      </w:r>
      <w:r w:rsidR="00CD4654" w:rsidRPr="0056681C">
        <w:rPr>
          <w:rFonts w:cs="Arial"/>
          <w:b/>
          <w:szCs w:val="20"/>
        </w:rPr>
        <w:t>C</w:t>
      </w:r>
      <w:r w:rsidR="00CD4654" w:rsidRPr="0056681C">
        <w:rPr>
          <w:rFonts w:cs="Arial"/>
          <w:szCs w:val="20"/>
        </w:rPr>
        <w:t xml:space="preserve">) </w:t>
      </w:r>
      <w:r w:rsidR="00CD4654" w:rsidRPr="0056681C">
        <w:rPr>
          <w:rStyle w:val="Strong"/>
          <w:rFonts w:cs="Arial"/>
          <w:b w:val="0"/>
          <w:szCs w:val="20"/>
        </w:rPr>
        <w:t>Quantification of intracellular ATP levels during TNF-α-induced atrophy:</w:t>
      </w:r>
      <w:r w:rsidR="00CD4654" w:rsidRPr="0056681C">
        <w:rPr>
          <w:rStyle w:val="Strong"/>
          <w:rFonts w:cs="Arial"/>
          <w:szCs w:val="20"/>
        </w:rPr>
        <w:t xml:space="preserve"> </w:t>
      </w:r>
      <w:r w:rsidR="00CD4654" w:rsidRPr="0056681C">
        <w:rPr>
          <w:rFonts w:cs="Arial"/>
          <w:szCs w:val="20"/>
        </w:rPr>
        <w:t>Cellular ATP content was measured in homeostatic (H24, H72) and atrophying conditions (A24, A72) using a luciferase-based ATP determination kit and normalized to cell number (ATP per cell).  N = 4.</w:t>
      </w:r>
    </w:p>
    <w:p w14:paraId="580D3E33" w14:textId="77777777" w:rsidR="00CD4654" w:rsidRDefault="006607B5" w:rsidP="00143011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t>Figure S3:</w:t>
      </w:r>
    </w:p>
    <w:p w14:paraId="2A40BB3B" w14:textId="0A13DF51" w:rsidR="00CD4654" w:rsidRDefault="00CD4654" w:rsidP="00143011">
      <w:pPr>
        <w:spacing w:line="480" w:lineRule="auto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drawing>
          <wp:inline distT="0" distB="0" distL="0" distR="0" wp14:anchorId="376AD542" wp14:editId="19A7FC6A">
            <wp:extent cx="5731510" cy="376999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03E9" w14:textId="4C9F7C8A" w:rsidR="00CD4654" w:rsidRDefault="00CD4654" w:rsidP="00CD4654">
      <w:pPr>
        <w:spacing w:line="480" w:lineRule="auto"/>
        <w:rPr>
          <w:rFonts w:cs="Arial"/>
          <w:szCs w:val="20"/>
          <w:lang w:val="en-GB"/>
        </w:rPr>
      </w:pPr>
      <w:r w:rsidRPr="0056681C">
        <w:rPr>
          <w:rFonts w:cs="Arial"/>
          <w:b/>
          <w:szCs w:val="20"/>
        </w:rPr>
        <w:t xml:space="preserve">Figure S3: </w:t>
      </w:r>
      <w:r w:rsidRPr="0056681C">
        <w:rPr>
          <w:rFonts w:cs="Arial"/>
          <w:szCs w:val="20"/>
        </w:rPr>
        <w:t>Quantified</w:t>
      </w:r>
      <w:r>
        <w:rPr>
          <w:rFonts w:cs="Arial"/>
          <w:szCs w:val="20"/>
        </w:rPr>
        <w:t xml:space="preserve"> Western blot intensities from Figure 5. Timepoints represent </w:t>
      </w:r>
      <w:r w:rsidR="00720C5A">
        <w:rPr>
          <w:rFonts w:cs="Arial"/>
          <w:szCs w:val="20"/>
        </w:rPr>
        <w:t>homeostatic conditions</w:t>
      </w:r>
      <w:r>
        <w:rPr>
          <w:rFonts w:cs="Arial"/>
          <w:szCs w:val="20"/>
        </w:rPr>
        <w:t xml:space="preserve"> (H24, H72) and atrophy (A24, A72) at 24 h and 72 h, respectively. ** p &lt; 0.001. ns = not significant. (</w:t>
      </w:r>
      <w:r w:rsidR="00A20E4A">
        <w:rPr>
          <w:rFonts w:cs="Arial"/>
          <w:b/>
          <w:szCs w:val="20"/>
        </w:rPr>
        <w:t>A</w:t>
      </w:r>
      <w:r>
        <w:rPr>
          <w:rFonts w:cs="Arial"/>
          <w:szCs w:val="20"/>
        </w:rPr>
        <w:t>) LC3B-II intensity normalized to Vinculin in DMSO- and BafA1-treated samples. (</w:t>
      </w:r>
      <w:r w:rsidR="00A20E4A">
        <w:rPr>
          <w:rFonts w:cs="Arial"/>
          <w:b/>
          <w:szCs w:val="20"/>
        </w:rPr>
        <w:t>B</w:t>
      </w:r>
      <w:r>
        <w:rPr>
          <w:rFonts w:cs="Arial"/>
          <w:szCs w:val="20"/>
        </w:rPr>
        <w:t>) LC3B-II intensity normalized to Vinculin in BafA1-treated samples only. (</w:t>
      </w:r>
      <w:r w:rsidR="00A20E4A">
        <w:rPr>
          <w:rFonts w:cs="Arial"/>
          <w:b/>
          <w:szCs w:val="20"/>
        </w:rPr>
        <w:t>C</w:t>
      </w:r>
      <w:r>
        <w:rPr>
          <w:rFonts w:cs="Arial"/>
          <w:szCs w:val="20"/>
        </w:rPr>
        <w:t>) p62 intensity normalized to Vinculin in DMSO- and BafA1-treated samples. (</w:t>
      </w:r>
      <w:r w:rsidR="00A20E4A">
        <w:rPr>
          <w:rFonts w:cs="Arial"/>
          <w:b/>
          <w:szCs w:val="20"/>
        </w:rPr>
        <w:t>D</w:t>
      </w:r>
      <w:r>
        <w:rPr>
          <w:rFonts w:cs="Arial"/>
          <w:szCs w:val="20"/>
        </w:rPr>
        <w:t xml:space="preserve">) </w:t>
      </w:r>
      <w:r w:rsidRPr="008C4A1A">
        <w:rPr>
          <w:rFonts w:cs="Arial"/>
          <w:szCs w:val="20"/>
          <w:lang w:val="en-GB"/>
        </w:rPr>
        <w:t>Gating strategy for quantification of LC3-II intensity using flow cytometry.</w:t>
      </w:r>
      <w:r>
        <w:rPr>
          <w:rFonts w:cs="Arial"/>
          <w:szCs w:val="20"/>
          <w:lang w:val="en-GB"/>
        </w:rPr>
        <w:t xml:space="preserve"> </w:t>
      </w:r>
      <w:r w:rsidRPr="008C4A1A">
        <w:rPr>
          <w:rFonts w:cs="Arial"/>
          <w:szCs w:val="20"/>
          <w:lang w:val="en-GB"/>
        </w:rPr>
        <w:t xml:space="preserve">Autophagic turnover was quantified using a flow cytometry-based approach </w:t>
      </w:r>
      <w:sdt>
        <w:sdtPr>
          <w:rPr>
            <w:rFonts w:cs="Arial"/>
            <w:color w:val="000000"/>
            <w:szCs w:val="20"/>
            <w:lang w:val="en-GB"/>
          </w:rPr>
          <w:tag w:val="MENDELEY_CITATION_v3_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"/>
          <w:id w:val="2054337998"/>
          <w:placeholder>
            <w:docPart w:val="4173BAC6DF5B48748FF8039158404BDB"/>
          </w:placeholder>
        </w:sdtPr>
        <w:sdtEndPr/>
        <w:sdtContent>
          <w:r w:rsidRPr="008C4A1A">
            <w:rPr>
              <w:rFonts w:eastAsia="Times New Roman" w:cs="Arial"/>
              <w:color w:val="000000"/>
              <w:szCs w:val="20"/>
            </w:rPr>
            <w:t xml:space="preserve">(Alsaleh </w:t>
          </w:r>
          <w:r w:rsidRPr="008C4A1A">
            <w:rPr>
              <w:rFonts w:eastAsia="Times New Roman" w:cs="Arial"/>
              <w:i/>
              <w:iCs/>
              <w:color w:val="000000"/>
              <w:szCs w:val="20"/>
            </w:rPr>
            <w:t>et al.</w:t>
          </w:r>
          <w:r w:rsidRPr="008C4A1A">
            <w:rPr>
              <w:rFonts w:eastAsia="Times New Roman" w:cs="Arial"/>
              <w:color w:val="000000"/>
              <w:szCs w:val="20"/>
            </w:rPr>
            <w:t>, 2020)</w:t>
          </w:r>
        </w:sdtContent>
      </w:sdt>
      <w:r w:rsidRPr="008C4A1A">
        <w:rPr>
          <w:rFonts w:cs="Arial"/>
          <w:szCs w:val="20"/>
          <w:lang w:val="en-GB"/>
        </w:rPr>
        <w:t xml:space="preserve">. For analysis, doublets were excluded first, followed by gating on cells, thus excluding debris and enlarged cells. Next, dead cells were removed by gating on live cells. LC3-II signal was thus only quantified on live, singlet cells. </w:t>
      </w:r>
    </w:p>
    <w:p w14:paraId="145AE474" w14:textId="77777777" w:rsidR="00CD4654" w:rsidRDefault="00CD4654" w:rsidP="00143011">
      <w:pPr>
        <w:spacing w:line="480" w:lineRule="auto"/>
        <w:rPr>
          <w:rFonts w:cs="Arial"/>
          <w:b/>
          <w:szCs w:val="20"/>
        </w:rPr>
      </w:pPr>
    </w:p>
    <w:p w14:paraId="089C5293" w14:textId="1D79AB47" w:rsidR="00143011" w:rsidRPr="00CD4654" w:rsidRDefault="00CD4654" w:rsidP="00143011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lastRenderedPageBreak/>
        <w:t>Figure S4:</w:t>
      </w:r>
    </w:p>
    <w:p w14:paraId="7018754A" w14:textId="1B4C3A10" w:rsidR="00143011" w:rsidRDefault="00090258" w:rsidP="00143011">
      <w:pPr>
        <w:spacing w:line="480" w:lineRule="auto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drawing>
          <wp:inline distT="0" distB="0" distL="0" distR="0" wp14:anchorId="565C443D" wp14:editId="1BD8F364">
            <wp:extent cx="5731510" cy="5656580"/>
            <wp:effectExtent l="0" t="0" r="0" b="0"/>
            <wp:docPr id="1223961736" name="Picture 1" descr="A collage of imag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61736" name="Picture 1" descr="A collage of images of cells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5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8984F" w14:textId="3943E57A" w:rsidR="00143011" w:rsidRDefault="00402AA1" w:rsidP="00143011">
      <w:pPr>
        <w:spacing w:line="480" w:lineRule="auto"/>
        <w:rPr>
          <w:rFonts w:cs="Arial"/>
          <w:szCs w:val="20"/>
        </w:rPr>
      </w:pPr>
      <w:r w:rsidRPr="0056681C">
        <w:rPr>
          <w:rFonts w:cs="Arial"/>
          <w:b/>
          <w:szCs w:val="20"/>
        </w:rPr>
        <w:t>Figure S</w:t>
      </w:r>
      <w:r w:rsidR="00CD4654" w:rsidRPr="0056681C">
        <w:rPr>
          <w:rFonts w:cs="Arial"/>
          <w:b/>
          <w:szCs w:val="20"/>
        </w:rPr>
        <w:t>4</w:t>
      </w:r>
      <w:r w:rsidRPr="0056681C">
        <w:rPr>
          <w:rFonts w:cs="Arial"/>
          <w:b/>
          <w:szCs w:val="20"/>
        </w:rPr>
        <w:t>:</w:t>
      </w:r>
      <w:r w:rsidR="00E4514F">
        <w:rPr>
          <w:rFonts w:cs="Arial"/>
          <w:b/>
          <w:szCs w:val="20"/>
        </w:rPr>
        <w:t xml:space="preserve"> </w:t>
      </w:r>
      <w:r w:rsidR="00E4514F" w:rsidRPr="00E4514F">
        <w:rPr>
          <w:rFonts w:cs="Arial"/>
          <w:szCs w:val="20"/>
        </w:rPr>
        <w:t>Autophagy and ubiquitin-related markers do not colocalize with myofibrillar structures under homeostatic conditions.</w:t>
      </w:r>
      <w:r w:rsidRPr="00E4514F">
        <w:rPr>
          <w:rFonts w:cs="Arial"/>
          <w:szCs w:val="20"/>
        </w:rPr>
        <w:t xml:space="preserve"> Immunocytochemical</w:t>
      </w:r>
      <w:r w:rsidRPr="009712F8">
        <w:rPr>
          <w:rFonts w:cs="Arial"/>
          <w:szCs w:val="20"/>
        </w:rPr>
        <w:t xml:space="preserve"> </w:t>
      </w:r>
      <w:proofErr w:type="spellStart"/>
      <w:r w:rsidRPr="009712F8">
        <w:rPr>
          <w:rFonts w:cs="Arial"/>
          <w:szCs w:val="20"/>
        </w:rPr>
        <w:t>stainings</w:t>
      </w:r>
      <w:proofErr w:type="spellEnd"/>
      <w:r w:rsidRPr="009712F8">
        <w:rPr>
          <w:rFonts w:cs="Arial"/>
          <w:szCs w:val="20"/>
        </w:rPr>
        <w:t xml:space="preserve"> for Wipi2, Lamp1, K63-Ub, and LC3B show no colocalization with MyHC (Myosin heavy chain) in </w:t>
      </w:r>
      <w:r w:rsidR="0032717E">
        <w:rPr>
          <w:rFonts w:cs="Arial"/>
          <w:szCs w:val="20"/>
        </w:rPr>
        <w:t xml:space="preserve">homeostatic </w:t>
      </w:r>
      <w:r w:rsidRPr="009712F8">
        <w:rPr>
          <w:rFonts w:cs="Arial"/>
          <w:szCs w:val="20"/>
        </w:rPr>
        <w:t>myotubes with corresponding line</w:t>
      </w:r>
      <w:r w:rsidR="00DB7701">
        <w:rPr>
          <w:rFonts w:cs="Arial"/>
          <w:szCs w:val="20"/>
        </w:rPr>
        <w:t xml:space="preserve"> </w:t>
      </w:r>
      <w:r w:rsidRPr="009712F8">
        <w:rPr>
          <w:rFonts w:cs="Arial"/>
          <w:szCs w:val="20"/>
        </w:rPr>
        <w:t>plots along the sarcomere. Scale bar: 20 µm.</w:t>
      </w:r>
    </w:p>
    <w:p w14:paraId="62D7F56D" w14:textId="0788C9A7" w:rsidR="006607B5" w:rsidRPr="006607B5" w:rsidRDefault="006607B5" w:rsidP="00143011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lastRenderedPageBreak/>
        <w:t>Figure S</w:t>
      </w:r>
      <w:r w:rsidR="00CD4654" w:rsidRPr="0056681C">
        <w:rPr>
          <w:rFonts w:cs="Arial"/>
          <w:b/>
          <w:sz w:val="24"/>
          <w:szCs w:val="20"/>
        </w:rPr>
        <w:t>5</w:t>
      </w:r>
      <w:r w:rsidRPr="0056681C">
        <w:rPr>
          <w:rFonts w:cs="Arial"/>
          <w:b/>
          <w:sz w:val="24"/>
          <w:szCs w:val="20"/>
        </w:rPr>
        <w:t>:</w:t>
      </w:r>
      <w:r w:rsidRPr="0056681C">
        <w:rPr>
          <w:rFonts w:cs="Arial"/>
          <w:b/>
          <w:noProof/>
          <w:szCs w:val="20"/>
        </w:rPr>
        <w:drawing>
          <wp:anchor distT="0" distB="0" distL="114300" distR="114300" simplePos="0" relativeHeight="251662336" behindDoc="0" locked="0" layoutInCell="1" allowOverlap="1" wp14:anchorId="2B1FC36E" wp14:editId="7C992DB2">
            <wp:simplePos x="0" y="0"/>
            <wp:positionH relativeFrom="margin">
              <wp:align>right</wp:align>
            </wp:positionH>
            <wp:positionV relativeFrom="paragraph">
              <wp:posOffset>391160</wp:posOffset>
            </wp:positionV>
            <wp:extent cx="5731510" cy="5659755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F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59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F31A3" w14:textId="71BD22A0" w:rsidR="00402AA1" w:rsidRPr="009712F8" w:rsidRDefault="00402AA1" w:rsidP="00143011">
      <w:pPr>
        <w:spacing w:line="480" w:lineRule="auto"/>
        <w:rPr>
          <w:rFonts w:cs="Arial"/>
          <w:szCs w:val="20"/>
        </w:rPr>
      </w:pPr>
      <w:bookmarkStart w:id="0" w:name="_Hlk212758914"/>
      <w:r w:rsidRPr="009712F8">
        <w:rPr>
          <w:rFonts w:cs="Arial"/>
          <w:b/>
          <w:szCs w:val="20"/>
        </w:rPr>
        <w:t>Figure S</w:t>
      </w:r>
      <w:r w:rsidR="00CD4654">
        <w:rPr>
          <w:rFonts w:cs="Arial"/>
          <w:b/>
          <w:szCs w:val="20"/>
        </w:rPr>
        <w:t>5</w:t>
      </w:r>
      <w:r w:rsidRPr="009712F8">
        <w:rPr>
          <w:rFonts w:cs="Arial"/>
          <w:b/>
          <w:szCs w:val="20"/>
        </w:rPr>
        <w:t xml:space="preserve">: </w:t>
      </w:r>
      <w:r w:rsidR="00E4514F" w:rsidRPr="00E4514F">
        <w:rPr>
          <w:rFonts w:cs="Arial"/>
          <w:szCs w:val="20"/>
        </w:rPr>
        <w:t xml:space="preserve">Autophagy and ubiquitin-related markers do not colocalize with myofibrillar structures under </w:t>
      </w:r>
      <w:r w:rsidR="00E4514F">
        <w:rPr>
          <w:rFonts w:cs="Arial"/>
          <w:szCs w:val="20"/>
        </w:rPr>
        <w:t>atrophic</w:t>
      </w:r>
      <w:r w:rsidR="00E4514F" w:rsidRPr="00E4514F">
        <w:rPr>
          <w:rFonts w:cs="Arial"/>
          <w:szCs w:val="20"/>
        </w:rPr>
        <w:t xml:space="preserve"> conditions</w:t>
      </w:r>
      <w:r w:rsidR="00295089">
        <w:rPr>
          <w:rFonts w:cs="Arial"/>
          <w:szCs w:val="20"/>
        </w:rPr>
        <w:t>.</w:t>
      </w:r>
      <w:r w:rsidR="00E4514F" w:rsidRPr="009712F8">
        <w:rPr>
          <w:rFonts w:cs="Arial"/>
          <w:szCs w:val="20"/>
        </w:rPr>
        <w:t xml:space="preserve"> </w:t>
      </w:r>
      <w:r w:rsidRPr="009712F8">
        <w:rPr>
          <w:rFonts w:cs="Arial"/>
          <w:szCs w:val="20"/>
        </w:rPr>
        <w:t xml:space="preserve">Immunocytochemical </w:t>
      </w:r>
      <w:proofErr w:type="spellStart"/>
      <w:r w:rsidRPr="009712F8">
        <w:rPr>
          <w:rFonts w:cs="Arial"/>
          <w:szCs w:val="20"/>
        </w:rPr>
        <w:t>stainings</w:t>
      </w:r>
      <w:proofErr w:type="spellEnd"/>
      <w:r w:rsidRPr="009712F8">
        <w:rPr>
          <w:rFonts w:cs="Arial"/>
          <w:szCs w:val="20"/>
        </w:rPr>
        <w:t xml:space="preserve"> for Wipi2, Lamp1, K63-Ub, and LC3B show no colocalization with MyHC (Myosin heavy chain) in atrophying myotubes</w:t>
      </w:r>
      <w:r w:rsidR="00DB7701">
        <w:rPr>
          <w:rFonts w:cs="Arial"/>
          <w:szCs w:val="20"/>
        </w:rPr>
        <w:t xml:space="preserve"> (A24, 24 h TNF-α treatment)</w:t>
      </w:r>
      <w:r w:rsidRPr="009712F8">
        <w:rPr>
          <w:rFonts w:cs="Arial"/>
          <w:szCs w:val="20"/>
        </w:rPr>
        <w:t xml:space="preserve"> with corresponding line</w:t>
      </w:r>
      <w:r w:rsidR="00DB7701">
        <w:rPr>
          <w:rFonts w:cs="Arial"/>
          <w:szCs w:val="20"/>
        </w:rPr>
        <w:t xml:space="preserve"> </w:t>
      </w:r>
      <w:r w:rsidRPr="009712F8">
        <w:rPr>
          <w:rFonts w:cs="Arial"/>
          <w:szCs w:val="20"/>
        </w:rPr>
        <w:t>plots along the sarcomere. Scale bar: 20 µm.</w:t>
      </w:r>
    </w:p>
    <w:bookmarkEnd w:id="0"/>
    <w:p w14:paraId="2050084B" w14:textId="77777777" w:rsidR="00143011" w:rsidRDefault="00143011" w:rsidP="00143011">
      <w:pPr>
        <w:spacing w:before="240" w:line="480" w:lineRule="auto"/>
        <w:rPr>
          <w:rFonts w:cs="Arial"/>
          <w:b/>
          <w:szCs w:val="20"/>
        </w:rPr>
      </w:pPr>
    </w:p>
    <w:p w14:paraId="395AE310" w14:textId="77777777" w:rsidR="00143011" w:rsidRDefault="00143011" w:rsidP="00143011">
      <w:pPr>
        <w:spacing w:before="240" w:line="480" w:lineRule="auto"/>
        <w:rPr>
          <w:rFonts w:cs="Arial"/>
          <w:b/>
          <w:szCs w:val="20"/>
        </w:rPr>
      </w:pPr>
    </w:p>
    <w:p w14:paraId="6EC5B108" w14:textId="77777777" w:rsidR="00143011" w:rsidRDefault="00143011" w:rsidP="00143011">
      <w:pPr>
        <w:spacing w:before="240" w:line="480" w:lineRule="auto"/>
        <w:rPr>
          <w:rFonts w:cs="Arial"/>
          <w:b/>
          <w:szCs w:val="20"/>
        </w:rPr>
      </w:pPr>
    </w:p>
    <w:p w14:paraId="3125600A" w14:textId="77777777" w:rsidR="00143011" w:rsidRDefault="00143011" w:rsidP="00143011">
      <w:pPr>
        <w:spacing w:before="240" w:line="480" w:lineRule="auto"/>
        <w:rPr>
          <w:rFonts w:cs="Arial"/>
          <w:b/>
          <w:szCs w:val="20"/>
        </w:rPr>
      </w:pPr>
    </w:p>
    <w:p w14:paraId="01E23B46" w14:textId="5A6A8B1E" w:rsidR="00295089" w:rsidRDefault="00295089" w:rsidP="00143011">
      <w:pPr>
        <w:spacing w:before="240"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lastRenderedPageBreak/>
        <w:t>Figure S</w:t>
      </w:r>
      <w:r w:rsidR="00CD4654" w:rsidRPr="0056681C">
        <w:rPr>
          <w:rFonts w:cs="Arial"/>
          <w:b/>
          <w:sz w:val="24"/>
          <w:szCs w:val="20"/>
        </w:rPr>
        <w:t>6</w:t>
      </w:r>
      <w:r w:rsidRPr="0056681C">
        <w:rPr>
          <w:rFonts w:cs="Arial"/>
          <w:b/>
          <w:sz w:val="24"/>
          <w:szCs w:val="20"/>
        </w:rPr>
        <w:t>:</w:t>
      </w:r>
    </w:p>
    <w:p w14:paraId="62361804" w14:textId="361958A4" w:rsidR="00720C5A" w:rsidRPr="00295089" w:rsidRDefault="00090258" w:rsidP="00143011">
      <w:pPr>
        <w:spacing w:before="240" w:line="480" w:lineRule="auto"/>
        <w:rPr>
          <w:rFonts w:cs="Arial"/>
          <w:b/>
          <w:sz w:val="24"/>
          <w:szCs w:val="20"/>
        </w:rPr>
      </w:pPr>
      <w:r>
        <w:rPr>
          <w:rFonts w:cs="Arial"/>
          <w:b/>
          <w:noProof/>
          <w:sz w:val="24"/>
          <w:szCs w:val="20"/>
        </w:rPr>
        <w:drawing>
          <wp:inline distT="0" distB="0" distL="0" distR="0" wp14:anchorId="056A6220" wp14:editId="2A2D0300">
            <wp:extent cx="5731510" cy="6937375"/>
            <wp:effectExtent l="0" t="0" r="0" b="0"/>
            <wp:docPr id="1640228277" name="Picture 2" descr="A collage of imag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228277" name="Picture 2" descr="A collage of images of cell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3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8A586" w14:textId="6D287AD4" w:rsidR="00295089" w:rsidRPr="0056681C" w:rsidRDefault="00295089" w:rsidP="006F5136">
      <w:pPr>
        <w:spacing w:line="480" w:lineRule="auto"/>
        <w:rPr>
          <w:rFonts w:cs="Arial"/>
          <w:sz w:val="22"/>
          <w:szCs w:val="20"/>
        </w:rPr>
      </w:pPr>
      <w:r w:rsidRPr="0056681C">
        <w:rPr>
          <w:rFonts w:cs="Arial"/>
          <w:b/>
          <w:szCs w:val="20"/>
        </w:rPr>
        <w:t>Figure S</w:t>
      </w:r>
      <w:r w:rsidR="00CD4654" w:rsidRPr="0056681C">
        <w:rPr>
          <w:rFonts w:cs="Arial"/>
          <w:b/>
          <w:szCs w:val="20"/>
        </w:rPr>
        <w:t>6</w:t>
      </w:r>
      <w:r w:rsidRPr="0056681C">
        <w:rPr>
          <w:rFonts w:cs="Arial"/>
          <w:b/>
          <w:szCs w:val="20"/>
        </w:rPr>
        <w:t xml:space="preserve">: </w:t>
      </w:r>
      <w:r w:rsidRPr="0056681C">
        <w:rPr>
          <w:rFonts w:cs="Arial"/>
          <w:szCs w:val="20"/>
        </w:rPr>
        <w:t>Only p62, but not other autophagy- or ubiquitin-related markers, specifically localizes with the M band (</w:t>
      </w:r>
      <w:proofErr w:type="spellStart"/>
      <w:r w:rsidRPr="0056681C">
        <w:rPr>
          <w:rFonts w:cs="Arial"/>
          <w:szCs w:val="20"/>
        </w:rPr>
        <w:t>MyHC</w:t>
      </w:r>
      <w:proofErr w:type="spellEnd"/>
      <w:r w:rsidRPr="0056681C">
        <w:rPr>
          <w:rFonts w:cs="Arial"/>
          <w:szCs w:val="20"/>
        </w:rPr>
        <w:t>, Myosin heavy chain) in homeost</w:t>
      </w:r>
      <w:r w:rsidR="00495219" w:rsidRPr="0056681C">
        <w:rPr>
          <w:rFonts w:cs="Arial"/>
          <w:szCs w:val="20"/>
        </w:rPr>
        <w:t>atic conditions</w:t>
      </w:r>
      <w:r w:rsidRPr="0056681C">
        <w:rPr>
          <w:rFonts w:cs="Arial"/>
          <w:szCs w:val="20"/>
        </w:rPr>
        <w:t xml:space="preserve"> upon autophagy inhibition (BafA1 treatment): Immunocytochemical staining</w:t>
      </w:r>
      <w:r w:rsidRPr="0056681C">
        <w:rPr>
          <w:rFonts w:cs="Arial"/>
          <w:szCs w:val="20"/>
          <w:lang w:val="en-GB"/>
        </w:rPr>
        <w:t>s</w:t>
      </w:r>
      <w:r w:rsidRPr="0056681C">
        <w:rPr>
          <w:rFonts w:cs="Arial"/>
          <w:szCs w:val="20"/>
        </w:rPr>
        <w:t xml:space="preserve"> for Wipi2, Lamp1, K63-Ub, and LC3B show no </w:t>
      </w:r>
      <w:r w:rsidRPr="0056681C">
        <w:rPr>
          <w:rFonts w:cs="Arial"/>
          <w:szCs w:val="20"/>
          <w:lang w:val="en-GB"/>
        </w:rPr>
        <w:t xml:space="preserve">specific </w:t>
      </w:r>
      <w:r w:rsidRPr="0056681C">
        <w:rPr>
          <w:rFonts w:cs="Arial"/>
          <w:szCs w:val="20"/>
        </w:rPr>
        <w:t>co</w:t>
      </w:r>
      <w:r w:rsidRPr="0056681C">
        <w:rPr>
          <w:rFonts w:cs="Arial"/>
          <w:szCs w:val="20"/>
          <w:lang w:val="en-GB"/>
        </w:rPr>
        <w:t>-</w:t>
      </w:r>
      <w:r w:rsidRPr="0056681C">
        <w:rPr>
          <w:rFonts w:cs="Arial"/>
          <w:szCs w:val="20"/>
        </w:rPr>
        <w:lastRenderedPageBreak/>
        <w:t>localization with MyHC (Myosin heavy chain) in C2C12 myotubes (H24) as illustrated by corresponding line plots along the sarcomere. Scale bar: 20 µm.</w:t>
      </w:r>
    </w:p>
    <w:p w14:paraId="69C2EF41" w14:textId="237B707B" w:rsidR="00295089" w:rsidRDefault="00295089" w:rsidP="00143011">
      <w:pPr>
        <w:spacing w:before="240"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t>Figure S</w:t>
      </w:r>
      <w:r w:rsidR="00CD4654" w:rsidRPr="0056681C">
        <w:rPr>
          <w:rFonts w:cs="Arial"/>
          <w:b/>
          <w:sz w:val="24"/>
          <w:szCs w:val="20"/>
        </w:rPr>
        <w:t>7</w:t>
      </w:r>
      <w:r w:rsidRPr="0056681C">
        <w:rPr>
          <w:rFonts w:cs="Arial"/>
          <w:b/>
          <w:sz w:val="24"/>
          <w:szCs w:val="20"/>
        </w:rPr>
        <w:t>:</w:t>
      </w:r>
    </w:p>
    <w:p w14:paraId="0582E2B8" w14:textId="0B42D190" w:rsidR="008C69D7" w:rsidRPr="00295089" w:rsidRDefault="008C69D7" w:rsidP="00143011">
      <w:pPr>
        <w:spacing w:before="240" w:line="480" w:lineRule="auto"/>
        <w:rPr>
          <w:rFonts w:cs="Arial"/>
          <w:b/>
          <w:sz w:val="24"/>
          <w:szCs w:val="20"/>
        </w:rPr>
      </w:pPr>
      <w:r>
        <w:rPr>
          <w:rFonts w:cs="Arial"/>
          <w:b/>
          <w:noProof/>
          <w:sz w:val="24"/>
          <w:szCs w:val="20"/>
        </w:rPr>
        <w:drawing>
          <wp:inline distT="0" distB="0" distL="0" distR="0" wp14:anchorId="1D6E261B" wp14:editId="76A2ABCD">
            <wp:extent cx="5731510" cy="70319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3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17ED4" w14:textId="6711F805" w:rsidR="00295089" w:rsidRPr="0056681C" w:rsidRDefault="00295089" w:rsidP="00295089">
      <w:pPr>
        <w:spacing w:line="480" w:lineRule="auto"/>
        <w:rPr>
          <w:rFonts w:cs="Arial"/>
          <w:sz w:val="22"/>
          <w:szCs w:val="20"/>
        </w:rPr>
      </w:pPr>
      <w:r w:rsidRPr="0056681C">
        <w:rPr>
          <w:rFonts w:cs="Arial"/>
          <w:b/>
          <w:szCs w:val="20"/>
        </w:rPr>
        <w:lastRenderedPageBreak/>
        <w:t>Figure S</w:t>
      </w:r>
      <w:r w:rsidR="00CD4654" w:rsidRPr="0056681C">
        <w:rPr>
          <w:rFonts w:cs="Arial"/>
          <w:b/>
          <w:szCs w:val="20"/>
        </w:rPr>
        <w:t>7</w:t>
      </w:r>
      <w:r w:rsidRPr="0056681C">
        <w:rPr>
          <w:rFonts w:cs="Arial"/>
          <w:b/>
          <w:szCs w:val="20"/>
        </w:rPr>
        <w:t xml:space="preserve">: </w:t>
      </w:r>
      <w:r w:rsidRPr="0056681C">
        <w:rPr>
          <w:rFonts w:cs="Arial"/>
          <w:szCs w:val="20"/>
        </w:rPr>
        <w:t>Only p62, but not other autophagy- or ubiquitin-related markers, specifically localizes with the M band (</w:t>
      </w:r>
      <w:proofErr w:type="spellStart"/>
      <w:r w:rsidRPr="0056681C">
        <w:rPr>
          <w:rFonts w:cs="Arial"/>
          <w:szCs w:val="20"/>
        </w:rPr>
        <w:t>MyHC</w:t>
      </w:r>
      <w:proofErr w:type="spellEnd"/>
      <w:r w:rsidRPr="0056681C">
        <w:rPr>
          <w:rFonts w:cs="Arial"/>
          <w:szCs w:val="20"/>
        </w:rPr>
        <w:t>, Myosin heavy chain) in atrophy upon autophagy inhibition (BafA1 treatment): Immunocytochemical staining</w:t>
      </w:r>
      <w:r w:rsidRPr="0056681C">
        <w:rPr>
          <w:rFonts w:cs="Arial"/>
          <w:szCs w:val="20"/>
          <w:lang w:val="en-GB"/>
        </w:rPr>
        <w:t>s</w:t>
      </w:r>
      <w:r w:rsidRPr="0056681C">
        <w:rPr>
          <w:rFonts w:cs="Arial"/>
          <w:szCs w:val="20"/>
        </w:rPr>
        <w:t xml:space="preserve"> for Wipi2, Lamp1, K63-Ub, and LC3B show no </w:t>
      </w:r>
      <w:r w:rsidRPr="0056681C">
        <w:rPr>
          <w:rFonts w:cs="Arial"/>
          <w:szCs w:val="20"/>
          <w:lang w:val="en-GB"/>
        </w:rPr>
        <w:t xml:space="preserve">specific </w:t>
      </w:r>
      <w:r w:rsidRPr="0056681C">
        <w:rPr>
          <w:rFonts w:cs="Arial"/>
          <w:szCs w:val="20"/>
        </w:rPr>
        <w:t>co</w:t>
      </w:r>
      <w:r w:rsidRPr="0056681C">
        <w:rPr>
          <w:rFonts w:cs="Arial"/>
          <w:szCs w:val="20"/>
          <w:lang w:val="en-GB"/>
        </w:rPr>
        <w:t>-</w:t>
      </w:r>
      <w:r w:rsidRPr="0056681C">
        <w:rPr>
          <w:rFonts w:cs="Arial"/>
          <w:szCs w:val="20"/>
        </w:rPr>
        <w:t>localization with MyHC (Myosin heavy chain) in</w:t>
      </w:r>
      <w:r w:rsidRPr="0056681C">
        <w:rPr>
          <w:rFonts w:cs="Arial"/>
          <w:szCs w:val="20"/>
          <w:lang w:val="en-GB"/>
        </w:rPr>
        <w:t xml:space="preserve"> atrophying</w:t>
      </w:r>
      <w:r w:rsidRPr="0056681C">
        <w:rPr>
          <w:rFonts w:cs="Arial"/>
          <w:szCs w:val="20"/>
        </w:rPr>
        <w:t xml:space="preserve"> C2C12 myotubes (A24, 24 h TNF-α treatment) as illustrated by corresponding line plots along the sarcomere. Scale bar: 20 µm.</w:t>
      </w:r>
    </w:p>
    <w:p w14:paraId="154B92A4" w14:textId="00F5166C" w:rsidR="006607B5" w:rsidRDefault="006607B5" w:rsidP="006607B5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t>Figure S</w:t>
      </w:r>
      <w:r w:rsidR="00CD4654" w:rsidRPr="0056681C">
        <w:rPr>
          <w:rFonts w:cs="Arial"/>
          <w:b/>
          <w:sz w:val="24"/>
          <w:szCs w:val="20"/>
        </w:rPr>
        <w:t>8</w:t>
      </w:r>
      <w:r w:rsidRPr="0056681C">
        <w:rPr>
          <w:rFonts w:cs="Arial"/>
          <w:b/>
          <w:sz w:val="24"/>
          <w:szCs w:val="20"/>
        </w:rPr>
        <w:t>:</w:t>
      </w:r>
    </w:p>
    <w:p w14:paraId="5B628654" w14:textId="05002CAB" w:rsidR="00495219" w:rsidRPr="006607B5" w:rsidRDefault="00090258" w:rsidP="006607B5">
      <w:pPr>
        <w:spacing w:line="480" w:lineRule="auto"/>
        <w:rPr>
          <w:rFonts w:cs="Arial"/>
          <w:b/>
          <w:sz w:val="24"/>
          <w:szCs w:val="20"/>
        </w:rPr>
      </w:pPr>
      <w:r>
        <w:rPr>
          <w:rFonts w:cs="Arial"/>
          <w:b/>
          <w:noProof/>
          <w:sz w:val="24"/>
          <w:szCs w:val="20"/>
        </w:rPr>
        <w:drawing>
          <wp:inline distT="0" distB="0" distL="0" distR="0" wp14:anchorId="72BE51FE" wp14:editId="59C65EBB">
            <wp:extent cx="5731510" cy="5684520"/>
            <wp:effectExtent l="0" t="0" r="0" b="0"/>
            <wp:docPr id="357643365" name="Picture 3" descr="A diagram of the phases of the solar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643365" name="Picture 3" descr="A diagram of the phases of the solar system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8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5485E" w14:textId="7CF270DB" w:rsidR="006607B5" w:rsidRPr="00E50F72" w:rsidRDefault="00402AA1" w:rsidP="0032717E">
      <w:pPr>
        <w:spacing w:before="240" w:line="480" w:lineRule="auto"/>
        <w:rPr>
          <w:rFonts w:eastAsia="Times New Roman" w:cs="Arial"/>
          <w:szCs w:val="20"/>
        </w:rPr>
      </w:pPr>
      <w:r w:rsidRPr="0056681C">
        <w:rPr>
          <w:rFonts w:cs="Arial"/>
          <w:b/>
          <w:szCs w:val="20"/>
        </w:rPr>
        <w:t>Figure S</w:t>
      </w:r>
      <w:r w:rsidR="00CD4654" w:rsidRPr="0056681C">
        <w:rPr>
          <w:rFonts w:cs="Arial"/>
          <w:b/>
          <w:szCs w:val="20"/>
        </w:rPr>
        <w:t>8</w:t>
      </w:r>
      <w:r w:rsidRPr="0056681C">
        <w:rPr>
          <w:rFonts w:cs="Arial"/>
          <w:b/>
          <w:szCs w:val="20"/>
        </w:rPr>
        <w:t xml:space="preserve">: </w:t>
      </w:r>
      <w:r w:rsidR="00E4514F" w:rsidRPr="0056681C">
        <w:rPr>
          <w:rFonts w:cs="Arial"/>
          <w:szCs w:val="20"/>
        </w:rPr>
        <w:t>Proteomic</w:t>
      </w:r>
      <w:r w:rsidR="00E4514F" w:rsidRPr="00E4514F">
        <w:rPr>
          <w:rFonts w:cs="Arial"/>
          <w:szCs w:val="20"/>
        </w:rPr>
        <w:t xml:space="preserve"> changes upon autophagic inhibition reveal condition-specific accumulation patterns and enriched biological processes.</w:t>
      </w:r>
      <w:r w:rsidR="00E4514F">
        <w:rPr>
          <w:rFonts w:cs="Arial"/>
          <w:b/>
          <w:szCs w:val="20"/>
        </w:rPr>
        <w:t xml:space="preserve"> </w:t>
      </w:r>
      <w:r w:rsidR="00291747" w:rsidRPr="008C4A1A">
        <w:rPr>
          <w:rFonts w:cs="Arial"/>
          <w:szCs w:val="20"/>
        </w:rPr>
        <w:t>(</w:t>
      </w:r>
      <w:r w:rsidR="00291747" w:rsidRPr="008C4A1A">
        <w:rPr>
          <w:rFonts w:cs="Arial"/>
          <w:b/>
          <w:szCs w:val="20"/>
        </w:rPr>
        <w:t>A</w:t>
      </w:r>
      <w:r w:rsidR="00291747" w:rsidRPr="008C4A1A">
        <w:rPr>
          <w:rFonts w:cs="Arial"/>
          <w:szCs w:val="20"/>
        </w:rPr>
        <w:t xml:space="preserve">) </w:t>
      </w:r>
      <w:r w:rsidR="00291747" w:rsidRPr="008C4A1A">
        <w:rPr>
          <w:rFonts w:eastAsia="Times New Roman" w:cs="Arial"/>
          <w:szCs w:val="20"/>
        </w:rPr>
        <w:t>AN</w:t>
      </w:r>
      <w:r w:rsidR="00291747" w:rsidRPr="008C4A1A">
        <w:rPr>
          <w:rFonts w:eastAsia="Times New Roman" w:cs="Arial"/>
          <w:bCs/>
          <w:szCs w:val="20"/>
        </w:rPr>
        <w:t xml:space="preserve">OVA comparisons of Bafilomycin (BafA1)- vs. non-BafA1-treated samples in homeostasis (both H24 and H72 together) and atrophy (both A24 and A72 </w:t>
      </w:r>
      <w:r w:rsidR="00291747" w:rsidRPr="008C4A1A">
        <w:rPr>
          <w:rFonts w:eastAsia="Times New Roman" w:cs="Arial"/>
          <w:bCs/>
          <w:szCs w:val="20"/>
        </w:rPr>
        <w:lastRenderedPageBreak/>
        <w:t>together) with log</w:t>
      </w:r>
      <w:r w:rsidR="00291747" w:rsidRPr="008C4A1A">
        <w:rPr>
          <w:rFonts w:eastAsia="Times New Roman" w:cs="Arial"/>
          <w:bCs/>
          <w:szCs w:val="20"/>
          <w:vertAlign w:val="subscript"/>
        </w:rPr>
        <w:t>2</w:t>
      </w:r>
      <w:r w:rsidR="00291747" w:rsidRPr="008C4A1A">
        <w:rPr>
          <w:rFonts w:eastAsia="Times New Roman" w:cs="Arial"/>
          <w:bCs/>
          <w:szCs w:val="20"/>
        </w:rPr>
        <w:t xml:space="preserve">FC &gt; 0 and </w:t>
      </w:r>
      <w:r w:rsidR="00291747" w:rsidRPr="008C4A1A">
        <w:rPr>
          <w:rFonts w:cs="Arial"/>
          <w:szCs w:val="20"/>
        </w:rPr>
        <w:t xml:space="preserve">adj. p-value set at &lt; 0.05. Numbers in Venn diagrams depict amount of significantly regulated proteins in respective dataset comparison. GO term analyses (biological processes) in homeostasis (left) and atrophy (right). </w:t>
      </w:r>
      <w:r w:rsidR="0032717E" w:rsidRPr="0032717E">
        <w:rPr>
          <w:rFonts w:cs="Arial"/>
          <w:szCs w:val="20"/>
        </w:rPr>
        <w:t>Lists depict accumulated proteins</w:t>
      </w:r>
      <w:r w:rsidR="0032717E">
        <w:rPr>
          <w:rFonts w:cs="Arial"/>
          <w:szCs w:val="20"/>
        </w:rPr>
        <w:t xml:space="preserve"> upon autophagic inhibition (BafA1)</w:t>
      </w:r>
      <w:r w:rsidR="0032717E" w:rsidRPr="0032717E">
        <w:rPr>
          <w:rFonts w:cs="Arial"/>
          <w:szCs w:val="20"/>
        </w:rPr>
        <w:t xml:space="preserve"> in only homeostasis </w:t>
      </w:r>
      <w:r w:rsidR="00E51821">
        <w:rPr>
          <w:rFonts w:cs="Arial"/>
          <w:szCs w:val="20"/>
        </w:rPr>
        <w:t xml:space="preserve">(H24 + H72) </w:t>
      </w:r>
      <w:r w:rsidR="0032717E" w:rsidRPr="0032717E">
        <w:rPr>
          <w:rFonts w:cs="Arial"/>
          <w:szCs w:val="20"/>
        </w:rPr>
        <w:t>(left), only atrophy</w:t>
      </w:r>
      <w:r w:rsidR="00E51821">
        <w:rPr>
          <w:rFonts w:cs="Arial"/>
          <w:szCs w:val="20"/>
        </w:rPr>
        <w:t xml:space="preserve"> (A24 + A72)</w:t>
      </w:r>
      <w:r w:rsidR="0032717E" w:rsidRPr="0032717E">
        <w:rPr>
          <w:rFonts w:cs="Arial"/>
          <w:szCs w:val="20"/>
        </w:rPr>
        <w:t xml:space="preserve"> (right) and proteins accumulating in both conditions (overlap, middle).</w:t>
      </w:r>
      <w:r w:rsidR="0032717E">
        <w:rPr>
          <w:rFonts w:cs="Arial"/>
          <w:szCs w:val="20"/>
        </w:rPr>
        <w:t xml:space="preserve"> (</w:t>
      </w:r>
      <w:r w:rsidR="00E51821">
        <w:rPr>
          <w:rFonts w:cs="Arial"/>
          <w:b/>
          <w:szCs w:val="20"/>
        </w:rPr>
        <w:t>B</w:t>
      </w:r>
      <w:r w:rsidR="0032717E" w:rsidRPr="00E51821">
        <w:rPr>
          <w:rFonts w:cs="Arial"/>
          <w:szCs w:val="20"/>
        </w:rPr>
        <w:t xml:space="preserve">) GO term analyses (biological processes) of </w:t>
      </w:r>
      <w:r w:rsidR="0032717E" w:rsidRPr="00E51821">
        <w:rPr>
          <w:rFonts w:eastAsia="Times New Roman" w:cs="Arial"/>
          <w:szCs w:val="20"/>
        </w:rPr>
        <w:t>accumulated proteins upon autophagic inhibition (BafA1)</w:t>
      </w:r>
      <w:r w:rsidR="00E51821" w:rsidRPr="00E51821">
        <w:rPr>
          <w:rFonts w:eastAsia="Times New Roman" w:cs="Arial"/>
          <w:szCs w:val="20"/>
        </w:rPr>
        <w:t xml:space="preserve"> in homeostasis (H24 + H72) and atrophy (A24 + A72).</w:t>
      </w:r>
    </w:p>
    <w:p w14:paraId="6FF5E6C2" w14:textId="6E43AE91" w:rsidR="006607B5" w:rsidRPr="006607B5" w:rsidRDefault="006607B5" w:rsidP="006607B5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t>Figure S</w:t>
      </w:r>
      <w:r w:rsidR="00CD4654" w:rsidRPr="0056681C">
        <w:rPr>
          <w:rFonts w:cs="Arial"/>
          <w:b/>
          <w:sz w:val="24"/>
          <w:szCs w:val="20"/>
        </w:rPr>
        <w:t>9</w:t>
      </w:r>
      <w:r w:rsidRPr="0056681C">
        <w:rPr>
          <w:rFonts w:cs="Arial"/>
          <w:b/>
          <w:sz w:val="24"/>
          <w:szCs w:val="20"/>
        </w:rPr>
        <w:t>:</w:t>
      </w:r>
    </w:p>
    <w:p w14:paraId="47A28B8D" w14:textId="77777777" w:rsidR="00143011" w:rsidRDefault="0032717E" w:rsidP="00143011">
      <w:pPr>
        <w:spacing w:before="240" w:line="480" w:lineRule="auto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drawing>
          <wp:inline distT="0" distB="0" distL="0" distR="0" wp14:anchorId="285CBE1D" wp14:editId="08F62F3D">
            <wp:extent cx="5731510" cy="487616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F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0696E" w14:textId="7AD97B4B" w:rsidR="00143011" w:rsidRDefault="00E51821" w:rsidP="00143011">
      <w:pPr>
        <w:spacing w:before="240" w:line="480" w:lineRule="auto"/>
        <w:rPr>
          <w:rFonts w:eastAsia="Times New Roman" w:cs="Arial"/>
          <w:szCs w:val="20"/>
        </w:rPr>
      </w:pPr>
      <w:r w:rsidRPr="0056681C">
        <w:rPr>
          <w:rFonts w:cs="Arial"/>
          <w:b/>
          <w:szCs w:val="20"/>
        </w:rPr>
        <w:t>Figure S</w:t>
      </w:r>
      <w:r w:rsidR="00CD4654" w:rsidRPr="0056681C">
        <w:rPr>
          <w:rFonts w:cs="Arial"/>
          <w:b/>
          <w:szCs w:val="20"/>
        </w:rPr>
        <w:t>9</w:t>
      </w:r>
      <w:r w:rsidRPr="0056681C">
        <w:rPr>
          <w:rFonts w:cs="Arial"/>
          <w:b/>
          <w:szCs w:val="20"/>
        </w:rPr>
        <w:t>:</w:t>
      </w:r>
      <w:r w:rsidRPr="0056681C">
        <w:rPr>
          <w:rFonts w:cs="Arial"/>
          <w:szCs w:val="20"/>
        </w:rPr>
        <w:t xml:space="preserve"> </w:t>
      </w:r>
      <w:r w:rsidR="00E4514F" w:rsidRPr="0056681C">
        <w:rPr>
          <w:rFonts w:cs="Arial"/>
          <w:szCs w:val="20"/>
        </w:rPr>
        <w:t>Stage</w:t>
      </w:r>
      <w:r w:rsidR="00E4514F">
        <w:rPr>
          <w:rFonts w:cs="Arial"/>
          <w:szCs w:val="20"/>
        </w:rPr>
        <w:t xml:space="preserve">-specific proteomic responses to autophagic inhibition during early and late muscle atrophy. </w:t>
      </w:r>
      <w:r w:rsidR="00291747" w:rsidRPr="008C4A1A">
        <w:rPr>
          <w:rFonts w:cs="Arial"/>
          <w:szCs w:val="20"/>
        </w:rPr>
        <w:t>(</w:t>
      </w:r>
      <w:r>
        <w:rPr>
          <w:rFonts w:cs="Arial"/>
          <w:b/>
          <w:szCs w:val="20"/>
        </w:rPr>
        <w:t>A</w:t>
      </w:r>
      <w:r w:rsidR="00291747" w:rsidRPr="008C4A1A">
        <w:rPr>
          <w:rFonts w:cs="Arial"/>
          <w:szCs w:val="20"/>
        </w:rPr>
        <w:t xml:space="preserve">) </w:t>
      </w:r>
      <w:r w:rsidR="00291747" w:rsidRPr="008C4A1A">
        <w:rPr>
          <w:rFonts w:eastAsia="Times New Roman" w:cs="Arial"/>
          <w:szCs w:val="20"/>
        </w:rPr>
        <w:t>AN</w:t>
      </w:r>
      <w:r w:rsidR="00291747" w:rsidRPr="008C4A1A">
        <w:rPr>
          <w:rFonts w:eastAsia="Times New Roman" w:cs="Arial"/>
          <w:bCs/>
          <w:szCs w:val="20"/>
        </w:rPr>
        <w:t>OVA comparisons of Bafilomycin (BafA1)- vs. non-BafA1-treated samples in early atrophy (A24+BafA1</w:t>
      </w:r>
      <w:r w:rsidR="00291747" w:rsidRPr="009712F8">
        <w:rPr>
          <w:rFonts w:eastAsia="Times New Roman" w:cs="Arial"/>
          <w:bCs/>
          <w:szCs w:val="20"/>
        </w:rPr>
        <w:t xml:space="preserve"> vs. A24) and late atrophy (A72+Baf A1 vs. A72) with log</w:t>
      </w:r>
      <w:r w:rsidR="00291747" w:rsidRPr="009712F8">
        <w:rPr>
          <w:rFonts w:eastAsia="Times New Roman" w:cs="Arial"/>
          <w:bCs/>
          <w:szCs w:val="20"/>
          <w:vertAlign w:val="subscript"/>
        </w:rPr>
        <w:t>2</w:t>
      </w:r>
      <w:r w:rsidR="00291747" w:rsidRPr="009712F8">
        <w:rPr>
          <w:rFonts w:eastAsia="Times New Roman" w:cs="Arial"/>
          <w:bCs/>
          <w:szCs w:val="20"/>
        </w:rPr>
        <w:t xml:space="preserve">FC &gt; 0 and </w:t>
      </w:r>
      <w:r w:rsidR="00291747" w:rsidRPr="009712F8">
        <w:rPr>
          <w:rFonts w:cs="Arial"/>
          <w:szCs w:val="20"/>
        </w:rPr>
        <w:t xml:space="preserve">adj. p-value set at </w:t>
      </w:r>
      <w:r w:rsidR="00291747">
        <w:rPr>
          <w:rFonts w:cs="Arial"/>
          <w:szCs w:val="20"/>
        </w:rPr>
        <w:t>&lt;</w:t>
      </w:r>
      <w:r w:rsidR="00291747" w:rsidRPr="009712F8">
        <w:rPr>
          <w:rFonts w:cs="Arial"/>
          <w:szCs w:val="20"/>
        </w:rPr>
        <w:t xml:space="preserve"> 0.05.</w:t>
      </w:r>
      <w:r>
        <w:rPr>
          <w:rFonts w:cs="Arial"/>
          <w:szCs w:val="20"/>
        </w:rPr>
        <w:t xml:space="preserve"> </w:t>
      </w:r>
      <w:r w:rsidR="00291747" w:rsidRPr="009712F8">
        <w:rPr>
          <w:rFonts w:cs="Arial"/>
          <w:szCs w:val="20"/>
        </w:rPr>
        <w:t xml:space="preserve">Numbers in Venn diagrams depict amount of significantly regulated proteins in respective </w:t>
      </w:r>
      <w:r w:rsidR="00291747" w:rsidRPr="009712F8">
        <w:rPr>
          <w:rFonts w:cs="Arial"/>
          <w:szCs w:val="20"/>
        </w:rPr>
        <w:lastRenderedPageBreak/>
        <w:t>dataset comparison. Lists depict accumulated proteins in only early atrophy</w:t>
      </w:r>
      <w:r>
        <w:rPr>
          <w:rFonts w:cs="Arial"/>
          <w:szCs w:val="20"/>
        </w:rPr>
        <w:t xml:space="preserve"> (A24)</w:t>
      </w:r>
      <w:r w:rsidR="00291747" w:rsidRPr="009712F8">
        <w:rPr>
          <w:rFonts w:cs="Arial"/>
          <w:szCs w:val="20"/>
        </w:rPr>
        <w:t xml:space="preserve"> (left), only late atrophy</w:t>
      </w:r>
      <w:r>
        <w:rPr>
          <w:rFonts w:cs="Arial"/>
          <w:szCs w:val="20"/>
        </w:rPr>
        <w:t xml:space="preserve"> (A72) </w:t>
      </w:r>
      <w:r w:rsidR="00291747" w:rsidRPr="009712F8">
        <w:rPr>
          <w:rFonts w:cs="Arial"/>
          <w:szCs w:val="20"/>
        </w:rPr>
        <w:t>(right) and proteins accumulating in both conditions (overlap, middle).</w:t>
      </w:r>
      <w:r>
        <w:rPr>
          <w:rFonts w:cs="Arial"/>
          <w:szCs w:val="20"/>
        </w:rPr>
        <w:t xml:space="preserve"> (</w:t>
      </w:r>
      <w:r w:rsidRPr="00E51821">
        <w:rPr>
          <w:rFonts w:cs="Arial"/>
          <w:b/>
          <w:szCs w:val="20"/>
        </w:rPr>
        <w:t>B</w:t>
      </w:r>
      <w:r>
        <w:rPr>
          <w:rFonts w:cs="Arial"/>
          <w:szCs w:val="20"/>
        </w:rPr>
        <w:t>)</w:t>
      </w:r>
      <w:r w:rsidRPr="00E51821">
        <w:rPr>
          <w:rFonts w:cs="Arial"/>
          <w:szCs w:val="20"/>
        </w:rPr>
        <w:t xml:space="preserve"> </w:t>
      </w:r>
      <w:r>
        <w:rPr>
          <w:rFonts w:cs="Arial"/>
          <w:szCs w:val="20"/>
        </w:rPr>
        <w:t>GO t</w:t>
      </w:r>
      <w:r w:rsidRPr="00E51821">
        <w:rPr>
          <w:rFonts w:cs="Arial"/>
          <w:szCs w:val="20"/>
        </w:rPr>
        <w:t xml:space="preserve">erm analyses (biological processes) of </w:t>
      </w:r>
      <w:r w:rsidRPr="00E51821">
        <w:rPr>
          <w:rFonts w:eastAsia="Times New Roman" w:cs="Arial"/>
          <w:szCs w:val="20"/>
        </w:rPr>
        <w:t xml:space="preserve">accumulated proteins upon autophagic inhibition (BafA1) in </w:t>
      </w:r>
      <w:r>
        <w:rPr>
          <w:rFonts w:eastAsia="Times New Roman" w:cs="Arial"/>
          <w:szCs w:val="20"/>
        </w:rPr>
        <w:t>early atrophy</w:t>
      </w:r>
      <w:r w:rsidRPr="00E51821">
        <w:rPr>
          <w:rFonts w:eastAsia="Times New Roman" w:cs="Arial"/>
          <w:szCs w:val="20"/>
        </w:rPr>
        <w:t xml:space="preserve"> (</w:t>
      </w:r>
      <w:r>
        <w:rPr>
          <w:rFonts w:eastAsia="Times New Roman" w:cs="Arial"/>
          <w:szCs w:val="20"/>
        </w:rPr>
        <w:t>top, A24</w:t>
      </w:r>
      <w:r w:rsidRPr="00E51821">
        <w:rPr>
          <w:rFonts w:eastAsia="Times New Roman" w:cs="Arial"/>
          <w:szCs w:val="20"/>
        </w:rPr>
        <w:t xml:space="preserve">) and </w:t>
      </w:r>
      <w:r>
        <w:rPr>
          <w:rFonts w:eastAsia="Times New Roman" w:cs="Arial"/>
          <w:szCs w:val="20"/>
        </w:rPr>
        <w:t xml:space="preserve">late </w:t>
      </w:r>
      <w:r w:rsidRPr="00E51821">
        <w:rPr>
          <w:rFonts w:eastAsia="Times New Roman" w:cs="Arial"/>
          <w:szCs w:val="20"/>
        </w:rPr>
        <w:t>atrophy (</w:t>
      </w:r>
      <w:r>
        <w:rPr>
          <w:rFonts w:eastAsia="Times New Roman" w:cs="Arial"/>
          <w:szCs w:val="20"/>
        </w:rPr>
        <w:t xml:space="preserve">bottom, </w:t>
      </w:r>
      <w:r w:rsidRPr="00E51821">
        <w:rPr>
          <w:rFonts w:eastAsia="Times New Roman" w:cs="Arial"/>
          <w:szCs w:val="20"/>
        </w:rPr>
        <w:t>A</w:t>
      </w:r>
      <w:r>
        <w:rPr>
          <w:rFonts w:eastAsia="Times New Roman" w:cs="Arial"/>
          <w:szCs w:val="20"/>
        </w:rPr>
        <w:t>72</w:t>
      </w:r>
      <w:r w:rsidRPr="00E51821">
        <w:rPr>
          <w:rFonts w:eastAsia="Times New Roman" w:cs="Arial"/>
          <w:szCs w:val="20"/>
        </w:rPr>
        <w:t>).</w:t>
      </w:r>
    </w:p>
    <w:p w14:paraId="2EFF2691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36564749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4BF5A95B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7E3B5F6D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20D35200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4A58D0C2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52BE2B92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146D90C3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10165C93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6732A847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36736DB8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4359C35C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0ACED4DF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2C685C2A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537C7EFD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00BE14FB" w14:textId="77777777" w:rsidR="00495219" w:rsidRDefault="00495219" w:rsidP="00143011">
      <w:pPr>
        <w:spacing w:before="240" w:line="480" w:lineRule="auto"/>
        <w:rPr>
          <w:rFonts w:eastAsia="Times New Roman" w:cs="Arial"/>
          <w:szCs w:val="20"/>
        </w:rPr>
      </w:pPr>
    </w:p>
    <w:p w14:paraId="4B997A32" w14:textId="77777777" w:rsidR="00495219" w:rsidRPr="006607B5" w:rsidRDefault="00495219" w:rsidP="00143011">
      <w:pPr>
        <w:spacing w:before="240" w:line="480" w:lineRule="auto"/>
        <w:rPr>
          <w:rFonts w:cs="Arial"/>
          <w:szCs w:val="20"/>
        </w:rPr>
      </w:pPr>
    </w:p>
    <w:p w14:paraId="73696631" w14:textId="5870066D" w:rsidR="00E50F72" w:rsidRPr="006607B5" w:rsidRDefault="00E50F72" w:rsidP="00E50F72">
      <w:pPr>
        <w:spacing w:line="480" w:lineRule="auto"/>
        <w:rPr>
          <w:rFonts w:cs="Arial"/>
          <w:b/>
          <w:sz w:val="24"/>
          <w:szCs w:val="20"/>
        </w:rPr>
      </w:pPr>
      <w:r w:rsidRPr="0056681C">
        <w:rPr>
          <w:rFonts w:cs="Arial"/>
          <w:b/>
          <w:sz w:val="24"/>
          <w:szCs w:val="20"/>
        </w:rPr>
        <w:lastRenderedPageBreak/>
        <w:t>Figure S</w:t>
      </w:r>
      <w:r w:rsidR="00CD4654" w:rsidRPr="0056681C">
        <w:rPr>
          <w:rFonts w:cs="Arial"/>
          <w:b/>
          <w:sz w:val="24"/>
          <w:szCs w:val="20"/>
        </w:rPr>
        <w:t>10</w:t>
      </w:r>
      <w:r w:rsidRPr="0056681C">
        <w:rPr>
          <w:rFonts w:cs="Arial"/>
          <w:b/>
          <w:sz w:val="24"/>
          <w:szCs w:val="20"/>
        </w:rPr>
        <w:t>:</w:t>
      </w:r>
    </w:p>
    <w:p w14:paraId="2D825FB6" w14:textId="30FC3664" w:rsidR="00143011" w:rsidRDefault="00E162FD" w:rsidP="00143011">
      <w:pPr>
        <w:spacing w:before="240" w:line="480" w:lineRule="auto"/>
        <w:rPr>
          <w:rFonts w:cs="Arial"/>
          <w:b/>
          <w:szCs w:val="20"/>
          <w:highlight w:val="yellow"/>
        </w:rPr>
      </w:pPr>
      <w:r>
        <w:rPr>
          <w:rFonts w:cs="Arial"/>
          <w:b/>
          <w:noProof/>
          <w:szCs w:val="20"/>
        </w:rPr>
        <w:drawing>
          <wp:inline distT="0" distB="0" distL="0" distR="0" wp14:anchorId="56BF5B97" wp14:editId="4DFA90F3">
            <wp:extent cx="4205193" cy="7791860"/>
            <wp:effectExtent l="0" t="0" r="0" b="0"/>
            <wp:docPr id="15550556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055648" name="Picture 155505564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148" cy="781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E90F8" w14:textId="007108F3" w:rsidR="00E50F72" w:rsidRPr="0056681C" w:rsidRDefault="00E50F72" w:rsidP="00E50F72">
      <w:pPr>
        <w:spacing w:before="100" w:beforeAutospacing="1" w:after="100" w:afterAutospacing="1" w:line="480" w:lineRule="auto"/>
        <w:rPr>
          <w:rFonts w:eastAsia="Times New Roman" w:cs="Arial"/>
          <w:color w:val="000000" w:themeColor="text1"/>
          <w:szCs w:val="20"/>
        </w:rPr>
      </w:pPr>
      <w:r w:rsidRPr="0056681C">
        <w:rPr>
          <w:rFonts w:eastAsia="Times New Roman" w:cs="Arial"/>
          <w:b/>
          <w:szCs w:val="20"/>
        </w:rPr>
        <w:lastRenderedPageBreak/>
        <w:t xml:space="preserve">Figure </w:t>
      </w:r>
      <w:r w:rsidR="00A20E4A" w:rsidRPr="0056681C">
        <w:rPr>
          <w:rFonts w:eastAsia="Times New Roman" w:cs="Arial"/>
          <w:b/>
          <w:szCs w:val="20"/>
        </w:rPr>
        <w:t>S</w:t>
      </w:r>
      <w:r w:rsidR="00CD4654" w:rsidRPr="0056681C">
        <w:rPr>
          <w:rFonts w:eastAsia="Times New Roman" w:cs="Arial"/>
          <w:b/>
          <w:szCs w:val="20"/>
        </w:rPr>
        <w:t>10</w:t>
      </w:r>
      <w:r w:rsidRPr="0056681C">
        <w:rPr>
          <w:rFonts w:eastAsia="Times New Roman" w:cs="Arial"/>
          <w:b/>
          <w:szCs w:val="20"/>
        </w:rPr>
        <w:t>: (A)</w:t>
      </w:r>
      <w:r w:rsidRPr="0056681C">
        <w:rPr>
          <w:rFonts w:eastAsia="Times New Roman" w:cs="Arial"/>
          <w:szCs w:val="20"/>
        </w:rPr>
        <w:t xml:space="preserve"> Visualization of ER morphology with GFP-KDEL-expressing C2C12 myotubes (Buonomo </w:t>
      </w:r>
      <w:r w:rsidRPr="0056681C">
        <w:rPr>
          <w:rFonts w:eastAsia="Times New Roman" w:cs="Arial"/>
          <w:i/>
          <w:szCs w:val="20"/>
        </w:rPr>
        <w:t>et al</w:t>
      </w:r>
      <w:r w:rsidRPr="0056681C">
        <w:rPr>
          <w:rFonts w:eastAsia="Times New Roman" w:cs="Arial"/>
          <w:szCs w:val="20"/>
        </w:rPr>
        <w:t>., 2025) in homeosta</w:t>
      </w:r>
      <w:r w:rsidR="00495219" w:rsidRPr="0056681C">
        <w:rPr>
          <w:rFonts w:eastAsia="Times New Roman" w:cs="Arial"/>
          <w:szCs w:val="20"/>
        </w:rPr>
        <w:t>tic state</w:t>
      </w:r>
      <w:r w:rsidRPr="0056681C">
        <w:rPr>
          <w:rFonts w:eastAsia="Times New Roman" w:cs="Arial"/>
          <w:szCs w:val="20"/>
        </w:rPr>
        <w:t xml:space="preserve"> (H24, H72) and 24 hours and 72 hours of atrophy (A24, </w:t>
      </w:r>
      <w:r w:rsidRPr="0056681C">
        <w:rPr>
          <w:rFonts w:eastAsia="Times New Roman" w:cs="Arial"/>
          <w:color w:val="000000" w:themeColor="text1"/>
          <w:szCs w:val="20"/>
        </w:rPr>
        <w:t>A72). KDEL: ER retention signal. Nuclei were stained with DAPI. Scale bar: 20 µm</w:t>
      </w:r>
      <w:r w:rsidR="00317806" w:rsidRPr="0056681C">
        <w:rPr>
          <w:rFonts w:eastAsia="Times New Roman" w:cs="Arial"/>
          <w:color w:val="000000" w:themeColor="text1"/>
          <w:szCs w:val="20"/>
        </w:rPr>
        <w:t xml:space="preserve">. </w:t>
      </w:r>
      <w:r w:rsidR="00F03CB6" w:rsidRPr="0056681C">
        <w:rPr>
          <w:rFonts w:eastAsia="Times New Roman" w:cs="Arial"/>
          <w:color w:val="000000" w:themeColor="text1"/>
          <w:szCs w:val="20"/>
        </w:rPr>
        <w:t>(</w:t>
      </w:r>
      <w:r w:rsidR="00F03CB6" w:rsidRPr="0056681C">
        <w:rPr>
          <w:rFonts w:eastAsia="Times New Roman" w:cs="Arial"/>
          <w:b/>
          <w:bCs/>
          <w:color w:val="000000" w:themeColor="text1"/>
          <w:szCs w:val="20"/>
        </w:rPr>
        <w:t>B</w:t>
      </w:r>
      <w:r w:rsidR="00F03CB6" w:rsidRPr="0056681C">
        <w:rPr>
          <w:rFonts w:eastAsia="Times New Roman" w:cs="Arial"/>
          <w:color w:val="000000" w:themeColor="text1"/>
          <w:szCs w:val="20"/>
        </w:rPr>
        <w:t>)</w:t>
      </w:r>
      <w:r w:rsidR="0078396F" w:rsidRPr="0056681C">
        <w:rPr>
          <w:rFonts w:eastAsia="Times New Roman" w:cs="Arial"/>
          <w:color w:val="000000" w:themeColor="text1"/>
          <w:szCs w:val="20"/>
        </w:rPr>
        <w:t xml:space="preserve"> </w:t>
      </w:r>
      <w:r w:rsidR="0078396F" w:rsidRPr="0056681C">
        <w:rPr>
          <w:rFonts w:cs="Arial"/>
          <w:color w:val="000000" w:themeColor="text1"/>
          <w:szCs w:val="20"/>
        </w:rPr>
        <w:t xml:space="preserve">Quantification of (A) showing the percentage of area occupied by GFP-KDEL-positive puncta normalized to the ROI of each cell under </w:t>
      </w:r>
      <w:proofErr w:type="spellStart"/>
      <w:r w:rsidR="00F03CB6" w:rsidRPr="0056681C">
        <w:rPr>
          <w:rFonts w:cs="Arial"/>
          <w:color w:val="000000" w:themeColor="text1"/>
          <w:szCs w:val="20"/>
        </w:rPr>
        <w:t>under</w:t>
      </w:r>
      <w:proofErr w:type="spellEnd"/>
      <w:r w:rsidR="00F03CB6" w:rsidRPr="0056681C">
        <w:rPr>
          <w:rFonts w:cs="Arial"/>
          <w:color w:val="000000" w:themeColor="text1"/>
          <w:szCs w:val="20"/>
        </w:rPr>
        <w:t xml:space="preserve"> homeostatic (H24, H72) and atrophic (A24, A72) conditions</w:t>
      </w:r>
      <w:r w:rsidR="0078396F" w:rsidRPr="0056681C">
        <w:rPr>
          <w:rFonts w:cs="Arial"/>
          <w:color w:val="000000" w:themeColor="text1"/>
          <w:szCs w:val="20"/>
        </w:rPr>
        <w:t xml:space="preserve">. </w:t>
      </w:r>
      <w:r w:rsidR="00F03CB6" w:rsidRPr="0056681C">
        <w:rPr>
          <w:rFonts w:cs="Arial"/>
          <w:color w:val="000000" w:themeColor="text1"/>
          <w:szCs w:val="20"/>
        </w:rPr>
        <w:t xml:space="preserve">Puncta were identified using a fixed intensity </w:t>
      </w:r>
      <w:r w:rsidR="00F03CB6" w:rsidRPr="0056681C">
        <w:rPr>
          <w:rFonts w:cs="Arial"/>
          <w:color w:val="000000"/>
          <w:szCs w:val="20"/>
        </w:rPr>
        <w:t>threshold (20–255) and counted as particles with an area of 1</w:t>
      </w:r>
      <w:r w:rsidR="0078396F" w:rsidRPr="0056681C">
        <w:rPr>
          <w:rFonts w:cs="Arial"/>
          <w:color w:val="000000"/>
          <w:szCs w:val="20"/>
        </w:rPr>
        <w:t>-</w:t>
      </w:r>
      <w:r w:rsidR="00F03CB6" w:rsidRPr="0056681C">
        <w:rPr>
          <w:rFonts w:cs="Arial"/>
          <w:color w:val="000000"/>
          <w:szCs w:val="20"/>
        </w:rPr>
        <w:t>9 µm². Each dot represents one cell (n = 5 cells per condition); bars indicate mean ± SEM.</w:t>
      </w:r>
      <w:r w:rsidR="00F03CB6" w:rsidRPr="0056681C">
        <w:rPr>
          <w:rFonts w:eastAsia="Times New Roman" w:cs="Arial"/>
          <w:szCs w:val="20"/>
        </w:rPr>
        <w:t xml:space="preserve"> </w:t>
      </w:r>
      <w:r w:rsidR="00317806" w:rsidRPr="0056681C">
        <w:rPr>
          <w:rFonts w:eastAsia="Times New Roman" w:cs="Arial"/>
          <w:szCs w:val="20"/>
        </w:rPr>
        <w:t>(</w:t>
      </w:r>
      <w:r w:rsidR="00F03CB6" w:rsidRPr="0056681C">
        <w:rPr>
          <w:rFonts w:eastAsia="Times New Roman" w:cs="Arial"/>
          <w:b/>
          <w:szCs w:val="20"/>
        </w:rPr>
        <w:t>C</w:t>
      </w:r>
      <w:r w:rsidR="00317806" w:rsidRPr="0056681C">
        <w:rPr>
          <w:rFonts w:eastAsia="Times New Roman" w:cs="Arial"/>
          <w:szCs w:val="20"/>
        </w:rPr>
        <w:t xml:space="preserve">) </w:t>
      </w:r>
      <w:r w:rsidR="00317806" w:rsidRPr="0056681C">
        <w:rPr>
          <w:rFonts w:cs="Arial"/>
          <w:szCs w:val="20"/>
        </w:rPr>
        <w:t>ER abundance in homeosta</w:t>
      </w:r>
      <w:r w:rsidR="00495219" w:rsidRPr="0056681C">
        <w:rPr>
          <w:rFonts w:cs="Arial"/>
          <w:szCs w:val="20"/>
        </w:rPr>
        <w:t>tic conditions</w:t>
      </w:r>
      <w:r w:rsidR="00317806" w:rsidRPr="0056681C">
        <w:rPr>
          <w:rFonts w:cs="Arial"/>
          <w:szCs w:val="20"/>
        </w:rPr>
        <w:t xml:space="preserve"> (H24, H72) and atrophy (A24, A72) measured with ER-Tracker Green (BODIPY-glibenclamide) via flow cytometry. </w:t>
      </w:r>
      <w:r w:rsidR="009500E5" w:rsidRPr="0056681C">
        <w:rPr>
          <w:rFonts w:cs="Arial"/>
          <w:szCs w:val="20"/>
        </w:rPr>
        <w:t xml:space="preserve">BafA1: Bafilomycin A1, </w:t>
      </w:r>
      <w:r w:rsidR="00317806" w:rsidRPr="0056681C">
        <w:rPr>
          <w:rFonts w:cs="Arial"/>
          <w:szCs w:val="20"/>
        </w:rPr>
        <w:t>MFI: median fluorescence intensity. N = 3 replicates</w:t>
      </w:r>
      <w:r w:rsidR="00317806" w:rsidRPr="0056681C">
        <w:rPr>
          <w:rFonts w:cs="Arial"/>
          <w:sz w:val="18"/>
        </w:rPr>
        <w:t>.</w:t>
      </w:r>
    </w:p>
    <w:p w14:paraId="773D7206" w14:textId="40B841AE" w:rsidR="00B7257F" w:rsidRPr="0056681C" w:rsidRDefault="00B7257F" w:rsidP="00143011">
      <w:pPr>
        <w:spacing w:line="480" w:lineRule="auto"/>
        <w:rPr>
          <w:szCs w:val="20"/>
        </w:rPr>
      </w:pPr>
    </w:p>
    <w:sectPr w:rsidR="00B7257F" w:rsidRPr="005668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CE516B4"/>
    <w:multiLevelType w:val="multilevel"/>
    <w:tmpl w:val="41443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90A3A21"/>
    <w:multiLevelType w:val="multilevel"/>
    <w:tmpl w:val="7C205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33166679">
    <w:abstractNumId w:val="1"/>
  </w:num>
  <w:num w:numId="2" w16cid:durableId="14193261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AA1"/>
    <w:rsid w:val="000077F0"/>
    <w:rsid w:val="0004677E"/>
    <w:rsid w:val="00046F13"/>
    <w:rsid w:val="00090258"/>
    <w:rsid w:val="000D1310"/>
    <w:rsid w:val="000D3F79"/>
    <w:rsid w:val="00143011"/>
    <w:rsid w:val="00157678"/>
    <w:rsid w:val="001A64C6"/>
    <w:rsid w:val="001F1DD3"/>
    <w:rsid w:val="00283A96"/>
    <w:rsid w:val="00291747"/>
    <w:rsid w:val="00295089"/>
    <w:rsid w:val="00317806"/>
    <w:rsid w:val="0032717E"/>
    <w:rsid w:val="00377D09"/>
    <w:rsid w:val="00402AA1"/>
    <w:rsid w:val="00495219"/>
    <w:rsid w:val="00557A44"/>
    <w:rsid w:val="00565C4B"/>
    <w:rsid w:val="0056681C"/>
    <w:rsid w:val="006607B5"/>
    <w:rsid w:val="00682786"/>
    <w:rsid w:val="006C1306"/>
    <w:rsid w:val="006D3418"/>
    <w:rsid w:val="006F5136"/>
    <w:rsid w:val="007067BF"/>
    <w:rsid w:val="0071425F"/>
    <w:rsid w:val="00720C5A"/>
    <w:rsid w:val="0078396F"/>
    <w:rsid w:val="00786512"/>
    <w:rsid w:val="007D5B97"/>
    <w:rsid w:val="00873154"/>
    <w:rsid w:val="008C4A1A"/>
    <w:rsid w:val="008C69D7"/>
    <w:rsid w:val="009222C9"/>
    <w:rsid w:val="00926F3F"/>
    <w:rsid w:val="009500E5"/>
    <w:rsid w:val="00964130"/>
    <w:rsid w:val="009A59F5"/>
    <w:rsid w:val="00A20E4A"/>
    <w:rsid w:val="00B202A3"/>
    <w:rsid w:val="00B7257F"/>
    <w:rsid w:val="00CA1BB7"/>
    <w:rsid w:val="00CD4654"/>
    <w:rsid w:val="00D364BF"/>
    <w:rsid w:val="00DB7701"/>
    <w:rsid w:val="00E162FD"/>
    <w:rsid w:val="00E219F7"/>
    <w:rsid w:val="00E4514F"/>
    <w:rsid w:val="00E50F72"/>
    <w:rsid w:val="00E51821"/>
    <w:rsid w:val="00E64029"/>
    <w:rsid w:val="00EB6656"/>
    <w:rsid w:val="00ED4FB0"/>
    <w:rsid w:val="00F03CB6"/>
    <w:rsid w:val="00F115B5"/>
    <w:rsid w:val="00FD3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F2FA33"/>
  <w15:chartTrackingRefBased/>
  <w15:docId w15:val="{6E8CA4BF-0C6D-4B7A-88C4-B47AB8C5D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4654"/>
    <w:pPr>
      <w:spacing w:line="360" w:lineRule="auto"/>
      <w:jc w:val="both"/>
    </w:pPr>
    <w:rPr>
      <w:rFonts w:ascii="Arial" w:hAnsi="Arial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2AA1"/>
    <w:pPr>
      <w:keepNext/>
      <w:keepLines/>
      <w:spacing w:before="240" w:after="0"/>
      <w:outlineLvl w:val="0"/>
    </w:pPr>
    <w:rPr>
      <w:rFonts w:eastAsiaTheme="majorEastAsia" w:cstheme="majorBidi"/>
      <w:b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2AA1"/>
    <w:rPr>
      <w:rFonts w:ascii="Arial" w:eastAsiaTheme="majorEastAsia" w:hAnsi="Arial" w:cstheme="majorBidi"/>
      <w:b/>
      <w:sz w:val="24"/>
      <w:szCs w:val="32"/>
    </w:rPr>
  </w:style>
  <w:style w:type="character" w:styleId="Strong">
    <w:name w:val="Strong"/>
    <w:basedOn w:val="DefaultParagraphFont"/>
    <w:uiPriority w:val="22"/>
    <w:qFormat/>
    <w:rsid w:val="00557A44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295089"/>
    <w:pPr>
      <w:spacing w:before="100" w:beforeAutospacing="1" w:after="100" w:afterAutospacing="1" w:line="240" w:lineRule="auto"/>
      <w:jc w:val="left"/>
    </w:pPr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E50F7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0F72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0F72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0F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0F72"/>
    <w:rPr>
      <w:rFonts w:ascii="Arial" w:hAnsi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72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B7257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4173BAC6DF5B48748FF8039158404B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33B3D6-D32F-4408-A861-77A294A010A0}"/>
      </w:docPartPr>
      <w:docPartBody>
        <w:p w:rsidR="007C4076" w:rsidRDefault="00C74E59" w:rsidP="00C74E59">
          <w:pPr>
            <w:pStyle w:val="4173BAC6DF5B48748FF8039158404BDB"/>
          </w:pPr>
          <w:r w:rsidRPr="00061CE9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comment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116E"/>
    <w:rsid w:val="002D4019"/>
    <w:rsid w:val="004B0AFE"/>
    <w:rsid w:val="006C1306"/>
    <w:rsid w:val="006D3418"/>
    <w:rsid w:val="007C4076"/>
    <w:rsid w:val="009B7137"/>
    <w:rsid w:val="00BB34BC"/>
    <w:rsid w:val="00C74E59"/>
    <w:rsid w:val="00CC453F"/>
    <w:rsid w:val="00DE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74E59"/>
    <w:rPr>
      <w:color w:val="808080"/>
    </w:rPr>
  </w:style>
  <w:style w:type="paragraph" w:customStyle="1" w:styleId="4173BAC6DF5B48748FF8039158404BDB">
    <w:name w:val="4173BAC6DF5B48748FF8039158404BDB"/>
    <w:rsid w:val="00C74E5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AAA274-B20B-4D0E-869D-9A2DFE1190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1053</Words>
  <Characters>6007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Düren, Ursula Karoline</dc:creator>
  <cp:keywords/>
  <dc:description/>
  <cp:lastModifiedBy>Ursula Karoline Düren</cp:lastModifiedBy>
  <cp:revision>3</cp:revision>
  <dcterms:created xsi:type="dcterms:W3CDTF">2026-02-18T16:10:00Z</dcterms:created>
  <dcterms:modified xsi:type="dcterms:W3CDTF">2026-02-19T19:32:00Z</dcterms:modified>
</cp:coreProperties>
</file>