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0366D6" w14:textId="77777777" w:rsidR="006A587B" w:rsidRDefault="006A587B">
      <w:pPr>
        <w:jc w:val="both"/>
        <w:rPr>
          <w:b/>
          <w:bCs/>
          <w:sz w:val="18"/>
          <w:szCs w:val="18"/>
        </w:rPr>
      </w:pPr>
    </w:p>
    <w:p w14:paraId="170366D7" w14:textId="77777777" w:rsidR="006A587B" w:rsidRDefault="000E5F06">
      <w:pPr>
        <w:jc w:val="both"/>
        <w:rPr>
          <w:highlight w:val="yellow"/>
        </w:rPr>
      </w:pPr>
      <w:r>
        <w:rPr>
          <w:b/>
          <w:bCs/>
          <w:noProof/>
          <w:sz w:val="18"/>
          <w:szCs w:val="18"/>
        </w:rPr>
        <w:drawing>
          <wp:inline distT="114300" distB="114300" distL="114300" distR="114300" wp14:anchorId="1703676F" wp14:editId="17036770">
            <wp:extent cx="5789295" cy="7644838"/>
            <wp:effectExtent l="0" t="0" r="0" b="0"/>
            <wp:docPr id="8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89295" cy="764483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b/>
          <w:bCs/>
          <w:sz w:val="18"/>
          <w:szCs w:val="18"/>
        </w:rPr>
        <w:t>Supplementary Figure 1.</w:t>
      </w:r>
      <w:r>
        <w:rPr>
          <w:sz w:val="18"/>
          <w:szCs w:val="18"/>
        </w:rPr>
        <w:t xml:space="preserve"> </w:t>
      </w:r>
      <w:r>
        <w:rPr>
          <w:b/>
          <w:bCs/>
          <w:sz w:val="18"/>
          <w:szCs w:val="18"/>
        </w:rPr>
        <w:t xml:space="preserve">a) </w:t>
      </w:r>
      <w:r>
        <w:rPr>
          <w:sz w:val="18"/>
          <w:szCs w:val="18"/>
        </w:rPr>
        <w:t xml:space="preserve">A schematic of the filtering steps for the previously published catalog in 2022 (v35) and the current v45 catalog. Numbers in red denote </w:t>
      </w:r>
      <w:proofErr w:type="spellStart"/>
      <w:r>
        <w:rPr>
          <w:sz w:val="18"/>
          <w:szCs w:val="18"/>
        </w:rPr>
        <w:t>ncORFs</w:t>
      </w:r>
      <w:proofErr w:type="spellEnd"/>
      <w:r>
        <w:rPr>
          <w:sz w:val="18"/>
          <w:szCs w:val="18"/>
        </w:rPr>
        <w:t xml:space="preserve"> that were removed. </w:t>
      </w:r>
      <w:r>
        <w:rPr>
          <w:b/>
          <w:bCs/>
          <w:sz w:val="18"/>
          <w:szCs w:val="18"/>
        </w:rPr>
        <w:t xml:space="preserve">b) </w:t>
      </w:r>
      <w:r>
        <w:rPr>
          <w:sz w:val="18"/>
          <w:szCs w:val="18"/>
        </w:rPr>
        <w:t xml:space="preserve">A bubble plot showing number of cell </w:t>
      </w:r>
      <w:r>
        <w:rPr>
          <w:sz w:val="18"/>
          <w:szCs w:val="18"/>
        </w:rPr>
        <w:lastRenderedPageBreak/>
        <w:t xml:space="preserve">types or tissues vs number of samples sequenced with circle size denoting the number of </w:t>
      </w:r>
      <w:proofErr w:type="spellStart"/>
      <w:r>
        <w:rPr>
          <w:sz w:val="18"/>
          <w:szCs w:val="18"/>
        </w:rPr>
        <w:t>ncORFs</w:t>
      </w:r>
      <w:proofErr w:type="spellEnd"/>
      <w:r>
        <w:rPr>
          <w:sz w:val="18"/>
          <w:szCs w:val="18"/>
        </w:rPr>
        <w:t xml:space="preserve"> identified </w:t>
      </w:r>
      <w:proofErr w:type="gramStart"/>
      <w:r>
        <w:rPr>
          <w:sz w:val="18"/>
          <w:szCs w:val="18"/>
        </w:rPr>
        <w:t>in a given</w:t>
      </w:r>
      <w:proofErr w:type="gramEnd"/>
      <w:r>
        <w:rPr>
          <w:sz w:val="18"/>
          <w:szCs w:val="18"/>
        </w:rPr>
        <w:t xml:space="preserve"> study. Light blue: </w:t>
      </w:r>
      <w:proofErr w:type="spellStart"/>
      <w:r>
        <w:rPr>
          <w:sz w:val="18"/>
          <w:szCs w:val="18"/>
        </w:rPr>
        <w:t>NcORFs</w:t>
      </w:r>
      <w:proofErr w:type="spellEnd"/>
      <w:r>
        <w:rPr>
          <w:sz w:val="18"/>
          <w:szCs w:val="18"/>
        </w:rPr>
        <w:t xml:space="preserve"> retained in v35 catalog. Gray: </w:t>
      </w:r>
      <w:proofErr w:type="spellStart"/>
      <w:r>
        <w:rPr>
          <w:sz w:val="18"/>
          <w:szCs w:val="18"/>
        </w:rPr>
        <w:t>NcORFs</w:t>
      </w:r>
      <w:proofErr w:type="spellEnd"/>
      <w:r>
        <w:rPr>
          <w:sz w:val="18"/>
          <w:szCs w:val="18"/>
        </w:rPr>
        <w:t xml:space="preserve"> retained in v45.</w:t>
      </w:r>
      <w:r>
        <w:rPr>
          <w:b/>
          <w:bCs/>
          <w:sz w:val="18"/>
          <w:szCs w:val="18"/>
        </w:rPr>
        <w:t xml:space="preserve"> c) </w:t>
      </w:r>
      <w:r>
        <w:rPr>
          <w:sz w:val="18"/>
          <w:szCs w:val="18"/>
        </w:rPr>
        <w:t xml:space="preserve">Number of </w:t>
      </w:r>
      <w:proofErr w:type="spellStart"/>
      <w:r>
        <w:rPr>
          <w:sz w:val="18"/>
          <w:szCs w:val="18"/>
        </w:rPr>
        <w:t>ncORFs</w:t>
      </w:r>
      <w:proofErr w:type="spellEnd"/>
      <w:r>
        <w:rPr>
          <w:sz w:val="18"/>
          <w:szCs w:val="18"/>
        </w:rPr>
        <w:t xml:space="preserve"> from the v35 catalog that were retained/not retained in the updated v45 catalog. Re-annotated to CDS includes cases that overlapped annotated proteins with missing 5’ or 3’ ends, or newly annotated extensions which have now been updated on GENCODE. </w:t>
      </w:r>
      <w:r>
        <w:rPr>
          <w:b/>
          <w:bCs/>
          <w:sz w:val="18"/>
          <w:szCs w:val="18"/>
        </w:rPr>
        <w:t>d)</w:t>
      </w:r>
      <w:r>
        <w:rPr>
          <w:sz w:val="18"/>
          <w:szCs w:val="18"/>
        </w:rPr>
        <w:t xml:space="preserve"> Stacked </w:t>
      </w:r>
      <w:proofErr w:type="spellStart"/>
      <w:r>
        <w:rPr>
          <w:sz w:val="18"/>
          <w:szCs w:val="18"/>
        </w:rPr>
        <w:t>barplot</w:t>
      </w:r>
      <w:proofErr w:type="spellEnd"/>
      <w:r>
        <w:rPr>
          <w:sz w:val="18"/>
          <w:szCs w:val="18"/>
        </w:rPr>
        <w:t xml:space="preserve"> showing number of </w:t>
      </w:r>
      <w:proofErr w:type="spellStart"/>
      <w:r>
        <w:rPr>
          <w:sz w:val="18"/>
          <w:szCs w:val="18"/>
        </w:rPr>
        <w:t>ncORFs</w:t>
      </w:r>
      <w:proofErr w:type="spellEnd"/>
      <w:r>
        <w:rPr>
          <w:sz w:val="18"/>
          <w:szCs w:val="18"/>
        </w:rPr>
        <w:t xml:space="preserve"> included in the v45 catalog that were also included in the first catalog (v35 catalog, n=7,092), new additions that are isoforms of </w:t>
      </w:r>
      <w:proofErr w:type="spellStart"/>
      <w:r>
        <w:rPr>
          <w:sz w:val="18"/>
          <w:szCs w:val="18"/>
        </w:rPr>
        <w:t>ncORFs</w:t>
      </w:r>
      <w:proofErr w:type="spellEnd"/>
      <w:r>
        <w:rPr>
          <w:sz w:val="18"/>
          <w:szCs w:val="18"/>
        </w:rPr>
        <w:t xml:space="preserve"> included in the first catalog (n=3,124), and novel additions to this v45 catalog (n=18,143). </w:t>
      </w:r>
      <w:r>
        <w:rPr>
          <w:b/>
          <w:bCs/>
          <w:sz w:val="18"/>
          <w:szCs w:val="18"/>
        </w:rPr>
        <w:t xml:space="preserve">e) </w:t>
      </w:r>
      <w:r>
        <w:rPr>
          <w:sz w:val="18"/>
          <w:szCs w:val="18"/>
        </w:rPr>
        <w:t xml:space="preserve">Stacked bar plot illustrating the overlap of </w:t>
      </w:r>
      <w:proofErr w:type="spellStart"/>
      <w:r>
        <w:rPr>
          <w:sz w:val="18"/>
          <w:szCs w:val="18"/>
        </w:rPr>
        <w:t>ncORF</w:t>
      </w:r>
      <w:proofErr w:type="spellEnd"/>
      <w:r>
        <w:rPr>
          <w:sz w:val="18"/>
          <w:szCs w:val="18"/>
        </w:rPr>
        <w:t xml:space="preserve"> sequences identified across nine studies. The analysis includes all individual </w:t>
      </w:r>
      <w:proofErr w:type="spellStart"/>
      <w:r>
        <w:rPr>
          <w:sz w:val="18"/>
          <w:szCs w:val="18"/>
        </w:rPr>
        <w:t>ncORFs</w:t>
      </w:r>
      <w:proofErr w:type="spellEnd"/>
      <w:r>
        <w:rPr>
          <w:sz w:val="18"/>
          <w:szCs w:val="18"/>
        </w:rPr>
        <w:t xml:space="preserve"> (left), </w:t>
      </w:r>
      <w:proofErr w:type="spellStart"/>
      <w:r>
        <w:rPr>
          <w:sz w:val="18"/>
          <w:szCs w:val="18"/>
        </w:rPr>
        <w:t>ncORFs</w:t>
      </w:r>
      <w:proofErr w:type="spellEnd"/>
      <w:r>
        <w:rPr>
          <w:sz w:val="18"/>
          <w:szCs w:val="18"/>
        </w:rPr>
        <w:t xml:space="preserve"> clustered based on 90% sequence overlap (middle), and </w:t>
      </w:r>
      <w:proofErr w:type="spellStart"/>
      <w:r>
        <w:rPr>
          <w:sz w:val="18"/>
          <w:szCs w:val="18"/>
        </w:rPr>
        <w:t>ncORFs</w:t>
      </w:r>
      <w:proofErr w:type="spellEnd"/>
      <w:r>
        <w:rPr>
          <w:sz w:val="18"/>
          <w:szCs w:val="18"/>
        </w:rPr>
        <w:t xml:space="preserve"> grouped by any degree of overlap (right). </w:t>
      </w:r>
      <w:r>
        <w:rPr>
          <w:b/>
          <w:bCs/>
          <w:sz w:val="18"/>
          <w:szCs w:val="18"/>
        </w:rPr>
        <w:t>f)</w:t>
      </w:r>
      <w:r>
        <w:rPr>
          <w:sz w:val="18"/>
          <w:szCs w:val="18"/>
        </w:rPr>
        <w:t xml:space="preserve"> Box plot showing the length differences between replicated and non-replicated </w:t>
      </w:r>
      <w:proofErr w:type="spellStart"/>
      <w:r>
        <w:rPr>
          <w:sz w:val="18"/>
          <w:szCs w:val="18"/>
        </w:rPr>
        <w:t>ncORFs</w:t>
      </w:r>
      <w:proofErr w:type="spellEnd"/>
      <w:r>
        <w:rPr>
          <w:sz w:val="18"/>
          <w:szCs w:val="18"/>
        </w:rPr>
        <w:t xml:space="preserve">. Wilcoxon test, p-value = 0.074. </w:t>
      </w:r>
      <w:r>
        <w:rPr>
          <w:b/>
          <w:bCs/>
          <w:sz w:val="18"/>
          <w:szCs w:val="18"/>
        </w:rPr>
        <w:t>g)</w:t>
      </w:r>
      <w:r>
        <w:rPr>
          <w:sz w:val="18"/>
          <w:szCs w:val="18"/>
        </w:rPr>
        <w:t xml:space="preserve"> Stacked bar plot illustrating the proportion of initiation codons in replicated and non-replicated </w:t>
      </w:r>
      <w:proofErr w:type="spellStart"/>
      <w:r>
        <w:rPr>
          <w:sz w:val="18"/>
          <w:szCs w:val="18"/>
        </w:rPr>
        <w:t>ncORFs</w:t>
      </w:r>
      <w:proofErr w:type="spellEnd"/>
      <w:r>
        <w:rPr>
          <w:sz w:val="18"/>
          <w:szCs w:val="18"/>
        </w:rPr>
        <w:t>.</w:t>
      </w:r>
      <w:r>
        <w:rPr>
          <w:b/>
          <w:bCs/>
          <w:sz w:val="18"/>
          <w:szCs w:val="18"/>
        </w:rPr>
        <w:t xml:space="preserve"> h) </w:t>
      </w:r>
      <w:proofErr w:type="spellStart"/>
      <w:r>
        <w:rPr>
          <w:sz w:val="18"/>
          <w:szCs w:val="18"/>
        </w:rPr>
        <w:t>Barplot</w:t>
      </w:r>
      <w:proofErr w:type="spellEnd"/>
      <w:r>
        <w:rPr>
          <w:sz w:val="18"/>
          <w:szCs w:val="18"/>
        </w:rPr>
        <w:t xml:space="preserve"> showing length distribution of </w:t>
      </w:r>
      <w:proofErr w:type="spellStart"/>
      <w:r>
        <w:rPr>
          <w:sz w:val="18"/>
          <w:szCs w:val="18"/>
        </w:rPr>
        <w:t>ncORFs</w:t>
      </w:r>
      <w:proofErr w:type="spellEnd"/>
      <w:r>
        <w:rPr>
          <w:sz w:val="18"/>
          <w:szCs w:val="18"/>
        </w:rPr>
        <w:t xml:space="preserve">. Gray: v45 catalog, Comprehensive set, Dark blue: v45 catalog, Primary set, Light blue: first catalog (v35 catalog, 2022). </w:t>
      </w:r>
      <w:proofErr w:type="spellStart"/>
      <w:r>
        <w:rPr>
          <w:b/>
          <w:bCs/>
          <w:sz w:val="18"/>
          <w:szCs w:val="18"/>
        </w:rPr>
        <w:t>i</w:t>
      </w:r>
      <w:proofErr w:type="spellEnd"/>
      <w:r>
        <w:rPr>
          <w:b/>
          <w:bCs/>
          <w:sz w:val="18"/>
          <w:szCs w:val="18"/>
        </w:rPr>
        <w:t>)</w:t>
      </w:r>
      <w:r>
        <w:rPr>
          <w:sz w:val="18"/>
          <w:szCs w:val="18"/>
        </w:rPr>
        <w:t xml:space="preserve"> </w:t>
      </w:r>
      <w:proofErr w:type="spellStart"/>
      <w:r>
        <w:rPr>
          <w:sz w:val="18"/>
          <w:szCs w:val="18"/>
        </w:rPr>
        <w:t>Barplot</w:t>
      </w:r>
      <w:proofErr w:type="spellEnd"/>
      <w:r>
        <w:rPr>
          <w:sz w:val="18"/>
          <w:szCs w:val="18"/>
        </w:rPr>
        <w:t xml:space="preserve"> showing percentage of </w:t>
      </w:r>
      <w:proofErr w:type="spellStart"/>
      <w:r>
        <w:rPr>
          <w:sz w:val="18"/>
          <w:szCs w:val="18"/>
        </w:rPr>
        <w:t>ncORFs</w:t>
      </w:r>
      <w:proofErr w:type="spellEnd"/>
      <w:r>
        <w:rPr>
          <w:sz w:val="18"/>
          <w:szCs w:val="18"/>
        </w:rPr>
        <w:t xml:space="preserve"> up to 16 codons in length, threshold used in the first catalog (GENCODE v35). </w:t>
      </w:r>
      <w:r>
        <w:rPr>
          <w:b/>
          <w:bCs/>
          <w:sz w:val="18"/>
          <w:szCs w:val="18"/>
        </w:rPr>
        <w:t xml:space="preserve">j) </w:t>
      </w:r>
      <w:r>
        <w:rPr>
          <w:sz w:val="18"/>
          <w:szCs w:val="18"/>
        </w:rPr>
        <w:t xml:space="preserve">P-site profiles using human body-map dataset around the START and STOP codon of </w:t>
      </w:r>
      <w:proofErr w:type="spellStart"/>
      <w:r>
        <w:rPr>
          <w:sz w:val="18"/>
          <w:szCs w:val="18"/>
        </w:rPr>
        <w:t>ncORFs</w:t>
      </w:r>
      <w:proofErr w:type="spellEnd"/>
      <w:r>
        <w:rPr>
          <w:sz w:val="18"/>
          <w:szCs w:val="18"/>
        </w:rPr>
        <w:t xml:space="preserve"> in the Comprehensive set that did not get selected into the </w:t>
      </w:r>
      <w:r>
        <w:rPr>
          <w:i/>
          <w:iCs/>
          <w:sz w:val="18"/>
          <w:szCs w:val="18"/>
        </w:rPr>
        <w:t>Primary</w:t>
      </w:r>
      <w:r>
        <w:rPr>
          <w:sz w:val="18"/>
          <w:szCs w:val="18"/>
        </w:rPr>
        <w:t xml:space="preserve"> set. Dark blue: P-sites in Frame 1, Orange: P-sites in Frame 2, Light blue: P-sites in Frame 3.  </w:t>
      </w:r>
    </w:p>
    <w:p w14:paraId="170366D8" w14:textId="77777777" w:rsidR="006A587B" w:rsidRDefault="006A587B">
      <w:pPr>
        <w:jc w:val="both"/>
        <w:rPr>
          <w:sz w:val="18"/>
          <w:szCs w:val="18"/>
        </w:rPr>
      </w:pPr>
    </w:p>
    <w:p w14:paraId="170366D9" w14:textId="77777777" w:rsidR="006A587B" w:rsidRDefault="006A587B">
      <w:pPr>
        <w:jc w:val="center"/>
        <w:rPr>
          <w:sz w:val="18"/>
          <w:szCs w:val="18"/>
        </w:rPr>
      </w:pPr>
    </w:p>
    <w:p w14:paraId="170366DA" w14:textId="77777777" w:rsidR="006A587B" w:rsidRDefault="000E5F06">
      <w:r>
        <w:rPr>
          <w:b/>
          <w:bCs/>
          <w:noProof/>
          <w:sz w:val="18"/>
          <w:szCs w:val="18"/>
        </w:rPr>
        <w:lastRenderedPageBreak/>
        <w:drawing>
          <wp:inline distT="114300" distB="114300" distL="114300" distR="114300" wp14:anchorId="17036771" wp14:editId="17036772">
            <wp:extent cx="5533512" cy="7865745"/>
            <wp:effectExtent l="0" t="0" r="0" b="0"/>
            <wp:docPr id="6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33512" cy="786574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b/>
          <w:bCs/>
          <w:sz w:val="18"/>
          <w:szCs w:val="18"/>
        </w:rPr>
        <w:t xml:space="preserve">Supplementary Figure 2: </w:t>
      </w:r>
      <w:r>
        <w:rPr>
          <w:sz w:val="18"/>
          <w:szCs w:val="18"/>
        </w:rPr>
        <w:t xml:space="preserve">Individual examples of high-scoring and low-scoring </w:t>
      </w:r>
      <w:proofErr w:type="spellStart"/>
      <w:r>
        <w:rPr>
          <w:sz w:val="18"/>
          <w:szCs w:val="18"/>
        </w:rPr>
        <w:t>ncORFs</w:t>
      </w:r>
      <w:proofErr w:type="spellEnd"/>
      <w:r>
        <w:rPr>
          <w:sz w:val="18"/>
          <w:szCs w:val="18"/>
        </w:rPr>
        <w:t xml:space="preserve">. </w:t>
      </w:r>
      <w:r>
        <w:rPr>
          <w:b/>
          <w:bCs/>
          <w:sz w:val="18"/>
          <w:szCs w:val="18"/>
        </w:rPr>
        <w:t>a-f.</w:t>
      </w:r>
      <w:r>
        <w:rPr>
          <w:sz w:val="18"/>
          <w:szCs w:val="18"/>
        </w:rPr>
        <w:t xml:space="preserve"> </w:t>
      </w:r>
      <w:proofErr w:type="spellStart"/>
      <w:r>
        <w:rPr>
          <w:sz w:val="18"/>
          <w:szCs w:val="18"/>
        </w:rPr>
        <w:t>Barplots</w:t>
      </w:r>
      <w:proofErr w:type="spellEnd"/>
      <w:r>
        <w:rPr>
          <w:sz w:val="18"/>
          <w:szCs w:val="18"/>
        </w:rPr>
        <w:t xml:space="preserve"> showing </w:t>
      </w:r>
      <w:r>
        <w:rPr>
          <w:sz w:val="18"/>
          <w:szCs w:val="18"/>
        </w:rPr>
        <w:lastRenderedPageBreak/>
        <w:t xml:space="preserve">number of P-sites throughout the length of high-scoring ORFs. </w:t>
      </w:r>
      <w:r>
        <w:rPr>
          <w:b/>
          <w:bCs/>
          <w:sz w:val="18"/>
          <w:szCs w:val="18"/>
        </w:rPr>
        <w:t>g-l.</w:t>
      </w:r>
      <w:r>
        <w:rPr>
          <w:sz w:val="18"/>
          <w:szCs w:val="18"/>
        </w:rPr>
        <w:t xml:space="preserve"> </w:t>
      </w:r>
      <w:proofErr w:type="spellStart"/>
      <w:r>
        <w:rPr>
          <w:sz w:val="18"/>
          <w:szCs w:val="18"/>
        </w:rPr>
        <w:t>Barplots</w:t>
      </w:r>
      <w:proofErr w:type="spellEnd"/>
      <w:r>
        <w:rPr>
          <w:sz w:val="18"/>
          <w:szCs w:val="18"/>
        </w:rPr>
        <w:t xml:space="preserve"> showing number of P-sites throughout the length of low-scoring ORFs. Dark blue: Translating frame/Frame 1, Orange: Frame 2, Light blue: Frame 3.</w:t>
      </w:r>
    </w:p>
    <w:p w14:paraId="170366DB" w14:textId="77777777" w:rsidR="006A587B" w:rsidRDefault="006A587B">
      <w:pPr>
        <w:jc w:val="both"/>
        <w:rPr>
          <w:b/>
          <w:bCs/>
          <w:sz w:val="18"/>
          <w:szCs w:val="18"/>
        </w:rPr>
      </w:pPr>
    </w:p>
    <w:p w14:paraId="170366DC" w14:textId="77777777" w:rsidR="006A587B" w:rsidRDefault="000E5F06">
      <w:pPr>
        <w:jc w:val="both"/>
        <w:rPr>
          <w:b/>
          <w:bCs/>
          <w:sz w:val="18"/>
          <w:szCs w:val="18"/>
        </w:rPr>
      </w:pPr>
      <w:r>
        <w:rPr>
          <w:b/>
          <w:bCs/>
          <w:noProof/>
          <w:sz w:val="18"/>
          <w:szCs w:val="18"/>
        </w:rPr>
        <w:drawing>
          <wp:inline distT="114300" distB="114300" distL="114300" distR="114300" wp14:anchorId="17036773" wp14:editId="17036774">
            <wp:extent cx="5943600" cy="6375400"/>
            <wp:effectExtent l="0" t="0" r="0" b="0"/>
            <wp:docPr id="7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375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70366DD" w14:textId="77777777" w:rsidR="006A587B" w:rsidRDefault="006A587B">
      <w:pPr>
        <w:jc w:val="both"/>
        <w:rPr>
          <w:b/>
          <w:bCs/>
          <w:sz w:val="18"/>
          <w:szCs w:val="18"/>
        </w:rPr>
      </w:pPr>
    </w:p>
    <w:p w14:paraId="170366DE" w14:textId="77777777" w:rsidR="006A587B" w:rsidRDefault="000E5F06" w:rsidP="00CA36FE">
      <w:pPr>
        <w:jc w:val="both"/>
        <w:rPr>
          <w:sz w:val="18"/>
          <w:szCs w:val="18"/>
        </w:rPr>
      </w:pPr>
      <w:r>
        <w:rPr>
          <w:b/>
          <w:bCs/>
          <w:sz w:val="18"/>
          <w:szCs w:val="18"/>
        </w:rPr>
        <w:t xml:space="preserve">Supplementary Figure 3. a. </w:t>
      </w:r>
      <w:r w:rsidRPr="00CA36FE">
        <w:rPr>
          <w:sz w:val="18"/>
          <w:szCs w:val="18"/>
        </w:rPr>
        <w:t xml:space="preserve">Proportion and number of </w:t>
      </w:r>
      <w:proofErr w:type="spellStart"/>
      <w:r w:rsidRPr="00CA36FE">
        <w:rPr>
          <w:sz w:val="18"/>
          <w:szCs w:val="18"/>
        </w:rPr>
        <w:t>ncORFs</w:t>
      </w:r>
      <w:proofErr w:type="spellEnd"/>
      <w:r w:rsidRPr="00CA36FE">
        <w:rPr>
          <w:sz w:val="18"/>
          <w:szCs w:val="18"/>
        </w:rPr>
        <w:t xml:space="preserve"> in the Primary set, categorized based on the presence or absence of additional </w:t>
      </w:r>
      <w:proofErr w:type="spellStart"/>
      <w:r w:rsidRPr="00CA36FE">
        <w:rPr>
          <w:sz w:val="18"/>
          <w:szCs w:val="18"/>
        </w:rPr>
        <w:t>ncORF</w:t>
      </w:r>
      <w:proofErr w:type="spellEnd"/>
      <w:r w:rsidRPr="00CA36FE">
        <w:rPr>
          <w:sz w:val="18"/>
          <w:szCs w:val="18"/>
        </w:rPr>
        <w:t xml:space="preserve"> isoforms. For the set of 3,303 </w:t>
      </w:r>
      <w:proofErr w:type="spellStart"/>
      <w:r w:rsidRPr="00CA36FE">
        <w:rPr>
          <w:sz w:val="18"/>
          <w:szCs w:val="18"/>
        </w:rPr>
        <w:t>ncORFs</w:t>
      </w:r>
      <w:proofErr w:type="spellEnd"/>
      <w:r w:rsidRPr="00CA36FE">
        <w:rPr>
          <w:sz w:val="18"/>
          <w:szCs w:val="18"/>
        </w:rPr>
        <w:t xml:space="preserve"> associated with multiple isoforms, the number of overlapping isoforms (≥90% codon overlap with the shortest isoform) is indicated, as this threshold was used in the first catalog to collapse </w:t>
      </w:r>
      <w:proofErr w:type="spellStart"/>
      <w:r w:rsidRPr="00CA36FE">
        <w:rPr>
          <w:sz w:val="18"/>
          <w:szCs w:val="18"/>
        </w:rPr>
        <w:t>ncORFs</w:t>
      </w:r>
      <w:proofErr w:type="spellEnd"/>
      <w:r w:rsidRPr="00CA36FE">
        <w:rPr>
          <w:sz w:val="18"/>
          <w:szCs w:val="18"/>
        </w:rPr>
        <w:t xml:space="preserve">. Additionally, all 3,303 </w:t>
      </w:r>
      <w:proofErr w:type="spellStart"/>
      <w:r w:rsidRPr="00CA36FE">
        <w:rPr>
          <w:sz w:val="18"/>
          <w:szCs w:val="18"/>
        </w:rPr>
        <w:t>ncORFs</w:t>
      </w:r>
      <w:proofErr w:type="spellEnd"/>
      <w:r w:rsidRPr="00CA36FE">
        <w:rPr>
          <w:sz w:val="18"/>
          <w:szCs w:val="18"/>
        </w:rPr>
        <w:t xml:space="preserve"> with multiple isoforms are further stratified by the type of overlap with other </w:t>
      </w:r>
      <w:proofErr w:type="spellStart"/>
      <w:r w:rsidRPr="00CA36FE">
        <w:rPr>
          <w:sz w:val="18"/>
          <w:szCs w:val="18"/>
        </w:rPr>
        <w:t>ncORFs</w:t>
      </w:r>
      <w:proofErr w:type="spellEnd"/>
      <w:r w:rsidRPr="00CA36FE">
        <w:rPr>
          <w:sz w:val="18"/>
          <w:szCs w:val="18"/>
        </w:rPr>
        <w:t xml:space="preserve">. b. </w:t>
      </w:r>
      <w:r>
        <w:rPr>
          <w:sz w:val="18"/>
          <w:szCs w:val="18"/>
        </w:rPr>
        <w:t xml:space="preserve">Two overlapping </w:t>
      </w:r>
      <w:proofErr w:type="spellStart"/>
      <w:r>
        <w:rPr>
          <w:sz w:val="18"/>
          <w:szCs w:val="18"/>
        </w:rPr>
        <w:t>uORF</w:t>
      </w:r>
      <w:proofErr w:type="spellEnd"/>
      <w:r>
        <w:rPr>
          <w:sz w:val="18"/>
          <w:szCs w:val="18"/>
        </w:rPr>
        <w:t xml:space="preserve"> variants located in the </w:t>
      </w:r>
      <w:r w:rsidRPr="00CA36FE">
        <w:rPr>
          <w:sz w:val="18"/>
          <w:szCs w:val="18"/>
        </w:rPr>
        <w:t>LMBRD2</w:t>
      </w:r>
      <w:r>
        <w:rPr>
          <w:sz w:val="18"/>
          <w:szCs w:val="18"/>
        </w:rPr>
        <w:t xml:space="preserve"> gene have near-cognate initiation codons. </w:t>
      </w:r>
      <w:r>
        <w:rPr>
          <w:b/>
          <w:bCs/>
          <w:sz w:val="18"/>
          <w:szCs w:val="18"/>
        </w:rPr>
        <w:t xml:space="preserve">c. </w:t>
      </w:r>
      <w:r>
        <w:rPr>
          <w:sz w:val="18"/>
          <w:szCs w:val="18"/>
        </w:rPr>
        <w:t xml:space="preserve">A translated region located in the </w:t>
      </w:r>
      <w:r>
        <w:rPr>
          <w:i/>
          <w:iCs/>
          <w:sz w:val="18"/>
          <w:szCs w:val="18"/>
        </w:rPr>
        <w:t>MIR1915HG</w:t>
      </w:r>
      <w:r>
        <w:rPr>
          <w:sz w:val="18"/>
          <w:szCs w:val="18"/>
        </w:rPr>
        <w:t xml:space="preserve"> lncRNA has two different predicted initiation codons utilizing either an AUG initiation codon or a near-cognate initiation codon. </w:t>
      </w:r>
      <w:r>
        <w:rPr>
          <w:b/>
          <w:bCs/>
          <w:sz w:val="18"/>
          <w:szCs w:val="18"/>
        </w:rPr>
        <w:t>d-e</w:t>
      </w:r>
      <w:r>
        <w:rPr>
          <w:sz w:val="18"/>
          <w:szCs w:val="18"/>
        </w:rPr>
        <w:t xml:space="preserve">. P-site profiles for </w:t>
      </w:r>
      <w:proofErr w:type="spellStart"/>
      <w:r>
        <w:rPr>
          <w:sz w:val="18"/>
          <w:szCs w:val="18"/>
        </w:rPr>
        <w:t>ncORFs</w:t>
      </w:r>
      <w:proofErr w:type="spellEnd"/>
      <w:r>
        <w:rPr>
          <w:sz w:val="18"/>
          <w:szCs w:val="18"/>
        </w:rPr>
        <w:t xml:space="preserve"> in LMBRD2 </w:t>
      </w:r>
      <w:r>
        <w:rPr>
          <w:sz w:val="18"/>
          <w:szCs w:val="18"/>
        </w:rPr>
        <w:lastRenderedPageBreak/>
        <w:t xml:space="preserve">(d) and MIR1915HG (e) using human body-map and </w:t>
      </w:r>
      <w:proofErr w:type="spellStart"/>
      <w:r>
        <w:rPr>
          <w:sz w:val="18"/>
          <w:szCs w:val="18"/>
        </w:rPr>
        <w:t>RiboCrypt</w:t>
      </w:r>
      <w:proofErr w:type="spellEnd"/>
      <w:r>
        <w:rPr>
          <w:sz w:val="18"/>
          <w:szCs w:val="18"/>
        </w:rPr>
        <w:t xml:space="preserve"> data with the different initiation site marked as “starts” 1 and 2.  </w:t>
      </w:r>
    </w:p>
    <w:p w14:paraId="170366DF" w14:textId="77777777" w:rsidR="006A587B" w:rsidRDefault="006A587B">
      <w:pPr>
        <w:jc w:val="both"/>
        <w:rPr>
          <w:sz w:val="18"/>
          <w:szCs w:val="18"/>
        </w:rPr>
      </w:pPr>
    </w:p>
    <w:p w14:paraId="170366E0" w14:textId="77777777" w:rsidR="006A587B" w:rsidRDefault="006A587B">
      <w:pPr>
        <w:rPr>
          <w:b/>
          <w:bCs/>
        </w:rPr>
      </w:pPr>
    </w:p>
    <w:p w14:paraId="170366E1" w14:textId="77777777" w:rsidR="006A587B" w:rsidRDefault="000E5F06">
      <w:pPr>
        <w:rPr>
          <w:sz w:val="18"/>
          <w:szCs w:val="18"/>
        </w:rPr>
      </w:pPr>
      <w:r>
        <w:rPr>
          <w:b/>
          <w:bCs/>
          <w:noProof/>
          <w:sz w:val="20"/>
          <w:szCs w:val="20"/>
        </w:rPr>
        <w:lastRenderedPageBreak/>
        <w:drawing>
          <wp:inline distT="114300" distB="114300" distL="114300" distR="114300" wp14:anchorId="17036775" wp14:editId="17036776">
            <wp:extent cx="5405838" cy="7720013"/>
            <wp:effectExtent l="0" t="0" r="0" b="0"/>
            <wp:docPr id="3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05838" cy="772001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b/>
          <w:bCs/>
          <w:sz w:val="18"/>
          <w:szCs w:val="18"/>
        </w:rPr>
        <w:t>Supplementary Fig. 4. a-b.</w:t>
      </w:r>
      <w:r>
        <w:rPr>
          <w:sz w:val="18"/>
          <w:szCs w:val="18"/>
        </w:rPr>
        <w:t xml:space="preserve"> Boxplot showing translation signature score (PIF, Uniformity and Dropoff) distribution across ORF length bins (in base pairs) in human body-map (a) and </w:t>
      </w:r>
      <w:proofErr w:type="spellStart"/>
      <w:r>
        <w:rPr>
          <w:sz w:val="18"/>
          <w:szCs w:val="18"/>
        </w:rPr>
        <w:t>Ribocrypt</w:t>
      </w:r>
      <w:proofErr w:type="spellEnd"/>
      <w:r>
        <w:rPr>
          <w:sz w:val="18"/>
          <w:szCs w:val="18"/>
        </w:rPr>
        <w:t xml:space="preserve"> data (b). </w:t>
      </w:r>
      <w:r>
        <w:rPr>
          <w:b/>
          <w:bCs/>
          <w:sz w:val="18"/>
          <w:szCs w:val="18"/>
        </w:rPr>
        <w:t xml:space="preserve">c-d. </w:t>
      </w:r>
      <w:r>
        <w:rPr>
          <w:sz w:val="18"/>
          <w:szCs w:val="18"/>
        </w:rPr>
        <w:t xml:space="preserve">Boxplot showing translation signature score (PIF, Uniformity, Dropoff) distribution across ORF types in human body-map (c) and </w:t>
      </w:r>
      <w:proofErr w:type="spellStart"/>
      <w:r>
        <w:rPr>
          <w:sz w:val="18"/>
          <w:szCs w:val="18"/>
        </w:rPr>
        <w:lastRenderedPageBreak/>
        <w:t>RiboCrypt</w:t>
      </w:r>
      <w:proofErr w:type="spellEnd"/>
      <w:r>
        <w:rPr>
          <w:sz w:val="18"/>
          <w:szCs w:val="18"/>
        </w:rPr>
        <w:t xml:space="preserve"> data (d). </w:t>
      </w:r>
      <w:r>
        <w:rPr>
          <w:b/>
          <w:bCs/>
          <w:sz w:val="18"/>
          <w:szCs w:val="18"/>
        </w:rPr>
        <w:t>e.</w:t>
      </w:r>
      <w:r>
        <w:rPr>
          <w:sz w:val="18"/>
          <w:szCs w:val="18"/>
        </w:rPr>
        <w:t xml:space="preserve"> Boxplot showing length distribution of </w:t>
      </w:r>
      <w:proofErr w:type="spellStart"/>
      <w:r>
        <w:rPr>
          <w:sz w:val="18"/>
          <w:szCs w:val="18"/>
        </w:rPr>
        <w:t>ncORFs</w:t>
      </w:r>
      <w:proofErr w:type="spellEnd"/>
      <w:r>
        <w:rPr>
          <w:sz w:val="18"/>
          <w:szCs w:val="18"/>
        </w:rPr>
        <w:t xml:space="preserve"> across different </w:t>
      </w:r>
      <w:proofErr w:type="spellStart"/>
      <w:r>
        <w:rPr>
          <w:sz w:val="18"/>
          <w:szCs w:val="18"/>
        </w:rPr>
        <w:t>ncORF</w:t>
      </w:r>
      <w:proofErr w:type="spellEnd"/>
      <w:r>
        <w:rPr>
          <w:sz w:val="18"/>
          <w:szCs w:val="18"/>
        </w:rPr>
        <w:t xml:space="preserve"> types in the Comprehensive set and Primary set. </w:t>
      </w:r>
      <w:r>
        <w:rPr>
          <w:b/>
          <w:bCs/>
          <w:sz w:val="18"/>
          <w:szCs w:val="18"/>
        </w:rPr>
        <w:t>f.</w:t>
      </w:r>
      <w:r>
        <w:rPr>
          <w:sz w:val="18"/>
          <w:szCs w:val="18"/>
        </w:rPr>
        <w:t xml:space="preserve"> Boxplot showing PIF and Uniformity score distribution across length bins of annotated ORFs.</w:t>
      </w:r>
    </w:p>
    <w:p w14:paraId="170366E2" w14:textId="77777777" w:rsidR="006A587B" w:rsidRDefault="006A587B">
      <w:pPr>
        <w:rPr>
          <w:sz w:val="20"/>
          <w:szCs w:val="20"/>
        </w:rPr>
      </w:pPr>
    </w:p>
    <w:p w14:paraId="170366E3" w14:textId="77777777" w:rsidR="006A587B" w:rsidRDefault="006A587B">
      <w:pPr>
        <w:rPr>
          <w:sz w:val="20"/>
          <w:szCs w:val="20"/>
        </w:rPr>
      </w:pPr>
    </w:p>
    <w:p w14:paraId="170366E4" w14:textId="77777777" w:rsidR="006A587B" w:rsidRDefault="000E5F06">
      <w:pPr>
        <w:spacing w:line="240" w:lineRule="auto"/>
        <w:rPr>
          <w:sz w:val="18"/>
          <w:szCs w:val="18"/>
        </w:rPr>
      </w:pPr>
      <w:r>
        <w:rPr>
          <w:b/>
          <w:bCs/>
          <w:noProof/>
          <w:sz w:val="18"/>
          <w:szCs w:val="18"/>
        </w:rPr>
        <w:lastRenderedPageBreak/>
        <w:drawing>
          <wp:inline distT="114300" distB="114300" distL="114300" distR="114300" wp14:anchorId="17036777" wp14:editId="17036778">
            <wp:extent cx="5659755" cy="7718672"/>
            <wp:effectExtent l="0" t="0" r="0" b="0"/>
            <wp:docPr id="5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59755" cy="771867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b/>
          <w:bCs/>
          <w:sz w:val="18"/>
          <w:szCs w:val="18"/>
        </w:rPr>
        <w:t xml:space="preserve">Supplementary Figure 5: Translation signature scores for annotated </w:t>
      </w:r>
      <w:proofErr w:type="spellStart"/>
      <w:r>
        <w:rPr>
          <w:b/>
          <w:bCs/>
          <w:sz w:val="18"/>
          <w:szCs w:val="18"/>
        </w:rPr>
        <w:t>Ensembl</w:t>
      </w:r>
      <w:proofErr w:type="spellEnd"/>
      <w:r>
        <w:rPr>
          <w:b/>
          <w:bCs/>
          <w:sz w:val="18"/>
          <w:szCs w:val="18"/>
        </w:rPr>
        <w:t xml:space="preserve"> ORFs less than 100 aa and known microproteins. a-b.</w:t>
      </w:r>
      <w:r>
        <w:rPr>
          <w:sz w:val="18"/>
          <w:szCs w:val="18"/>
        </w:rPr>
        <w:t xml:space="preserve"> PIF, Uniformity and Drop-off score distributions for annotated ORFs less than 100aa using </w:t>
      </w:r>
      <w:proofErr w:type="spellStart"/>
      <w:r>
        <w:rPr>
          <w:sz w:val="18"/>
          <w:szCs w:val="18"/>
        </w:rPr>
        <w:t>Ribocrypt</w:t>
      </w:r>
      <w:proofErr w:type="spellEnd"/>
      <w:r>
        <w:rPr>
          <w:sz w:val="18"/>
          <w:szCs w:val="18"/>
        </w:rPr>
        <w:t xml:space="preserve"> </w:t>
      </w:r>
      <w:r>
        <w:rPr>
          <w:b/>
          <w:bCs/>
          <w:sz w:val="18"/>
          <w:szCs w:val="18"/>
        </w:rPr>
        <w:t>(a)</w:t>
      </w:r>
      <w:r>
        <w:rPr>
          <w:sz w:val="18"/>
          <w:szCs w:val="18"/>
        </w:rPr>
        <w:t xml:space="preserve">, and Human body-map dataset </w:t>
      </w:r>
      <w:r>
        <w:rPr>
          <w:b/>
          <w:bCs/>
          <w:sz w:val="18"/>
          <w:szCs w:val="18"/>
        </w:rPr>
        <w:t>(b)</w:t>
      </w:r>
      <w:r>
        <w:rPr>
          <w:sz w:val="18"/>
          <w:szCs w:val="18"/>
        </w:rPr>
        <w:t xml:space="preserve">. </w:t>
      </w:r>
      <w:r>
        <w:rPr>
          <w:b/>
          <w:bCs/>
          <w:sz w:val="18"/>
          <w:szCs w:val="18"/>
        </w:rPr>
        <w:t>c-n.</w:t>
      </w:r>
      <w:r>
        <w:rPr>
          <w:sz w:val="18"/>
          <w:szCs w:val="18"/>
        </w:rPr>
        <w:t xml:space="preserve"> P-site profiles for six known characterized microproteins </w:t>
      </w:r>
      <w:r>
        <w:rPr>
          <w:sz w:val="18"/>
          <w:szCs w:val="18"/>
        </w:rPr>
        <w:lastRenderedPageBreak/>
        <w:t xml:space="preserve">encoded by </w:t>
      </w:r>
      <w:proofErr w:type="spellStart"/>
      <w:r>
        <w:rPr>
          <w:sz w:val="18"/>
          <w:szCs w:val="18"/>
        </w:rPr>
        <w:t>ncORFs</w:t>
      </w:r>
      <w:proofErr w:type="spellEnd"/>
      <w:r>
        <w:rPr>
          <w:sz w:val="18"/>
          <w:szCs w:val="18"/>
        </w:rPr>
        <w:t xml:space="preserve"> including </w:t>
      </w:r>
      <w:proofErr w:type="spellStart"/>
      <w:r>
        <w:rPr>
          <w:sz w:val="18"/>
          <w:szCs w:val="18"/>
        </w:rPr>
        <w:t>Myomixer</w:t>
      </w:r>
      <w:proofErr w:type="spellEnd"/>
      <w:r>
        <w:rPr>
          <w:sz w:val="18"/>
          <w:szCs w:val="18"/>
        </w:rPr>
        <w:t xml:space="preserve"> (MYMX, </w:t>
      </w:r>
      <w:r>
        <w:rPr>
          <w:b/>
          <w:bCs/>
          <w:sz w:val="18"/>
          <w:szCs w:val="18"/>
        </w:rPr>
        <w:t>c-d</w:t>
      </w:r>
      <w:r>
        <w:rPr>
          <w:sz w:val="18"/>
          <w:szCs w:val="18"/>
        </w:rPr>
        <w:t xml:space="preserve">), </w:t>
      </w:r>
      <w:proofErr w:type="spellStart"/>
      <w:r>
        <w:rPr>
          <w:sz w:val="18"/>
          <w:szCs w:val="18"/>
        </w:rPr>
        <w:t>Elabela</w:t>
      </w:r>
      <w:proofErr w:type="spellEnd"/>
      <w:r>
        <w:rPr>
          <w:sz w:val="18"/>
          <w:szCs w:val="18"/>
        </w:rPr>
        <w:t xml:space="preserve"> (ELA, </w:t>
      </w:r>
      <w:r>
        <w:rPr>
          <w:b/>
          <w:bCs/>
          <w:sz w:val="18"/>
          <w:szCs w:val="18"/>
        </w:rPr>
        <w:t>e-f</w:t>
      </w:r>
      <w:r>
        <w:rPr>
          <w:sz w:val="18"/>
          <w:szCs w:val="18"/>
        </w:rPr>
        <w:t xml:space="preserve">), </w:t>
      </w:r>
      <w:proofErr w:type="spellStart"/>
      <w:r>
        <w:rPr>
          <w:sz w:val="18"/>
          <w:szCs w:val="18"/>
        </w:rPr>
        <w:t>Mitoregulin</w:t>
      </w:r>
      <w:proofErr w:type="spellEnd"/>
      <w:r>
        <w:rPr>
          <w:sz w:val="18"/>
          <w:szCs w:val="18"/>
        </w:rPr>
        <w:t xml:space="preserve"> (MTLN, </w:t>
      </w:r>
      <w:r>
        <w:rPr>
          <w:b/>
          <w:bCs/>
          <w:sz w:val="18"/>
          <w:szCs w:val="18"/>
        </w:rPr>
        <w:t>g-h</w:t>
      </w:r>
      <w:r>
        <w:rPr>
          <w:sz w:val="18"/>
          <w:szCs w:val="18"/>
        </w:rPr>
        <w:t>), MOCCI (</w:t>
      </w:r>
      <w:proofErr w:type="spellStart"/>
      <w:r>
        <w:rPr>
          <w:b/>
          <w:bCs/>
          <w:sz w:val="18"/>
          <w:szCs w:val="18"/>
        </w:rPr>
        <w:t>i</w:t>
      </w:r>
      <w:proofErr w:type="spellEnd"/>
      <w:r>
        <w:rPr>
          <w:b/>
          <w:bCs/>
          <w:sz w:val="18"/>
          <w:szCs w:val="18"/>
        </w:rPr>
        <w:t>-j</w:t>
      </w:r>
      <w:r>
        <w:rPr>
          <w:sz w:val="18"/>
          <w:szCs w:val="18"/>
        </w:rPr>
        <w:t>), DWORF (</w:t>
      </w:r>
      <w:r>
        <w:rPr>
          <w:b/>
          <w:bCs/>
          <w:sz w:val="18"/>
          <w:szCs w:val="18"/>
        </w:rPr>
        <w:t>k-l</w:t>
      </w:r>
      <w:r>
        <w:rPr>
          <w:sz w:val="18"/>
          <w:szCs w:val="18"/>
        </w:rPr>
        <w:t>) and CYREN (</w:t>
      </w:r>
      <w:r>
        <w:rPr>
          <w:b/>
          <w:bCs/>
          <w:sz w:val="18"/>
          <w:szCs w:val="18"/>
        </w:rPr>
        <w:t>m-n</w:t>
      </w:r>
      <w:r>
        <w:rPr>
          <w:sz w:val="18"/>
          <w:szCs w:val="18"/>
        </w:rPr>
        <w:t xml:space="preserve">), in </w:t>
      </w:r>
      <w:proofErr w:type="spellStart"/>
      <w:r>
        <w:rPr>
          <w:sz w:val="18"/>
          <w:szCs w:val="18"/>
        </w:rPr>
        <w:t>RiboCrypt</w:t>
      </w:r>
      <w:proofErr w:type="spellEnd"/>
      <w:r>
        <w:rPr>
          <w:sz w:val="18"/>
          <w:szCs w:val="18"/>
        </w:rPr>
        <w:t xml:space="preserve"> and human body-map respectively.</w:t>
      </w:r>
    </w:p>
    <w:p w14:paraId="170366E5" w14:textId="77777777" w:rsidR="006A587B" w:rsidRDefault="006A587B">
      <w:pPr>
        <w:rPr>
          <w:b/>
          <w:bCs/>
        </w:rPr>
      </w:pPr>
    </w:p>
    <w:p w14:paraId="170366E6" w14:textId="77777777" w:rsidR="006A587B" w:rsidRDefault="006A587B">
      <w:pPr>
        <w:jc w:val="both"/>
        <w:rPr>
          <w:b/>
          <w:bCs/>
        </w:rPr>
      </w:pPr>
    </w:p>
    <w:p w14:paraId="170366E7" w14:textId="77777777" w:rsidR="006A587B" w:rsidRDefault="000E5F06">
      <w:pPr>
        <w:jc w:val="both"/>
        <w:rPr>
          <w:b/>
          <w:bCs/>
        </w:rPr>
      </w:pPr>
      <w:r>
        <w:rPr>
          <w:b/>
          <w:bCs/>
        </w:rPr>
        <w:t xml:space="preserve">Supplementary Tables </w:t>
      </w:r>
    </w:p>
    <w:p w14:paraId="170366E9" w14:textId="24A1368E" w:rsidR="006A587B" w:rsidRDefault="000E5F06">
      <w:pPr>
        <w:jc w:val="both"/>
      </w:pPr>
      <w:r>
        <w:t>Filename: Supplementary_Tables_NAR_202601</w:t>
      </w:r>
      <w:r w:rsidR="00B32EF3">
        <w:t>30</w:t>
      </w:r>
      <w:r>
        <w:t>.xlsx</w:t>
      </w:r>
    </w:p>
    <w:p w14:paraId="170366EA" w14:textId="77777777" w:rsidR="006A587B" w:rsidRDefault="006A587B">
      <w:pPr>
        <w:jc w:val="both"/>
        <w:rPr>
          <w:b/>
          <w:bCs/>
        </w:rPr>
      </w:pPr>
    </w:p>
    <w:p w14:paraId="17036768" w14:textId="1DCA12B0" w:rsidR="006A587B" w:rsidRPr="00303760" w:rsidRDefault="00303760" w:rsidP="00303760">
      <w:pPr>
        <w:jc w:val="both"/>
        <w:rPr>
          <w:b/>
          <w:bCs/>
        </w:rPr>
      </w:pPr>
      <w:r w:rsidRPr="00303760">
        <w:rPr>
          <w:b/>
          <w:bCs/>
        </w:rPr>
        <w:t>Supplementary Files</w:t>
      </w:r>
    </w:p>
    <w:p w14:paraId="4AB8C7A3" w14:textId="4050B56C" w:rsidR="00303760" w:rsidRPr="00303760" w:rsidRDefault="00303760" w:rsidP="00303760">
      <w:pPr>
        <w:jc w:val="both"/>
      </w:pPr>
      <w:r w:rsidRPr="00303760">
        <w:t>Supplementary File 1:</w:t>
      </w:r>
      <w:r>
        <w:t xml:space="preserve"> Three-nucleotide periodicity around the start- and stop- codon of </w:t>
      </w:r>
      <w:r w:rsidR="00FD268D">
        <w:t xml:space="preserve">the </w:t>
      </w:r>
      <w:proofErr w:type="spellStart"/>
      <w:r w:rsidR="00FD268D">
        <w:t>ncORFs</w:t>
      </w:r>
      <w:proofErr w:type="spellEnd"/>
      <w:r w:rsidR="00FD268D">
        <w:t xml:space="preserve"> in Primary set and remaining comprehensive set across various ORF types. Page 1: Human body map data, Page2: </w:t>
      </w:r>
      <w:proofErr w:type="spellStart"/>
      <w:r w:rsidR="00FD268D">
        <w:t>RiboCrypt</w:t>
      </w:r>
      <w:proofErr w:type="spellEnd"/>
      <w:r w:rsidR="00FD268D">
        <w:t xml:space="preserve"> data</w:t>
      </w:r>
    </w:p>
    <w:sectPr w:rsidR="00303760" w:rsidRPr="00303760">
      <w:footerReference w:type="default" r:id="rId12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197CE2" w14:textId="77777777" w:rsidR="00420DD5" w:rsidRDefault="00420DD5">
      <w:pPr>
        <w:spacing w:line="240" w:lineRule="auto"/>
      </w:pPr>
      <w:r>
        <w:separator/>
      </w:r>
    </w:p>
  </w:endnote>
  <w:endnote w:type="continuationSeparator" w:id="0">
    <w:p w14:paraId="593194A3" w14:textId="77777777" w:rsidR="00420DD5" w:rsidRDefault="00420DD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" w:fontKey="{20C165CE-1BD2-A641-97E0-BC196B75C309}"/>
    <w:embedBold r:id="rId2" w:fontKey="{08D3619D-4010-9242-8987-6EA4C50FFFB3}"/>
    <w:embedItalic r:id="rId3" w:fontKey="{2461B7E1-AECE-6443-A4D6-73479531A92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F10C9B63-CCC1-AA42-8DCC-D9CA565D4098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5" w:fontKey="{1728F6AB-FFEB-2F4D-8550-D561A6ECEE5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D37EA53C-DB8B-F84C-A44F-58D117865C1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036779" w14:textId="3D238E6B" w:rsidR="006A587B" w:rsidRDefault="000E5F06">
    <w:pPr>
      <w:jc w:val="right"/>
    </w:pPr>
    <w:r>
      <w:fldChar w:fldCharType="begin"/>
    </w:r>
    <w:r>
      <w:instrText>PAGE</w:instrText>
    </w:r>
    <w:r>
      <w:fldChar w:fldCharType="separate"/>
    </w:r>
    <w:r w:rsidR="00E01B3E"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245843" w14:textId="77777777" w:rsidR="00420DD5" w:rsidRDefault="00420DD5">
      <w:pPr>
        <w:spacing w:line="240" w:lineRule="auto"/>
      </w:pPr>
      <w:r>
        <w:separator/>
      </w:r>
    </w:p>
  </w:footnote>
  <w:footnote w:type="continuationSeparator" w:id="0">
    <w:p w14:paraId="31A620E3" w14:textId="77777777" w:rsidR="00420DD5" w:rsidRDefault="00420DD5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5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A587B"/>
    <w:rsid w:val="00023EDB"/>
    <w:rsid w:val="000439D0"/>
    <w:rsid w:val="000C058F"/>
    <w:rsid w:val="000E5F06"/>
    <w:rsid w:val="001F008E"/>
    <w:rsid w:val="0026536F"/>
    <w:rsid w:val="00303760"/>
    <w:rsid w:val="003C1882"/>
    <w:rsid w:val="00420DD5"/>
    <w:rsid w:val="00446031"/>
    <w:rsid w:val="004A6626"/>
    <w:rsid w:val="00536DD5"/>
    <w:rsid w:val="005A1150"/>
    <w:rsid w:val="006A587B"/>
    <w:rsid w:val="00786468"/>
    <w:rsid w:val="00797C64"/>
    <w:rsid w:val="007A0D7C"/>
    <w:rsid w:val="0091531C"/>
    <w:rsid w:val="00946D47"/>
    <w:rsid w:val="00B32EF3"/>
    <w:rsid w:val="00BA19B8"/>
    <w:rsid w:val="00BA3705"/>
    <w:rsid w:val="00C66EAE"/>
    <w:rsid w:val="00CA36FE"/>
    <w:rsid w:val="00CE0509"/>
    <w:rsid w:val="00DE0113"/>
    <w:rsid w:val="00E01B3E"/>
    <w:rsid w:val="00FC5C6A"/>
    <w:rsid w:val="00FD26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S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70365F9"/>
  <w15:docId w15:val="{CBD73E57-70EC-4816-B621-8AFB9808DB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SG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0"/>
    <w:tblPr>
      <w:tblStyleRowBandSize w:val="1"/>
      <w:tblStyleColBandSize w:val="1"/>
    </w:tblPr>
  </w:style>
  <w:style w:type="paragraph" w:styleId="Header">
    <w:name w:val="header"/>
    <w:basedOn w:val="Normal"/>
    <w:link w:val="HeaderChar"/>
    <w:uiPriority w:val="99"/>
    <w:semiHidden/>
    <w:unhideWhenUsed/>
    <w:rsid w:val="00023EDB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023EDB"/>
  </w:style>
  <w:style w:type="paragraph" w:styleId="Footer">
    <w:name w:val="footer"/>
    <w:basedOn w:val="Normal"/>
    <w:link w:val="FooterChar"/>
    <w:uiPriority w:val="99"/>
    <w:semiHidden/>
    <w:unhideWhenUsed/>
    <w:rsid w:val="00023EDB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023ED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9</Pages>
  <Words>709</Words>
  <Characters>3978</Characters>
  <Application>Microsoft Office Word</Application>
  <DocSecurity>0</DocSecurity>
  <Lines>65</Lines>
  <Paragraphs>10</Paragraphs>
  <ScaleCrop>false</ScaleCrop>
  <Company/>
  <LinksUpToDate>false</LinksUpToDate>
  <CharactersWithSpaces>4677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Sonia Pankaj Chothani</cp:lastModifiedBy>
  <cp:revision>13</cp:revision>
  <dcterms:created xsi:type="dcterms:W3CDTF">2026-02-03T03:46:00Z</dcterms:created>
  <dcterms:modified xsi:type="dcterms:W3CDTF">2026-03-16T17:49:00Z</dcterms:modified>
</cp:coreProperties>
</file>