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EE52" w14:textId="77777777" w:rsidR="00553016" w:rsidRPr="00BB5C4B" w:rsidRDefault="006C36AE">
      <w:pPr>
        <w:rPr>
          <w:rFonts w:ascii="Arial" w:hAnsi="Arial" w:cs="Arial"/>
          <w:lang w:val="en-GB"/>
        </w:rPr>
      </w:pPr>
      <w:r w:rsidRPr="00BB5C4B">
        <w:rPr>
          <w:rFonts w:ascii="Arial" w:hAnsi="Arial" w:cs="Arial"/>
          <w:lang w:val="en-GB"/>
        </w:rPr>
        <w:t>Supplement</w:t>
      </w:r>
      <w:r w:rsidR="00553016" w:rsidRPr="00BB5C4B">
        <w:rPr>
          <w:rFonts w:ascii="Arial" w:hAnsi="Arial" w:cs="Arial"/>
          <w:lang w:val="en-GB"/>
        </w:rPr>
        <w:t>ary Figures and Tables for</w:t>
      </w:r>
    </w:p>
    <w:p w14:paraId="5AB101BB" w14:textId="77FE46E6" w:rsidR="00C92EAC" w:rsidRPr="00BB5C4B" w:rsidRDefault="006C36AE">
      <w:pPr>
        <w:rPr>
          <w:rFonts w:ascii="Arial" w:hAnsi="Arial" w:cs="Arial"/>
          <w:b/>
          <w:bCs/>
          <w:lang w:val="en-GB"/>
        </w:rPr>
      </w:pPr>
      <w:r w:rsidRPr="00BB5C4B">
        <w:rPr>
          <w:rFonts w:ascii="Arial" w:hAnsi="Arial" w:cs="Arial"/>
          <w:b/>
          <w:bCs/>
          <w:lang w:val="en-GB"/>
        </w:rPr>
        <w:t>Alpha-Synuclein Quantitative Seed Amplification Assay Predicts Conversion to Dementia</w:t>
      </w:r>
    </w:p>
    <w:p w14:paraId="15BCA97B" w14:textId="77777777" w:rsidR="006C36AE" w:rsidRPr="00BB5C4B" w:rsidRDefault="006C36AE">
      <w:pPr>
        <w:rPr>
          <w:rFonts w:ascii="Arial" w:hAnsi="Arial" w:cs="Arial"/>
          <w:lang w:val="en-GB"/>
        </w:rPr>
      </w:pPr>
    </w:p>
    <w:p w14:paraId="3017A43A" w14:textId="77777777" w:rsidR="00553016" w:rsidRPr="00BB5C4B" w:rsidRDefault="00553016">
      <w:pPr>
        <w:rPr>
          <w:rFonts w:ascii="Arial" w:hAnsi="Arial" w:cs="Arial"/>
          <w:lang w:val="en-GB"/>
        </w:rPr>
      </w:pPr>
    </w:p>
    <w:p w14:paraId="35063AA1" w14:textId="77777777" w:rsidR="00553016" w:rsidRPr="00BB5C4B" w:rsidRDefault="00553016">
      <w:pPr>
        <w:rPr>
          <w:rFonts w:ascii="Arial" w:hAnsi="Arial" w:cs="Arial"/>
          <w:lang w:val="en-GB"/>
        </w:rPr>
      </w:pPr>
    </w:p>
    <w:p w14:paraId="7667F807" w14:textId="440F0294" w:rsidR="00553016" w:rsidRPr="00BB5C4B" w:rsidRDefault="00553016">
      <w:pPr>
        <w:rPr>
          <w:rFonts w:ascii="Arial" w:hAnsi="Arial" w:cs="Arial"/>
          <w:lang w:val="en-GB"/>
        </w:rPr>
      </w:pPr>
      <w:r w:rsidRPr="00BB5C4B">
        <w:rPr>
          <w:rFonts w:ascii="Arial" w:hAnsi="Arial" w:cs="Arial"/>
          <w:lang w:val="en-GB"/>
        </w:rPr>
        <w:t>This file includes:</w:t>
      </w:r>
    </w:p>
    <w:p w14:paraId="2DC5367D" w14:textId="7616E0E0" w:rsidR="00553016" w:rsidRPr="00BB5C4B" w:rsidRDefault="00553016">
      <w:pPr>
        <w:rPr>
          <w:rFonts w:ascii="Arial" w:hAnsi="Arial" w:cs="Arial"/>
          <w:lang w:val="en-GB"/>
        </w:rPr>
      </w:pPr>
      <w:r w:rsidRPr="00BB5C4B">
        <w:rPr>
          <w:rFonts w:ascii="Arial" w:hAnsi="Arial" w:cs="Arial"/>
          <w:lang w:val="en-GB"/>
        </w:rPr>
        <w:t xml:space="preserve">Supplementary Figures </w:t>
      </w:r>
      <w:r w:rsidR="006A136C" w:rsidRPr="00BB5C4B">
        <w:rPr>
          <w:rFonts w:ascii="Arial" w:hAnsi="Arial" w:cs="Arial"/>
          <w:lang w:val="en-GB"/>
        </w:rPr>
        <w:t>S</w:t>
      </w:r>
      <w:r w:rsidRPr="00BB5C4B">
        <w:rPr>
          <w:rFonts w:ascii="Arial" w:hAnsi="Arial" w:cs="Arial"/>
          <w:lang w:val="en-GB"/>
        </w:rPr>
        <w:t xml:space="preserve">1 to </w:t>
      </w:r>
      <w:r w:rsidR="006A136C" w:rsidRPr="00BB5C4B">
        <w:rPr>
          <w:rFonts w:ascii="Arial" w:hAnsi="Arial" w:cs="Arial"/>
          <w:lang w:val="en-GB"/>
        </w:rPr>
        <w:t>S</w:t>
      </w:r>
      <w:r w:rsidRPr="00BB5C4B">
        <w:rPr>
          <w:rFonts w:ascii="Arial" w:hAnsi="Arial" w:cs="Arial"/>
          <w:lang w:val="en-GB"/>
        </w:rPr>
        <w:t>3</w:t>
      </w:r>
    </w:p>
    <w:p w14:paraId="484E5B71" w14:textId="66BDE357" w:rsidR="00553016" w:rsidRPr="00BB5C4B" w:rsidRDefault="00553016">
      <w:pPr>
        <w:rPr>
          <w:rFonts w:ascii="Arial" w:hAnsi="Arial" w:cs="Arial"/>
          <w:lang w:val="en-GB"/>
        </w:rPr>
      </w:pPr>
      <w:r w:rsidRPr="00BB5C4B">
        <w:rPr>
          <w:rFonts w:ascii="Arial" w:hAnsi="Arial" w:cs="Arial"/>
          <w:lang w:val="en-GB"/>
        </w:rPr>
        <w:t xml:space="preserve">Supplementary Table </w:t>
      </w:r>
      <w:r w:rsidR="006A136C" w:rsidRPr="00BB5C4B">
        <w:rPr>
          <w:rFonts w:ascii="Arial" w:hAnsi="Arial" w:cs="Arial"/>
          <w:lang w:val="en-GB"/>
        </w:rPr>
        <w:t>S</w:t>
      </w:r>
      <w:r w:rsidRPr="00BB5C4B">
        <w:rPr>
          <w:rFonts w:ascii="Arial" w:hAnsi="Arial" w:cs="Arial"/>
          <w:lang w:val="en-GB"/>
        </w:rPr>
        <w:t>1</w:t>
      </w:r>
    </w:p>
    <w:p w14:paraId="4C34627C" w14:textId="03FF634D" w:rsidR="006C36AE" w:rsidRPr="00BB5C4B" w:rsidRDefault="006C36AE">
      <w:pPr>
        <w:rPr>
          <w:rFonts w:ascii="Arial" w:hAnsi="Arial" w:cs="Arial"/>
          <w:lang w:val="en-GB"/>
        </w:rPr>
      </w:pPr>
      <w:r w:rsidRPr="00BB5C4B">
        <w:rPr>
          <w:rFonts w:ascii="Arial" w:hAnsi="Arial" w:cs="Arial"/>
          <w:noProof/>
        </w:rPr>
        <w:lastRenderedPageBreak/>
        <w:drawing>
          <wp:inline distT="0" distB="0" distL="0" distR="0" wp14:anchorId="77912875" wp14:editId="6B14B87F">
            <wp:extent cx="5760720" cy="8347075"/>
            <wp:effectExtent l="0" t="0" r="7620" b="0"/>
            <wp:docPr id="75" name="Grafik 74">
              <a:extLst xmlns:a="http://schemas.openxmlformats.org/drawingml/2006/main">
                <a:ext uri="{FF2B5EF4-FFF2-40B4-BE49-F238E27FC236}">
                  <a16:creationId xmlns:a16="http://schemas.microsoft.com/office/drawing/2014/main" id="{E1E155D7-47EF-31D2-A260-320E866E5B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Grafik 74">
                      <a:extLst>
                        <a:ext uri="{FF2B5EF4-FFF2-40B4-BE49-F238E27FC236}">
                          <a16:creationId xmlns:a16="http://schemas.microsoft.com/office/drawing/2014/main" id="{E1E155D7-47EF-31D2-A260-320E866E5B54}"/>
                        </a:ext>
                      </a:extLst>
                    </pic:cNvPr>
                    <pic:cNvPicPr>
                      <a:picLocks noChangeAspect="1"/>
                    </pic:cNvPicPr>
                  </pic:nvPicPr>
                  <pic:blipFill>
                    <a:blip r:embed="rId6"/>
                    <a:stretch>
                      <a:fillRect/>
                    </a:stretch>
                  </pic:blipFill>
                  <pic:spPr>
                    <a:xfrm>
                      <a:off x="0" y="0"/>
                      <a:ext cx="5760720" cy="8347075"/>
                    </a:xfrm>
                    <a:prstGeom prst="rect">
                      <a:avLst/>
                    </a:prstGeom>
                  </pic:spPr>
                </pic:pic>
              </a:graphicData>
            </a:graphic>
          </wp:inline>
        </w:drawing>
      </w:r>
    </w:p>
    <w:p w14:paraId="4A58C413" w14:textId="77777777" w:rsidR="006C36AE" w:rsidRPr="00BB5C4B" w:rsidRDefault="006C36AE">
      <w:pPr>
        <w:rPr>
          <w:rFonts w:ascii="Arial" w:hAnsi="Arial" w:cs="Arial"/>
          <w:lang w:val="en-GB"/>
        </w:rPr>
      </w:pPr>
    </w:p>
    <w:p w14:paraId="674A68BB" w14:textId="673D61B1" w:rsidR="006C36AE" w:rsidRPr="00BB5C4B" w:rsidRDefault="006C36AE" w:rsidP="00865FAE">
      <w:pPr>
        <w:jc w:val="both"/>
        <w:rPr>
          <w:rFonts w:ascii="Arial" w:hAnsi="Arial" w:cs="Arial"/>
          <w:lang w:val="en-GB"/>
        </w:rPr>
      </w:pPr>
      <w:r w:rsidRPr="00BB5C4B">
        <w:rPr>
          <w:rFonts w:ascii="Arial" w:hAnsi="Arial" w:cs="Arial"/>
          <w:b/>
          <w:bCs/>
          <w:i/>
          <w:iCs/>
          <w:lang w:val="en-GB"/>
        </w:rPr>
        <w:t>Supplement</w:t>
      </w:r>
      <w:r w:rsidR="006A136C" w:rsidRPr="00BB5C4B">
        <w:rPr>
          <w:rFonts w:ascii="Arial" w:hAnsi="Arial" w:cs="Arial"/>
          <w:b/>
          <w:bCs/>
          <w:i/>
          <w:iCs/>
          <w:lang w:val="en-GB"/>
        </w:rPr>
        <w:t>ary</w:t>
      </w:r>
      <w:r w:rsidRPr="00BB5C4B">
        <w:rPr>
          <w:rFonts w:ascii="Arial" w:hAnsi="Arial" w:cs="Arial"/>
          <w:b/>
          <w:bCs/>
          <w:i/>
          <w:iCs/>
          <w:lang w:val="en-GB"/>
        </w:rPr>
        <w:t xml:space="preserve"> Figure </w:t>
      </w:r>
      <w:r w:rsidR="006A136C" w:rsidRPr="00BB5C4B">
        <w:rPr>
          <w:rFonts w:ascii="Arial" w:hAnsi="Arial" w:cs="Arial"/>
          <w:b/>
          <w:bCs/>
          <w:i/>
          <w:iCs/>
          <w:lang w:val="en-GB"/>
        </w:rPr>
        <w:t>S</w:t>
      </w:r>
      <w:r w:rsidRPr="00BB5C4B">
        <w:rPr>
          <w:rFonts w:ascii="Arial" w:hAnsi="Arial" w:cs="Arial"/>
          <w:b/>
          <w:bCs/>
          <w:i/>
          <w:iCs/>
          <w:lang w:val="en-GB"/>
        </w:rPr>
        <w:t xml:space="preserve">1. Explanation of TT2 and </w:t>
      </w:r>
      <w:proofErr w:type="spellStart"/>
      <w:r w:rsidRPr="00BB5C4B">
        <w:rPr>
          <w:rFonts w:ascii="Arial" w:hAnsi="Arial" w:cs="Arial"/>
          <w:b/>
          <w:bCs/>
          <w:i/>
          <w:iCs/>
          <w:lang w:val="en-GB"/>
        </w:rPr>
        <w:t>qnSAA</w:t>
      </w:r>
      <w:proofErr w:type="spellEnd"/>
      <w:r w:rsidRPr="00BB5C4B">
        <w:rPr>
          <w:rFonts w:ascii="Arial" w:hAnsi="Arial" w:cs="Arial"/>
          <w:b/>
          <w:bCs/>
          <w:i/>
          <w:iCs/>
          <w:lang w:val="en-GB"/>
        </w:rPr>
        <w:t>.</w:t>
      </w:r>
      <w:r w:rsidRPr="00BB5C4B">
        <w:rPr>
          <w:rFonts w:ascii="Arial" w:hAnsi="Arial" w:cs="Arial"/>
          <w:lang w:val="en-GB"/>
        </w:rPr>
        <w:t xml:space="preserve"> </w:t>
      </w:r>
      <w:r w:rsidRPr="00BB5C4B">
        <w:rPr>
          <w:rFonts w:ascii="Arial" w:hAnsi="Arial" w:cs="Arial"/>
          <w:i/>
          <w:iCs/>
          <w:lang w:val="en-GB"/>
        </w:rPr>
        <w:t xml:space="preserve">Depicted are the results of three CSF samples (A+B; C+D; E+F) measured in the standard SAA (A, C, E) and </w:t>
      </w:r>
      <w:proofErr w:type="spellStart"/>
      <w:r w:rsidRPr="00BB5C4B">
        <w:rPr>
          <w:rFonts w:ascii="Arial" w:hAnsi="Arial" w:cs="Arial"/>
          <w:i/>
          <w:iCs/>
          <w:lang w:val="en-GB"/>
        </w:rPr>
        <w:t>qnSAA</w:t>
      </w:r>
      <w:proofErr w:type="spellEnd"/>
      <w:r w:rsidRPr="00BB5C4B">
        <w:rPr>
          <w:rFonts w:ascii="Arial" w:hAnsi="Arial" w:cs="Arial"/>
          <w:i/>
          <w:iCs/>
          <w:lang w:val="en-GB"/>
        </w:rPr>
        <w:t xml:space="preserve"> (B, D, F). </w:t>
      </w:r>
      <w:r w:rsidRPr="00BB5C4B">
        <w:rPr>
          <w:rFonts w:ascii="Arial" w:hAnsi="Arial" w:cs="Arial"/>
          <w:i/>
          <w:iCs/>
          <w:lang w:val="en-GB"/>
        </w:rPr>
        <w:lastRenderedPageBreak/>
        <w:t>Each sample is measured in 4 replicates. A replicate is considered positive when it reaches a defined fluorescence threshold (black line) in a defined time window (SAA</w:t>
      </w:r>
      <w:r w:rsidR="00107092" w:rsidRPr="00BB5C4B">
        <w:rPr>
          <w:rFonts w:ascii="Arial" w:hAnsi="Arial" w:cs="Arial"/>
          <w:i/>
          <w:iCs/>
          <w:lang w:val="en-GB"/>
        </w:rPr>
        <w:t xml:space="preserve">: </w:t>
      </w:r>
      <w:r w:rsidRPr="00BB5C4B">
        <w:rPr>
          <w:rFonts w:ascii="Arial" w:hAnsi="Arial" w:cs="Arial"/>
          <w:i/>
          <w:iCs/>
          <w:lang w:val="en-GB"/>
        </w:rPr>
        <w:t>40</w:t>
      </w:r>
      <w:r w:rsidR="002F42A9" w:rsidRPr="00BB5C4B">
        <w:rPr>
          <w:rFonts w:ascii="Arial" w:hAnsi="Arial" w:cs="Arial"/>
          <w:i/>
          <w:iCs/>
          <w:lang w:val="en-GB"/>
        </w:rPr>
        <w:t xml:space="preserve"> h</w:t>
      </w:r>
      <w:r w:rsidR="00107092" w:rsidRPr="00BB5C4B">
        <w:rPr>
          <w:rFonts w:ascii="Arial" w:hAnsi="Arial" w:cs="Arial"/>
          <w:i/>
          <w:iCs/>
          <w:lang w:val="en-GB"/>
        </w:rPr>
        <w:t>;</w:t>
      </w:r>
      <w:r w:rsidRPr="00BB5C4B">
        <w:rPr>
          <w:rFonts w:ascii="Arial" w:hAnsi="Arial" w:cs="Arial"/>
          <w:i/>
          <w:iCs/>
          <w:lang w:val="en-GB"/>
        </w:rPr>
        <w:t xml:space="preserve"> </w:t>
      </w:r>
      <w:proofErr w:type="spellStart"/>
      <w:r w:rsidRPr="00BB5C4B">
        <w:rPr>
          <w:rFonts w:ascii="Arial" w:hAnsi="Arial" w:cs="Arial"/>
          <w:i/>
          <w:iCs/>
          <w:lang w:val="en-GB"/>
        </w:rPr>
        <w:t>qnSAA</w:t>
      </w:r>
      <w:proofErr w:type="spellEnd"/>
      <w:r w:rsidR="00107092" w:rsidRPr="00BB5C4B">
        <w:rPr>
          <w:rFonts w:ascii="Arial" w:hAnsi="Arial" w:cs="Arial"/>
          <w:i/>
          <w:iCs/>
          <w:lang w:val="en-GB"/>
        </w:rPr>
        <w:t xml:space="preserve">: </w:t>
      </w:r>
      <w:r w:rsidRPr="00BB5C4B">
        <w:rPr>
          <w:rFonts w:ascii="Arial" w:hAnsi="Arial" w:cs="Arial"/>
          <w:i/>
          <w:iCs/>
          <w:lang w:val="en-GB"/>
        </w:rPr>
        <w:t xml:space="preserve">75 h). The lag phase is defined as the time that a positive replicate needs to cross the fluorescence threshold. The lag phase of the second fastest replicate (solid line) is defined as the TT2 („Time to threshold 2“; purple line). A, C, E show the standard SAA results of the three CSF samples. The curve of the second fastest replicate of each sample in the standard SAA is compared in figure G. Two samples have the identical TT2 in the standard SAA. </w:t>
      </w:r>
      <w:proofErr w:type="gramStart"/>
      <w:r w:rsidRPr="00BB5C4B">
        <w:rPr>
          <w:rFonts w:ascii="Arial" w:hAnsi="Arial" w:cs="Arial"/>
          <w:i/>
          <w:iCs/>
          <w:lang w:val="en-GB"/>
        </w:rPr>
        <w:t>B,D</w:t>
      </w:r>
      <w:proofErr w:type="gramEnd"/>
      <w:r w:rsidRPr="00BB5C4B">
        <w:rPr>
          <w:rFonts w:ascii="Arial" w:hAnsi="Arial" w:cs="Arial"/>
          <w:i/>
          <w:iCs/>
          <w:lang w:val="en-GB"/>
        </w:rPr>
        <w:t xml:space="preserve">,F show the </w:t>
      </w:r>
      <w:proofErr w:type="spellStart"/>
      <w:r w:rsidRPr="00BB5C4B">
        <w:rPr>
          <w:rFonts w:ascii="Arial" w:hAnsi="Arial" w:cs="Arial"/>
          <w:i/>
          <w:iCs/>
          <w:lang w:val="en-GB"/>
        </w:rPr>
        <w:t>qnSAA</w:t>
      </w:r>
      <w:proofErr w:type="spellEnd"/>
      <w:r w:rsidRPr="00BB5C4B">
        <w:rPr>
          <w:rFonts w:ascii="Arial" w:hAnsi="Arial" w:cs="Arial"/>
          <w:i/>
          <w:iCs/>
          <w:lang w:val="en-GB"/>
        </w:rPr>
        <w:t xml:space="preserve"> results of the three CSF samples. The curve of the second fastest replicate of each sample in the </w:t>
      </w:r>
      <w:proofErr w:type="spellStart"/>
      <w:r w:rsidRPr="00BB5C4B">
        <w:rPr>
          <w:rFonts w:ascii="Arial" w:hAnsi="Arial" w:cs="Arial"/>
          <w:i/>
          <w:iCs/>
          <w:lang w:val="en-GB"/>
        </w:rPr>
        <w:t>qnSAA</w:t>
      </w:r>
      <w:proofErr w:type="spellEnd"/>
      <w:r w:rsidRPr="00BB5C4B">
        <w:rPr>
          <w:rFonts w:ascii="Arial" w:hAnsi="Arial" w:cs="Arial"/>
          <w:i/>
          <w:iCs/>
          <w:lang w:val="en-GB"/>
        </w:rPr>
        <w:t xml:space="preserve"> is compared in figure H. </w:t>
      </w:r>
      <w:proofErr w:type="spellStart"/>
      <w:r w:rsidRPr="00BB5C4B">
        <w:rPr>
          <w:rFonts w:ascii="Arial" w:hAnsi="Arial" w:cs="Arial"/>
          <w:i/>
          <w:iCs/>
          <w:lang w:val="en-GB"/>
        </w:rPr>
        <w:t>qnSAA</w:t>
      </w:r>
      <w:proofErr w:type="spellEnd"/>
      <w:r w:rsidRPr="00BB5C4B">
        <w:rPr>
          <w:rFonts w:ascii="Arial" w:hAnsi="Arial" w:cs="Arial"/>
          <w:i/>
          <w:iCs/>
          <w:lang w:val="en-GB"/>
        </w:rPr>
        <w:t xml:space="preserve"> TT2 values show much greater differences between samples (SAA: 21.75</w:t>
      </w:r>
      <w:r w:rsidR="002F42A9" w:rsidRPr="00BB5C4B">
        <w:rPr>
          <w:rFonts w:ascii="Arial" w:hAnsi="Arial" w:cs="Arial"/>
          <w:i/>
          <w:iCs/>
          <w:lang w:val="en-GB"/>
        </w:rPr>
        <w:t xml:space="preserve"> </w:t>
      </w:r>
      <w:r w:rsidRPr="00BB5C4B">
        <w:rPr>
          <w:rFonts w:ascii="Arial" w:hAnsi="Arial" w:cs="Arial"/>
          <w:i/>
          <w:iCs/>
          <w:lang w:val="en-GB"/>
        </w:rPr>
        <w:t>h vs</w:t>
      </w:r>
      <w:r w:rsidR="00107092" w:rsidRPr="00BB5C4B">
        <w:rPr>
          <w:rFonts w:ascii="Arial" w:hAnsi="Arial" w:cs="Arial"/>
          <w:i/>
          <w:iCs/>
          <w:lang w:val="en-GB"/>
        </w:rPr>
        <w:t>.</w:t>
      </w:r>
      <w:r w:rsidRPr="00BB5C4B">
        <w:rPr>
          <w:rFonts w:ascii="Arial" w:hAnsi="Arial" w:cs="Arial"/>
          <w:i/>
          <w:iCs/>
          <w:lang w:val="en-GB"/>
        </w:rPr>
        <w:t xml:space="preserve"> 21.75</w:t>
      </w:r>
      <w:r w:rsidR="002F42A9" w:rsidRPr="00BB5C4B">
        <w:rPr>
          <w:rFonts w:ascii="Arial" w:hAnsi="Arial" w:cs="Arial"/>
          <w:i/>
          <w:iCs/>
          <w:lang w:val="en-GB"/>
        </w:rPr>
        <w:t xml:space="preserve"> </w:t>
      </w:r>
      <w:r w:rsidRPr="00BB5C4B">
        <w:rPr>
          <w:rFonts w:ascii="Arial" w:hAnsi="Arial" w:cs="Arial"/>
          <w:i/>
          <w:iCs/>
          <w:lang w:val="en-GB"/>
        </w:rPr>
        <w:t>h vs. 30</w:t>
      </w:r>
      <w:r w:rsidR="002F42A9" w:rsidRPr="00BB5C4B">
        <w:rPr>
          <w:rFonts w:ascii="Arial" w:hAnsi="Arial" w:cs="Arial"/>
          <w:i/>
          <w:iCs/>
          <w:lang w:val="en-GB"/>
        </w:rPr>
        <w:t xml:space="preserve"> h</w:t>
      </w:r>
      <w:r w:rsidRPr="00BB5C4B">
        <w:rPr>
          <w:rFonts w:ascii="Arial" w:hAnsi="Arial" w:cs="Arial"/>
          <w:i/>
          <w:iCs/>
          <w:lang w:val="en-GB"/>
        </w:rPr>
        <w:t xml:space="preserve">; </w:t>
      </w:r>
      <w:proofErr w:type="spellStart"/>
      <w:r w:rsidRPr="00BB5C4B">
        <w:rPr>
          <w:rFonts w:ascii="Arial" w:hAnsi="Arial" w:cs="Arial"/>
          <w:i/>
          <w:iCs/>
          <w:lang w:val="en-GB"/>
        </w:rPr>
        <w:t>qSAA</w:t>
      </w:r>
      <w:proofErr w:type="spellEnd"/>
      <w:r w:rsidRPr="00BB5C4B">
        <w:rPr>
          <w:rFonts w:ascii="Arial" w:hAnsi="Arial" w:cs="Arial"/>
          <w:i/>
          <w:iCs/>
          <w:lang w:val="en-GB"/>
        </w:rPr>
        <w:t>: 28.5</w:t>
      </w:r>
      <w:r w:rsidR="002F42A9" w:rsidRPr="00BB5C4B">
        <w:rPr>
          <w:rFonts w:ascii="Arial" w:hAnsi="Arial" w:cs="Arial"/>
          <w:i/>
          <w:iCs/>
          <w:lang w:val="en-GB"/>
        </w:rPr>
        <w:t xml:space="preserve"> </w:t>
      </w:r>
      <w:r w:rsidRPr="00BB5C4B">
        <w:rPr>
          <w:rFonts w:ascii="Arial" w:hAnsi="Arial" w:cs="Arial"/>
          <w:i/>
          <w:iCs/>
          <w:lang w:val="en-GB"/>
        </w:rPr>
        <w:t>h vs</w:t>
      </w:r>
      <w:r w:rsidR="00107092" w:rsidRPr="00BB5C4B">
        <w:rPr>
          <w:rFonts w:ascii="Arial" w:hAnsi="Arial" w:cs="Arial"/>
          <w:i/>
          <w:iCs/>
          <w:lang w:val="en-GB"/>
        </w:rPr>
        <w:t>.</w:t>
      </w:r>
      <w:r w:rsidRPr="00BB5C4B">
        <w:rPr>
          <w:rFonts w:ascii="Arial" w:hAnsi="Arial" w:cs="Arial"/>
          <w:i/>
          <w:iCs/>
          <w:lang w:val="en-GB"/>
        </w:rPr>
        <w:t xml:space="preserve"> 51</w:t>
      </w:r>
      <w:r w:rsidR="002F42A9" w:rsidRPr="00BB5C4B">
        <w:rPr>
          <w:rFonts w:ascii="Arial" w:hAnsi="Arial" w:cs="Arial"/>
          <w:i/>
          <w:iCs/>
          <w:lang w:val="en-GB"/>
        </w:rPr>
        <w:t xml:space="preserve"> </w:t>
      </w:r>
      <w:r w:rsidRPr="00BB5C4B">
        <w:rPr>
          <w:rFonts w:ascii="Arial" w:hAnsi="Arial" w:cs="Arial"/>
          <w:i/>
          <w:iCs/>
          <w:lang w:val="en-GB"/>
        </w:rPr>
        <w:t>h vs</w:t>
      </w:r>
      <w:r w:rsidR="00107092" w:rsidRPr="00BB5C4B">
        <w:rPr>
          <w:rFonts w:ascii="Arial" w:hAnsi="Arial" w:cs="Arial"/>
          <w:i/>
          <w:iCs/>
          <w:lang w:val="en-GB"/>
        </w:rPr>
        <w:t>.</w:t>
      </w:r>
      <w:r w:rsidRPr="00BB5C4B">
        <w:rPr>
          <w:rFonts w:ascii="Arial" w:hAnsi="Arial" w:cs="Arial"/>
          <w:i/>
          <w:iCs/>
          <w:lang w:val="en-GB"/>
        </w:rPr>
        <w:t xml:space="preserve"> 67.5</w:t>
      </w:r>
      <w:r w:rsidR="002F42A9" w:rsidRPr="00BB5C4B">
        <w:rPr>
          <w:rFonts w:ascii="Arial" w:hAnsi="Arial" w:cs="Arial"/>
          <w:i/>
          <w:iCs/>
          <w:lang w:val="en-GB"/>
        </w:rPr>
        <w:t xml:space="preserve"> </w:t>
      </w:r>
      <w:r w:rsidRPr="00BB5C4B">
        <w:rPr>
          <w:rFonts w:ascii="Arial" w:hAnsi="Arial" w:cs="Arial"/>
          <w:i/>
          <w:iCs/>
          <w:lang w:val="en-GB"/>
        </w:rPr>
        <w:t>h).</w:t>
      </w:r>
    </w:p>
    <w:p w14:paraId="2C17542B" w14:textId="77777777" w:rsidR="006C36AE" w:rsidRPr="00BB5C4B" w:rsidRDefault="006C36AE">
      <w:pPr>
        <w:rPr>
          <w:rFonts w:ascii="Arial" w:hAnsi="Arial" w:cs="Arial"/>
          <w:lang w:val="en-GB"/>
        </w:rPr>
      </w:pPr>
    </w:p>
    <w:p w14:paraId="0082309C" w14:textId="6E0FBE06" w:rsidR="006C36AE" w:rsidRPr="00BB5C4B" w:rsidRDefault="006C36AE">
      <w:pPr>
        <w:rPr>
          <w:rFonts w:ascii="Arial" w:hAnsi="Arial" w:cs="Arial"/>
          <w:lang w:val="en-GB"/>
        </w:rPr>
      </w:pPr>
      <w:r w:rsidRPr="00BB5C4B">
        <w:rPr>
          <w:rFonts w:ascii="Arial" w:hAnsi="Arial" w:cs="Arial"/>
          <w:noProof/>
        </w:rPr>
        <w:drawing>
          <wp:inline distT="0" distB="0" distL="0" distR="0" wp14:anchorId="4E75F3EC" wp14:editId="14F6C465">
            <wp:extent cx="5760720" cy="4114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114800"/>
                    </a:xfrm>
                    <a:prstGeom prst="rect">
                      <a:avLst/>
                    </a:prstGeom>
                    <a:noFill/>
                    <a:ln>
                      <a:noFill/>
                    </a:ln>
                  </pic:spPr>
                </pic:pic>
              </a:graphicData>
            </a:graphic>
          </wp:inline>
        </w:drawing>
      </w:r>
    </w:p>
    <w:p w14:paraId="25044088" w14:textId="38D9AE86" w:rsidR="006C36AE" w:rsidRPr="00BB5C4B" w:rsidRDefault="006C36AE" w:rsidP="00865FAE">
      <w:pPr>
        <w:jc w:val="both"/>
        <w:rPr>
          <w:rFonts w:ascii="Arial" w:hAnsi="Arial" w:cs="Arial"/>
          <w:lang w:val="en-GB"/>
        </w:rPr>
      </w:pPr>
      <w:r w:rsidRPr="00BB5C4B">
        <w:rPr>
          <w:rFonts w:ascii="Arial" w:hAnsi="Arial" w:cs="Arial"/>
          <w:b/>
          <w:bCs/>
          <w:i/>
          <w:iCs/>
          <w:lang w:val="en-GB"/>
        </w:rPr>
        <w:t>Supplementa</w:t>
      </w:r>
      <w:r w:rsidR="006A136C" w:rsidRPr="00BB5C4B">
        <w:rPr>
          <w:rFonts w:ascii="Arial" w:hAnsi="Arial" w:cs="Arial"/>
          <w:b/>
          <w:bCs/>
          <w:i/>
          <w:iCs/>
          <w:lang w:val="en-GB"/>
        </w:rPr>
        <w:t>ry</w:t>
      </w:r>
      <w:r w:rsidRPr="00BB5C4B">
        <w:rPr>
          <w:rFonts w:ascii="Arial" w:hAnsi="Arial" w:cs="Arial"/>
          <w:b/>
          <w:bCs/>
          <w:i/>
          <w:iCs/>
          <w:lang w:val="en-GB"/>
        </w:rPr>
        <w:t xml:space="preserve"> Figure </w:t>
      </w:r>
      <w:r w:rsidR="006A136C" w:rsidRPr="00BB5C4B">
        <w:rPr>
          <w:rFonts w:ascii="Arial" w:hAnsi="Arial" w:cs="Arial"/>
          <w:b/>
          <w:bCs/>
          <w:i/>
          <w:iCs/>
          <w:lang w:val="en-GB"/>
        </w:rPr>
        <w:t>S</w:t>
      </w:r>
      <w:r w:rsidRPr="00BB5C4B">
        <w:rPr>
          <w:rFonts w:ascii="Arial" w:hAnsi="Arial" w:cs="Arial"/>
          <w:b/>
          <w:bCs/>
          <w:i/>
          <w:iCs/>
          <w:lang w:val="en-GB"/>
        </w:rPr>
        <w:t>2. Correlation between TT2 decrease and absolute TT2 values.</w:t>
      </w:r>
      <w:r w:rsidRPr="00BB5C4B">
        <w:rPr>
          <w:rFonts w:ascii="Arial" w:hAnsi="Arial" w:cs="Arial"/>
          <w:lang w:val="en-GB"/>
        </w:rPr>
        <w:t xml:space="preserve"> </w:t>
      </w:r>
      <w:r w:rsidRPr="00BB5C4B">
        <w:rPr>
          <w:rFonts w:ascii="Arial" w:hAnsi="Arial" w:cs="Arial"/>
          <w:i/>
          <w:iCs/>
          <w:lang w:val="en-GB"/>
        </w:rPr>
        <w:t>Shown is the relationship between the TT2 slope (calculated as the change in TT2 between baseline and follow-up, divided by the time interval) and the mean TT2 value (average of baseline and follow-up measurements). The Pearson correlation coefficient, corresponding p-value, and 95</w:t>
      </w:r>
      <w:r w:rsidR="00107092" w:rsidRPr="00BB5C4B">
        <w:rPr>
          <w:rFonts w:ascii="Arial" w:hAnsi="Arial" w:cs="Arial"/>
          <w:i/>
          <w:iCs/>
          <w:lang w:val="en-GB"/>
        </w:rPr>
        <w:t xml:space="preserve"> </w:t>
      </w:r>
      <w:r w:rsidRPr="00BB5C4B">
        <w:rPr>
          <w:rFonts w:ascii="Arial" w:hAnsi="Arial" w:cs="Arial"/>
          <w:i/>
          <w:iCs/>
          <w:lang w:val="en-GB"/>
        </w:rPr>
        <w:t>% confidence interval are indicated.</w:t>
      </w:r>
    </w:p>
    <w:p w14:paraId="05C41C87" w14:textId="77777777" w:rsidR="006C36AE" w:rsidRPr="00BB5C4B" w:rsidRDefault="006C36AE">
      <w:pPr>
        <w:rPr>
          <w:rFonts w:ascii="Arial" w:hAnsi="Arial" w:cs="Arial"/>
          <w:lang w:val="en-GB"/>
        </w:rPr>
      </w:pPr>
    </w:p>
    <w:p w14:paraId="49D88A16" w14:textId="77777777" w:rsidR="006C36AE" w:rsidRPr="00BB5C4B" w:rsidRDefault="006C36AE">
      <w:pPr>
        <w:rPr>
          <w:rFonts w:ascii="Arial" w:hAnsi="Arial" w:cs="Arial"/>
          <w:lang w:val="en-GB"/>
        </w:rPr>
      </w:pPr>
    </w:p>
    <w:p w14:paraId="21F62481" w14:textId="77777777" w:rsidR="006C36AE" w:rsidRPr="00BB5C4B" w:rsidRDefault="006C36AE">
      <w:pPr>
        <w:rPr>
          <w:rFonts w:ascii="Arial" w:hAnsi="Arial" w:cs="Arial"/>
          <w:lang w:val="en-GB"/>
        </w:rPr>
      </w:pPr>
    </w:p>
    <w:p w14:paraId="1A126CF6" w14:textId="0BDECBE1" w:rsidR="00865FAE" w:rsidRPr="00BB5C4B" w:rsidRDefault="00865FAE" w:rsidP="006C36AE">
      <w:pPr>
        <w:jc w:val="both"/>
        <w:rPr>
          <w:rFonts w:ascii="Arial" w:hAnsi="Arial" w:cs="Arial"/>
          <w:b/>
          <w:bCs/>
          <w:i/>
          <w:iCs/>
          <w:lang w:val="en-GB"/>
        </w:rPr>
      </w:pPr>
    </w:p>
    <w:p w14:paraId="4B6EE41D" w14:textId="723D948B" w:rsidR="00F51085" w:rsidRPr="00BB5C4B" w:rsidRDefault="00F51085" w:rsidP="006C36AE">
      <w:pPr>
        <w:jc w:val="both"/>
        <w:rPr>
          <w:rFonts w:ascii="Arial" w:hAnsi="Arial" w:cs="Arial"/>
          <w:b/>
          <w:bCs/>
          <w:i/>
          <w:iCs/>
          <w:lang w:val="en-GB"/>
        </w:rPr>
      </w:pPr>
      <w:r w:rsidRPr="00BB5C4B">
        <w:rPr>
          <w:rFonts w:ascii="Arial" w:hAnsi="Arial" w:cs="Arial"/>
          <w:b/>
          <w:bCs/>
          <w:i/>
          <w:iCs/>
          <w:noProof/>
          <w:lang w:val="en-GB"/>
        </w:rPr>
        <w:lastRenderedPageBreak/>
        <w:drawing>
          <wp:inline distT="0" distB="0" distL="0" distR="0" wp14:anchorId="3F789A33" wp14:editId="07AE4722">
            <wp:extent cx="5760720" cy="2096770"/>
            <wp:effectExtent l="0" t="0" r="5080" b="0"/>
            <wp:docPr id="1128804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04890" name=""/>
                    <pic:cNvPicPr/>
                  </pic:nvPicPr>
                  <pic:blipFill>
                    <a:blip r:embed="rId8"/>
                    <a:stretch>
                      <a:fillRect/>
                    </a:stretch>
                  </pic:blipFill>
                  <pic:spPr>
                    <a:xfrm>
                      <a:off x="0" y="0"/>
                      <a:ext cx="5760720" cy="2096770"/>
                    </a:xfrm>
                    <a:prstGeom prst="rect">
                      <a:avLst/>
                    </a:prstGeom>
                  </pic:spPr>
                </pic:pic>
              </a:graphicData>
            </a:graphic>
          </wp:inline>
        </w:drawing>
      </w:r>
    </w:p>
    <w:p w14:paraId="0BDFEB7B" w14:textId="281072D7" w:rsidR="006C36AE" w:rsidRPr="00BB5C4B" w:rsidRDefault="006C36AE" w:rsidP="006C36AE">
      <w:pPr>
        <w:jc w:val="both"/>
        <w:rPr>
          <w:rFonts w:ascii="Arial" w:hAnsi="Arial" w:cs="Arial"/>
          <w:i/>
          <w:iCs/>
          <w:lang w:val="en-US"/>
        </w:rPr>
      </w:pPr>
      <w:r w:rsidRPr="00BB5C4B">
        <w:rPr>
          <w:rFonts w:ascii="Arial" w:hAnsi="Arial" w:cs="Arial"/>
          <w:b/>
          <w:bCs/>
          <w:i/>
          <w:iCs/>
          <w:lang w:val="en-GB"/>
        </w:rPr>
        <w:t>Supplementa</w:t>
      </w:r>
      <w:r w:rsidR="006A136C" w:rsidRPr="00BB5C4B">
        <w:rPr>
          <w:rFonts w:ascii="Arial" w:hAnsi="Arial" w:cs="Arial"/>
          <w:b/>
          <w:bCs/>
          <w:i/>
          <w:iCs/>
          <w:lang w:val="en-GB"/>
        </w:rPr>
        <w:t>ry</w:t>
      </w:r>
      <w:r w:rsidRPr="00BB5C4B">
        <w:rPr>
          <w:rFonts w:ascii="Arial" w:hAnsi="Arial" w:cs="Arial"/>
          <w:b/>
          <w:bCs/>
          <w:i/>
          <w:iCs/>
          <w:lang w:val="en-GB"/>
        </w:rPr>
        <w:t xml:space="preserve"> Figure </w:t>
      </w:r>
      <w:r w:rsidR="006A136C" w:rsidRPr="00BB5C4B">
        <w:rPr>
          <w:rFonts w:ascii="Arial" w:hAnsi="Arial" w:cs="Arial"/>
          <w:b/>
          <w:bCs/>
          <w:i/>
          <w:iCs/>
          <w:lang w:val="en-GB"/>
        </w:rPr>
        <w:t>S</w:t>
      </w:r>
      <w:r w:rsidRPr="00BB5C4B">
        <w:rPr>
          <w:rFonts w:ascii="Arial" w:hAnsi="Arial" w:cs="Arial"/>
          <w:b/>
          <w:bCs/>
          <w:i/>
          <w:iCs/>
          <w:lang w:val="en-GB"/>
        </w:rPr>
        <w:t>3. Transitions observed for CSF biomarkers.</w:t>
      </w:r>
      <w:r w:rsidRPr="00BB5C4B">
        <w:rPr>
          <w:rFonts w:ascii="Arial" w:hAnsi="Arial" w:cs="Arial"/>
          <w:i/>
          <w:iCs/>
          <w:lang w:val="en-GB"/>
        </w:rPr>
        <w:t xml:space="preserve"> A+: Aβ pathology, T+: tau pathology, LB+ aSyn pathology as quantified by SAA. Numbers correspond to the percentages of transitions observed between BL and FU, relative to the number of BL samples with that pattern of biomarkers.</w:t>
      </w:r>
    </w:p>
    <w:p w14:paraId="0BE9364E" w14:textId="77777777" w:rsidR="006C36AE" w:rsidRPr="00BB5C4B" w:rsidRDefault="006C36AE">
      <w:pPr>
        <w:rPr>
          <w:rFonts w:ascii="Arial" w:hAnsi="Arial" w:cs="Arial"/>
          <w:lang w:val="en-US"/>
        </w:rPr>
      </w:pPr>
    </w:p>
    <w:p w14:paraId="1D843C63" w14:textId="77777777" w:rsidR="006C36AE" w:rsidRPr="00BB5C4B" w:rsidRDefault="006C36AE">
      <w:pPr>
        <w:rPr>
          <w:rFonts w:ascii="Arial" w:hAnsi="Arial" w:cs="Arial"/>
          <w:lang w:val="en-US"/>
        </w:rPr>
      </w:pPr>
    </w:p>
    <w:p w14:paraId="246EA2A0" w14:textId="77777777" w:rsidR="006C36AE" w:rsidRPr="00BB5C4B" w:rsidRDefault="006C36AE">
      <w:pPr>
        <w:rPr>
          <w:rFonts w:ascii="Arial" w:hAnsi="Arial" w:cs="Arial"/>
          <w:lang w:val="en-US"/>
        </w:rPr>
      </w:pPr>
    </w:p>
    <w:p w14:paraId="52BE7094" w14:textId="09DDB199" w:rsidR="006C36AE" w:rsidRPr="00BB5C4B" w:rsidRDefault="00F51085">
      <w:pPr>
        <w:rPr>
          <w:rFonts w:ascii="Arial" w:hAnsi="Arial" w:cs="Arial"/>
          <w:lang w:val="en-US"/>
        </w:rPr>
      </w:pPr>
      <w:r w:rsidRPr="00BB5C4B">
        <w:rPr>
          <w:rFonts w:ascii="Arial" w:hAnsi="Arial" w:cs="Arial"/>
          <w:b/>
          <w:bCs/>
          <w:i/>
          <w:iCs/>
          <w:lang w:val="en-GB"/>
        </w:rPr>
        <w:t>Supplementary Table S1. Reproducibility of qnSAA TT2 values.</w:t>
      </w:r>
    </w:p>
    <w:tbl>
      <w:tblPr>
        <w:tblStyle w:val="Tabellenraster"/>
        <w:tblW w:w="8784" w:type="dxa"/>
        <w:tblLayout w:type="fixed"/>
        <w:tblLook w:val="04A0" w:firstRow="1" w:lastRow="0" w:firstColumn="1" w:lastColumn="0" w:noHBand="0" w:noVBand="1"/>
      </w:tblPr>
      <w:tblGrid>
        <w:gridCol w:w="896"/>
        <w:gridCol w:w="1227"/>
        <w:gridCol w:w="1274"/>
        <w:gridCol w:w="1419"/>
        <w:gridCol w:w="1275"/>
        <w:gridCol w:w="1277"/>
        <w:gridCol w:w="1416"/>
      </w:tblGrid>
      <w:tr w:rsidR="006C36AE" w:rsidRPr="00BB5C4B" w14:paraId="27DE6A62" w14:textId="77777777" w:rsidTr="00C260B2">
        <w:tc>
          <w:tcPr>
            <w:tcW w:w="895" w:type="dxa"/>
          </w:tcPr>
          <w:p w14:paraId="6DA133CB" w14:textId="77777777" w:rsidR="006C36AE" w:rsidRPr="00BB5C4B" w:rsidRDefault="006C36AE" w:rsidP="00C260B2">
            <w:pPr>
              <w:rPr>
                <w:rFonts w:ascii="Arial" w:hAnsi="Arial" w:cs="Arial"/>
              </w:rPr>
            </w:pPr>
            <w:r w:rsidRPr="00BB5C4B">
              <w:rPr>
                <w:rFonts w:ascii="Arial" w:eastAsia="Aptos" w:hAnsi="Arial" w:cs="Arial"/>
              </w:rPr>
              <w:t>Sample</w:t>
            </w:r>
          </w:p>
        </w:tc>
        <w:tc>
          <w:tcPr>
            <w:tcW w:w="1227" w:type="dxa"/>
          </w:tcPr>
          <w:p w14:paraId="5C4CEDDA" w14:textId="77777777" w:rsidR="006C36AE" w:rsidRPr="00BB5C4B" w:rsidRDefault="006C36AE" w:rsidP="00C260B2">
            <w:pPr>
              <w:rPr>
                <w:rFonts w:ascii="Arial" w:hAnsi="Arial" w:cs="Arial"/>
              </w:rPr>
            </w:pPr>
            <w:r w:rsidRPr="00BB5C4B">
              <w:rPr>
                <w:rFonts w:ascii="Arial" w:eastAsia="Aptos" w:hAnsi="Arial" w:cs="Arial"/>
              </w:rPr>
              <w:t xml:space="preserve">TT2 EXP1 in </w:t>
            </w:r>
            <w:proofErr w:type="spellStart"/>
            <w:r w:rsidRPr="00BB5C4B">
              <w:rPr>
                <w:rFonts w:ascii="Arial" w:eastAsia="Aptos" w:hAnsi="Arial" w:cs="Arial"/>
              </w:rPr>
              <w:t>hours</w:t>
            </w:r>
            <w:proofErr w:type="spellEnd"/>
          </w:p>
        </w:tc>
        <w:tc>
          <w:tcPr>
            <w:tcW w:w="1274" w:type="dxa"/>
          </w:tcPr>
          <w:p w14:paraId="0E4DAED2" w14:textId="77777777" w:rsidR="006C36AE" w:rsidRPr="00BB5C4B" w:rsidRDefault="006C36AE" w:rsidP="00C260B2">
            <w:pPr>
              <w:rPr>
                <w:rFonts w:ascii="Arial" w:hAnsi="Arial" w:cs="Arial"/>
              </w:rPr>
            </w:pPr>
            <w:r w:rsidRPr="00BB5C4B">
              <w:rPr>
                <w:rFonts w:ascii="Arial" w:eastAsia="Aptos" w:hAnsi="Arial" w:cs="Arial"/>
              </w:rPr>
              <w:t xml:space="preserve">TT2 EXP2 in </w:t>
            </w:r>
            <w:proofErr w:type="spellStart"/>
            <w:r w:rsidRPr="00BB5C4B">
              <w:rPr>
                <w:rFonts w:ascii="Arial" w:eastAsia="Aptos" w:hAnsi="Arial" w:cs="Arial"/>
              </w:rPr>
              <w:t>hours</w:t>
            </w:r>
            <w:proofErr w:type="spellEnd"/>
          </w:p>
        </w:tc>
        <w:tc>
          <w:tcPr>
            <w:tcW w:w="1419" w:type="dxa"/>
          </w:tcPr>
          <w:p w14:paraId="553873F9" w14:textId="77777777" w:rsidR="006C36AE" w:rsidRPr="00BB5C4B" w:rsidRDefault="006C36AE" w:rsidP="00C260B2">
            <w:pPr>
              <w:rPr>
                <w:rFonts w:ascii="Arial" w:hAnsi="Arial" w:cs="Arial"/>
              </w:rPr>
            </w:pPr>
            <w:r w:rsidRPr="00BB5C4B">
              <w:rPr>
                <w:rFonts w:ascii="Arial" w:eastAsia="Aptos" w:hAnsi="Arial" w:cs="Arial"/>
              </w:rPr>
              <w:t xml:space="preserve">TT2 EXP3 in </w:t>
            </w:r>
            <w:proofErr w:type="spellStart"/>
            <w:r w:rsidRPr="00BB5C4B">
              <w:rPr>
                <w:rFonts w:ascii="Arial" w:eastAsia="Aptos" w:hAnsi="Arial" w:cs="Arial"/>
              </w:rPr>
              <w:t>hours</w:t>
            </w:r>
            <w:proofErr w:type="spellEnd"/>
          </w:p>
        </w:tc>
        <w:tc>
          <w:tcPr>
            <w:tcW w:w="1275" w:type="dxa"/>
          </w:tcPr>
          <w:p w14:paraId="71C5EE72" w14:textId="77777777" w:rsidR="006C36AE" w:rsidRPr="00BB5C4B" w:rsidRDefault="006C36AE" w:rsidP="00C260B2">
            <w:pPr>
              <w:rPr>
                <w:rFonts w:ascii="Arial" w:hAnsi="Arial" w:cs="Arial"/>
              </w:rPr>
            </w:pPr>
            <w:r w:rsidRPr="00BB5C4B">
              <w:rPr>
                <w:rFonts w:ascii="Arial" w:eastAsia="Aptos" w:hAnsi="Arial" w:cs="Arial"/>
              </w:rPr>
              <w:t xml:space="preserve">TT2 EXP4 in </w:t>
            </w:r>
            <w:proofErr w:type="spellStart"/>
            <w:r w:rsidRPr="00BB5C4B">
              <w:rPr>
                <w:rFonts w:ascii="Arial" w:eastAsia="Aptos" w:hAnsi="Arial" w:cs="Arial"/>
              </w:rPr>
              <w:t>hours</w:t>
            </w:r>
            <w:proofErr w:type="spellEnd"/>
          </w:p>
        </w:tc>
        <w:tc>
          <w:tcPr>
            <w:tcW w:w="1277" w:type="dxa"/>
          </w:tcPr>
          <w:p w14:paraId="51598732" w14:textId="77777777" w:rsidR="006C36AE" w:rsidRPr="00BB5C4B" w:rsidRDefault="006C36AE" w:rsidP="00C260B2">
            <w:pPr>
              <w:rPr>
                <w:rFonts w:ascii="Arial" w:hAnsi="Arial" w:cs="Arial"/>
              </w:rPr>
            </w:pPr>
            <w:proofErr w:type="spellStart"/>
            <w:r w:rsidRPr="00BB5C4B">
              <w:rPr>
                <w:rFonts w:ascii="Arial" w:eastAsia="Aptos" w:hAnsi="Arial" w:cs="Arial"/>
              </w:rPr>
              <w:t>mean</w:t>
            </w:r>
            <w:proofErr w:type="spellEnd"/>
            <w:r w:rsidRPr="00BB5C4B">
              <w:rPr>
                <w:rFonts w:ascii="Arial" w:eastAsia="Aptos" w:hAnsi="Arial" w:cs="Arial"/>
              </w:rPr>
              <w:t xml:space="preserve"> (SD) in </w:t>
            </w:r>
            <w:proofErr w:type="spellStart"/>
            <w:r w:rsidRPr="00BB5C4B">
              <w:rPr>
                <w:rFonts w:ascii="Arial" w:eastAsia="Aptos" w:hAnsi="Arial" w:cs="Arial"/>
              </w:rPr>
              <w:t>hours</w:t>
            </w:r>
            <w:proofErr w:type="spellEnd"/>
          </w:p>
        </w:tc>
        <w:tc>
          <w:tcPr>
            <w:tcW w:w="1416" w:type="dxa"/>
          </w:tcPr>
          <w:p w14:paraId="72A465B3" w14:textId="77777777" w:rsidR="006C36AE" w:rsidRPr="00BB5C4B" w:rsidRDefault="006C36AE" w:rsidP="00C260B2">
            <w:pPr>
              <w:rPr>
                <w:rFonts w:ascii="Arial" w:hAnsi="Arial" w:cs="Arial"/>
                <w:lang w:val="en-GB"/>
              </w:rPr>
            </w:pPr>
            <w:r w:rsidRPr="00BB5C4B">
              <w:rPr>
                <w:rFonts w:ascii="Arial" w:eastAsia="Aptos" w:hAnsi="Arial" w:cs="Arial"/>
              </w:rPr>
              <w:t>Δ</w:t>
            </w:r>
            <w:r w:rsidRPr="00BB5C4B">
              <w:rPr>
                <w:rFonts w:ascii="Arial" w:eastAsia="Aptos" w:hAnsi="Arial" w:cs="Arial"/>
                <w:lang w:val="en-GB"/>
              </w:rPr>
              <w:t>(max-min) in hours</w:t>
            </w:r>
          </w:p>
        </w:tc>
      </w:tr>
      <w:tr w:rsidR="006C36AE" w:rsidRPr="00BB5C4B" w14:paraId="0D44C905" w14:textId="77777777" w:rsidTr="00C260B2">
        <w:tc>
          <w:tcPr>
            <w:tcW w:w="895" w:type="dxa"/>
          </w:tcPr>
          <w:p w14:paraId="1AA3E9E0" w14:textId="77777777" w:rsidR="006C36AE" w:rsidRPr="00BB5C4B" w:rsidRDefault="006C36AE" w:rsidP="00C260B2">
            <w:pPr>
              <w:jc w:val="center"/>
              <w:rPr>
                <w:rFonts w:ascii="Arial" w:hAnsi="Arial" w:cs="Arial"/>
              </w:rPr>
            </w:pPr>
            <w:r w:rsidRPr="00BB5C4B">
              <w:rPr>
                <w:rFonts w:ascii="Arial" w:eastAsia="Aptos" w:hAnsi="Arial" w:cs="Arial"/>
              </w:rPr>
              <w:t>A</w:t>
            </w:r>
          </w:p>
        </w:tc>
        <w:tc>
          <w:tcPr>
            <w:tcW w:w="1227" w:type="dxa"/>
          </w:tcPr>
          <w:p w14:paraId="1D4FF9AA" w14:textId="77777777" w:rsidR="006C36AE" w:rsidRPr="00BB5C4B" w:rsidRDefault="006C36AE" w:rsidP="00C260B2">
            <w:pPr>
              <w:jc w:val="center"/>
              <w:rPr>
                <w:rFonts w:ascii="Arial" w:hAnsi="Arial" w:cs="Arial"/>
              </w:rPr>
            </w:pPr>
            <w:r w:rsidRPr="00BB5C4B">
              <w:rPr>
                <w:rFonts w:ascii="Arial" w:eastAsia="Aptos" w:hAnsi="Arial" w:cs="Arial"/>
              </w:rPr>
              <w:t>14.25</w:t>
            </w:r>
          </w:p>
        </w:tc>
        <w:tc>
          <w:tcPr>
            <w:tcW w:w="1274" w:type="dxa"/>
          </w:tcPr>
          <w:p w14:paraId="2029A695" w14:textId="77777777" w:rsidR="006C36AE" w:rsidRPr="00BB5C4B" w:rsidRDefault="006C36AE" w:rsidP="00C260B2">
            <w:pPr>
              <w:jc w:val="center"/>
              <w:rPr>
                <w:rFonts w:ascii="Arial" w:hAnsi="Arial" w:cs="Arial"/>
              </w:rPr>
            </w:pPr>
            <w:r w:rsidRPr="00BB5C4B">
              <w:rPr>
                <w:rFonts w:ascii="Arial" w:eastAsia="Aptos" w:hAnsi="Arial" w:cs="Arial"/>
              </w:rPr>
              <w:t>15.0</w:t>
            </w:r>
          </w:p>
        </w:tc>
        <w:tc>
          <w:tcPr>
            <w:tcW w:w="1419" w:type="dxa"/>
          </w:tcPr>
          <w:p w14:paraId="78E861F7" w14:textId="77777777" w:rsidR="006C36AE" w:rsidRPr="00BB5C4B" w:rsidRDefault="006C36AE" w:rsidP="00C260B2">
            <w:pPr>
              <w:jc w:val="center"/>
              <w:rPr>
                <w:rFonts w:ascii="Arial" w:hAnsi="Arial" w:cs="Arial"/>
              </w:rPr>
            </w:pPr>
            <w:r w:rsidRPr="00BB5C4B">
              <w:rPr>
                <w:rFonts w:ascii="Arial" w:eastAsia="Aptos" w:hAnsi="Arial" w:cs="Arial"/>
              </w:rPr>
              <w:t>14.25</w:t>
            </w:r>
          </w:p>
        </w:tc>
        <w:tc>
          <w:tcPr>
            <w:tcW w:w="1275" w:type="dxa"/>
          </w:tcPr>
          <w:p w14:paraId="060337A5" w14:textId="77777777" w:rsidR="006C36AE" w:rsidRPr="00BB5C4B" w:rsidRDefault="006C36AE" w:rsidP="00C260B2">
            <w:pPr>
              <w:jc w:val="center"/>
              <w:rPr>
                <w:rFonts w:ascii="Arial" w:hAnsi="Arial" w:cs="Arial"/>
              </w:rPr>
            </w:pPr>
            <w:r w:rsidRPr="00BB5C4B">
              <w:rPr>
                <w:rFonts w:ascii="Arial" w:eastAsia="Aptos" w:hAnsi="Arial" w:cs="Arial"/>
              </w:rPr>
              <w:t>15.75</w:t>
            </w:r>
          </w:p>
        </w:tc>
        <w:tc>
          <w:tcPr>
            <w:tcW w:w="1277" w:type="dxa"/>
          </w:tcPr>
          <w:p w14:paraId="447A729C" w14:textId="77777777" w:rsidR="006C36AE" w:rsidRPr="00BB5C4B" w:rsidRDefault="006C36AE" w:rsidP="00C260B2">
            <w:pPr>
              <w:jc w:val="center"/>
              <w:rPr>
                <w:rFonts w:ascii="Arial" w:hAnsi="Arial" w:cs="Arial"/>
              </w:rPr>
            </w:pPr>
            <w:r w:rsidRPr="00BB5C4B">
              <w:rPr>
                <w:rFonts w:ascii="Arial" w:eastAsia="Aptos" w:hAnsi="Arial" w:cs="Arial"/>
              </w:rPr>
              <w:t>14.8 (0.7)</w:t>
            </w:r>
          </w:p>
        </w:tc>
        <w:tc>
          <w:tcPr>
            <w:tcW w:w="1416" w:type="dxa"/>
          </w:tcPr>
          <w:p w14:paraId="288B90F5" w14:textId="77777777" w:rsidR="006C36AE" w:rsidRPr="00BB5C4B" w:rsidRDefault="006C36AE" w:rsidP="00C260B2">
            <w:pPr>
              <w:jc w:val="center"/>
              <w:rPr>
                <w:rFonts w:ascii="Arial" w:hAnsi="Arial" w:cs="Arial"/>
              </w:rPr>
            </w:pPr>
            <w:r w:rsidRPr="00BB5C4B">
              <w:rPr>
                <w:rFonts w:ascii="Arial" w:eastAsia="Aptos" w:hAnsi="Arial" w:cs="Arial"/>
              </w:rPr>
              <w:t>1.5</w:t>
            </w:r>
          </w:p>
        </w:tc>
      </w:tr>
      <w:tr w:rsidR="006C36AE" w:rsidRPr="00BB5C4B" w14:paraId="73C7D880" w14:textId="77777777" w:rsidTr="00C260B2">
        <w:tc>
          <w:tcPr>
            <w:tcW w:w="895" w:type="dxa"/>
          </w:tcPr>
          <w:p w14:paraId="22E07945" w14:textId="77777777" w:rsidR="006C36AE" w:rsidRPr="00BB5C4B" w:rsidRDefault="006C36AE" w:rsidP="00C260B2">
            <w:pPr>
              <w:jc w:val="center"/>
              <w:rPr>
                <w:rFonts w:ascii="Arial" w:hAnsi="Arial" w:cs="Arial"/>
              </w:rPr>
            </w:pPr>
            <w:r w:rsidRPr="00BB5C4B">
              <w:rPr>
                <w:rFonts w:ascii="Arial" w:eastAsia="Aptos" w:hAnsi="Arial" w:cs="Arial"/>
              </w:rPr>
              <w:t>B</w:t>
            </w:r>
          </w:p>
        </w:tc>
        <w:tc>
          <w:tcPr>
            <w:tcW w:w="1227" w:type="dxa"/>
          </w:tcPr>
          <w:p w14:paraId="1899053D" w14:textId="77777777" w:rsidR="006C36AE" w:rsidRPr="00BB5C4B" w:rsidRDefault="006C36AE" w:rsidP="00C260B2">
            <w:pPr>
              <w:jc w:val="center"/>
              <w:rPr>
                <w:rFonts w:ascii="Arial" w:hAnsi="Arial" w:cs="Arial"/>
              </w:rPr>
            </w:pPr>
            <w:r w:rsidRPr="00BB5C4B">
              <w:rPr>
                <w:rFonts w:ascii="Arial" w:eastAsia="Aptos" w:hAnsi="Arial" w:cs="Arial"/>
              </w:rPr>
              <w:t>18.0</w:t>
            </w:r>
          </w:p>
        </w:tc>
        <w:tc>
          <w:tcPr>
            <w:tcW w:w="1274" w:type="dxa"/>
          </w:tcPr>
          <w:p w14:paraId="416ABF57" w14:textId="77777777" w:rsidR="006C36AE" w:rsidRPr="00BB5C4B" w:rsidRDefault="006C36AE" w:rsidP="00C260B2">
            <w:pPr>
              <w:jc w:val="center"/>
              <w:rPr>
                <w:rFonts w:ascii="Arial" w:hAnsi="Arial" w:cs="Arial"/>
              </w:rPr>
            </w:pPr>
            <w:r w:rsidRPr="00BB5C4B">
              <w:rPr>
                <w:rFonts w:ascii="Arial" w:eastAsia="Aptos" w:hAnsi="Arial" w:cs="Arial"/>
              </w:rPr>
              <w:t>17.25</w:t>
            </w:r>
          </w:p>
        </w:tc>
        <w:tc>
          <w:tcPr>
            <w:tcW w:w="1419" w:type="dxa"/>
          </w:tcPr>
          <w:p w14:paraId="373B3FB4" w14:textId="77777777" w:rsidR="006C36AE" w:rsidRPr="00BB5C4B" w:rsidRDefault="006C36AE" w:rsidP="00C260B2">
            <w:pPr>
              <w:jc w:val="center"/>
              <w:rPr>
                <w:rFonts w:ascii="Arial" w:hAnsi="Arial" w:cs="Arial"/>
              </w:rPr>
            </w:pPr>
            <w:r w:rsidRPr="00BB5C4B">
              <w:rPr>
                <w:rFonts w:ascii="Arial" w:eastAsia="Aptos" w:hAnsi="Arial" w:cs="Arial"/>
              </w:rPr>
              <w:t>17.25</w:t>
            </w:r>
          </w:p>
        </w:tc>
        <w:tc>
          <w:tcPr>
            <w:tcW w:w="1275" w:type="dxa"/>
          </w:tcPr>
          <w:p w14:paraId="7707A0B9" w14:textId="77777777" w:rsidR="006C36AE" w:rsidRPr="00BB5C4B" w:rsidRDefault="006C36AE" w:rsidP="00C260B2">
            <w:pPr>
              <w:jc w:val="center"/>
              <w:rPr>
                <w:rFonts w:ascii="Arial" w:hAnsi="Arial" w:cs="Arial"/>
              </w:rPr>
            </w:pPr>
            <w:r w:rsidRPr="00BB5C4B">
              <w:rPr>
                <w:rFonts w:ascii="Arial" w:eastAsia="Aptos" w:hAnsi="Arial" w:cs="Arial"/>
              </w:rPr>
              <w:t>20.25</w:t>
            </w:r>
          </w:p>
        </w:tc>
        <w:tc>
          <w:tcPr>
            <w:tcW w:w="1277" w:type="dxa"/>
          </w:tcPr>
          <w:p w14:paraId="7AADCC38" w14:textId="77777777" w:rsidR="006C36AE" w:rsidRPr="00BB5C4B" w:rsidRDefault="006C36AE" w:rsidP="00C260B2">
            <w:pPr>
              <w:jc w:val="center"/>
              <w:rPr>
                <w:rFonts w:ascii="Arial" w:hAnsi="Arial" w:cs="Arial"/>
              </w:rPr>
            </w:pPr>
            <w:r w:rsidRPr="00BB5C4B">
              <w:rPr>
                <w:rFonts w:ascii="Arial" w:eastAsia="Aptos" w:hAnsi="Arial" w:cs="Arial"/>
              </w:rPr>
              <w:t>18.2 (1.4)</w:t>
            </w:r>
          </w:p>
        </w:tc>
        <w:tc>
          <w:tcPr>
            <w:tcW w:w="1416" w:type="dxa"/>
          </w:tcPr>
          <w:p w14:paraId="788079A6" w14:textId="77777777" w:rsidR="006C36AE" w:rsidRPr="00BB5C4B" w:rsidRDefault="006C36AE" w:rsidP="00C260B2">
            <w:pPr>
              <w:jc w:val="center"/>
              <w:rPr>
                <w:rFonts w:ascii="Arial" w:hAnsi="Arial" w:cs="Arial"/>
              </w:rPr>
            </w:pPr>
            <w:r w:rsidRPr="00BB5C4B">
              <w:rPr>
                <w:rFonts w:ascii="Arial" w:eastAsia="Aptos" w:hAnsi="Arial" w:cs="Arial"/>
              </w:rPr>
              <w:t>3.0</w:t>
            </w:r>
          </w:p>
        </w:tc>
      </w:tr>
      <w:tr w:rsidR="006C36AE" w:rsidRPr="00BB5C4B" w14:paraId="67B8102C" w14:textId="77777777" w:rsidTr="00C260B2">
        <w:tc>
          <w:tcPr>
            <w:tcW w:w="895" w:type="dxa"/>
          </w:tcPr>
          <w:p w14:paraId="54C9A8CD" w14:textId="77777777" w:rsidR="006C36AE" w:rsidRPr="00BB5C4B" w:rsidRDefault="006C36AE" w:rsidP="00C260B2">
            <w:pPr>
              <w:jc w:val="center"/>
              <w:rPr>
                <w:rFonts w:ascii="Arial" w:hAnsi="Arial" w:cs="Arial"/>
              </w:rPr>
            </w:pPr>
            <w:r w:rsidRPr="00BB5C4B">
              <w:rPr>
                <w:rFonts w:ascii="Arial" w:eastAsia="Aptos" w:hAnsi="Arial" w:cs="Arial"/>
              </w:rPr>
              <w:t>C</w:t>
            </w:r>
          </w:p>
        </w:tc>
        <w:tc>
          <w:tcPr>
            <w:tcW w:w="1227" w:type="dxa"/>
          </w:tcPr>
          <w:p w14:paraId="575D9584" w14:textId="77777777" w:rsidR="006C36AE" w:rsidRPr="00BB5C4B" w:rsidRDefault="006C36AE" w:rsidP="00C260B2">
            <w:pPr>
              <w:jc w:val="center"/>
              <w:rPr>
                <w:rFonts w:ascii="Arial" w:hAnsi="Arial" w:cs="Arial"/>
              </w:rPr>
            </w:pPr>
            <w:r w:rsidRPr="00BB5C4B">
              <w:rPr>
                <w:rFonts w:ascii="Arial" w:eastAsia="Aptos" w:hAnsi="Arial" w:cs="Arial"/>
              </w:rPr>
              <w:t>20.25</w:t>
            </w:r>
          </w:p>
        </w:tc>
        <w:tc>
          <w:tcPr>
            <w:tcW w:w="1274" w:type="dxa"/>
          </w:tcPr>
          <w:p w14:paraId="3C3DC903" w14:textId="77777777" w:rsidR="006C36AE" w:rsidRPr="00BB5C4B" w:rsidRDefault="006C36AE" w:rsidP="00C260B2">
            <w:pPr>
              <w:jc w:val="center"/>
              <w:rPr>
                <w:rFonts w:ascii="Arial" w:hAnsi="Arial" w:cs="Arial"/>
              </w:rPr>
            </w:pPr>
            <w:r w:rsidRPr="00BB5C4B">
              <w:rPr>
                <w:rFonts w:ascii="Arial" w:eastAsia="Aptos" w:hAnsi="Arial" w:cs="Arial"/>
              </w:rPr>
              <w:t>22.5</w:t>
            </w:r>
          </w:p>
        </w:tc>
        <w:tc>
          <w:tcPr>
            <w:tcW w:w="1419" w:type="dxa"/>
          </w:tcPr>
          <w:p w14:paraId="29554CB0" w14:textId="77777777" w:rsidR="006C36AE" w:rsidRPr="00BB5C4B" w:rsidRDefault="006C36AE" w:rsidP="00C260B2">
            <w:pPr>
              <w:jc w:val="center"/>
              <w:rPr>
                <w:rFonts w:ascii="Arial" w:hAnsi="Arial" w:cs="Arial"/>
              </w:rPr>
            </w:pPr>
            <w:r w:rsidRPr="00BB5C4B">
              <w:rPr>
                <w:rFonts w:ascii="Arial" w:eastAsia="Aptos" w:hAnsi="Arial" w:cs="Arial"/>
              </w:rPr>
              <w:t>22.5</w:t>
            </w:r>
          </w:p>
        </w:tc>
        <w:tc>
          <w:tcPr>
            <w:tcW w:w="1275" w:type="dxa"/>
          </w:tcPr>
          <w:p w14:paraId="486BB22F" w14:textId="77777777" w:rsidR="006C36AE" w:rsidRPr="00BB5C4B" w:rsidRDefault="006C36AE" w:rsidP="00C260B2">
            <w:pPr>
              <w:jc w:val="center"/>
              <w:rPr>
                <w:rFonts w:ascii="Arial" w:hAnsi="Arial" w:cs="Arial"/>
              </w:rPr>
            </w:pPr>
            <w:r w:rsidRPr="00BB5C4B">
              <w:rPr>
                <w:rFonts w:ascii="Arial" w:eastAsia="Aptos" w:hAnsi="Arial" w:cs="Arial"/>
              </w:rPr>
              <w:t>22.5</w:t>
            </w:r>
          </w:p>
        </w:tc>
        <w:tc>
          <w:tcPr>
            <w:tcW w:w="1277" w:type="dxa"/>
          </w:tcPr>
          <w:p w14:paraId="669FA264" w14:textId="77777777" w:rsidR="006C36AE" w:rsidRPr="00BB5C4B" w:rsidRDefault="006C36AE" w:rsidP="00C260B2">
            <w:pPr>
              <w:jc w:val="center"/>
              <w:rPr>
                <w:rFonts w:ascii="Arial" w:hAnsi="Arial" w:cs="Arial"/>
              </w:rPr>
            </w:pPr>
            <w:r w:rsidRPr="00BB5C4B">
              <w:rPr>
                <w:rFonts w:ascii="Arial" w:eastAsia="Aptos" w:hAnsi="Arial" w:cs="Arial"/>
              </w:rPr>
              <w:t>21.9 (1.1)</w:t>
            </w:r>
          </w:p>
        </w:tc>
        <w:tc>
          <w:tcPr>
            <w:tcW w:w="1416" w:type="dxa"/>
          </w:tcPr>
          <w:p w14:paraId="1525D70F" w14:textId="77777777" w:rsidR="006C36AE" w:rsidRPr="00BB5C4B" w:rsidRDefault="006C36AE" w:rsidP="00C260B2">
            <w:pPr>
              <w:jc w:val="center"/>
              <w:rPr>
                <w:rFonts w:ascii="Arial" w:hAnsi="Arial" w:cs="Arial"/>
              </w:rPr>
            </w:pPr>
            <w:r w:rsidRPr="00BB5C4B">
              <w:rPr>
                <w:rFonts w:ascii="Arial" w:eastAsia="Aptos" w:hAnsi="Arial" w:cs="Arial"/>
              </w:rPr>
              <w:t>2.25</w:t>
            </w:r>
          </w:p>
        </w:tc>
      </w:tr>
      <w:tr w:rsidR="006C36AE" w:rsidRPr="00BB5C4B" w14:paraId="59D36C69" w14:textId="77777777" w:rsidTr="00C260B2">
        <w:tc>
          <w:tcPr>
            <w:tcW w:w="895" w:type="dxa"/>
          </w:tcPr>
          <w:p w14:paraId="1B514AE4" w14:textId="77777777" w:rsidR="006C36AE" w:rsidRPr="00BB5C4B" w:rsidRDefault="006C36AE" w:rsidP="00C260B2">
            <w:pPr>
              <w:jc w:val="center"/>
              <w:rPr>
                <w:rFonts w:ascii="Arial" w:hAnsi="Arial" w:cs="Arial"/>
              </w:rPr>
            </w:pPr>
            <w:r w:rsidRPr="00BB5C4B">
              <w:rPr>
                <w:rFonts w:ascii="Arial" w:eastAsia="Aptos" w:hAnsi="Arial" w:cs="Arial"/>
              </w:rPr>
              <w:t>D</w:t>
            </w:r>
          </w:p>
        </w:tc>
        <w:tc>
          <w:tcPr>
            <w:tcW w:w="1227" w:type="dxa"/>
          </w:tcPr>
          <w:p w14:paraId="18B2DDAE" w14:textId="77777777" w:rsidR="006C36AE" w:rsidRPr="00BB5C4B" w:rsidRDefault="006C36AE" w:rsidP="00C260B2">
            <w:pPr>
              <w:jc w:val="center"/>
              <w:rPr>
                <w:rFonts w:ascii="Arial" w:hAnsi="Arial" w:cs="Arial"/>
              </w:rPr>
            </w:pPr>
            <w:r w:rsidRPr="00BB5C4B">
              <w:rPr>
                <w:rFonts w:ascii="Arial" w:eastAsia="Aptos" w:hAnsi="Arial" w:cs="Arial"/>
              </w:rPr>
              <w:t>80</w:t>
            </w:r>
          </w:p>
        </w:tc>
        <w:tc>
          <w:tcPr>
            <w:tcW w:w="1274" w:type="dxa"/>
          </w:tcPr>
          <w:p w14:paraId="20EF0F50" w14:textId="77777777" w:rsidR="006C36AE" w:rsidRPr="00BB5C4B" w:rsidRDefault="006C36AE" w:rsidP="00C260B2">
            <w:pPr>
              <w:jc w:val="center"/>
              <w:rPr>
                <w:rFonts w:ascii="Arial" w:hAnsi="Arial" w:cs="Arial"/>
              </w:rPr>
            </w:pPr>
            <w:r w:rsidRPr="00BB5C4B">
              <w:rPr>
                <w:rFonts w:ascii="Arial" w:eastAsia="Aptos" w:hAnsi="Arial" w:cs="Arial"/>
              </w:rPr>
              <w:t>80</w:t>
            </w:r>
          </w:p>
        </w:tc>
        <w:tc>
          <w:tcPr>
            <w:tcW w:w="1419" w:type="dxa"/>
          </w:tcPr>
          <w:p w14:paraId="0E2B4542" w14:textId="77777777" w:rsidR="006C36AE" w:rsidRPr="00BB5C4B" w:rsidRDefault="006C36AE" w:rsidP="00C260B2">
            <w:pPr>
              <w:jc w:val="center"/>
              <w:rPr>
                <w:rFonts w:ascii="Arial" w:hAnsi="Arial" w:cs="Arial"/>
              </w:rPr>
            </w:pPr>
            <w:r w:rsidRPr="00BB5C4B">
              <w:rPr>
                <w:rFonts w:ascii="Arial" w:eastAsia="Aptos" w:hAnsi="Arial" w:cs="Arial"/>
              </w:rPr>
              <w:t>71.6</w:t>
            </w:r>
          </w:p>
        </w:tc>
        <w:tc>
          <w:tcPr>
            <w:tcW w:w="1275" w:type="dxa"/>
          </w:tcPr>
          <w:p w14:paraId="2D0CBC9C" w14:textId="77777777" w:rsidR="006C36AE" w:rsidRPr="00BB5C4B" w:rsidRDefault="006C36AE" w:rsidP="00C260B2">
            <w:pPr>
              <w:jc w:val="center"/>
              <w:rPr>
                <w:rFonts w:ascii="Arial" w:hAnsi="Arial" w:cs="Arial"/>
              </w:rPr>
            </w:pPr>
            <w:r w:rsidRPr="00BB5C4B">
              <w:rPr>
                <w:rFonts w:ascii="Arial" w:eastAsia="Aptos" w:hAnsi="Arial" w:cs="Arial"/>
              </w:rPr>
              <w:t>80</w:t>
            </w:r>
          </w:p>
        </w:tc>
        <w:tc>
          <w:tcPr>
            <w:tcW w:w="1277" w:type="dxa"/>
          </w:tcPr>
          <w:p w14:paraId="5CAC7906" w14:textId="77777777" w:rsidR="006C36AE" w:rsidRPr="00BB5C4B" w:rsidRDefault="006C36AE" w:rsidP="00C260B2">
            <w:pPr>
              <w:jc w:val="center"/>
              <w:rPr>
                <w:rFonts w:ascii="Arial" w:hAnsi="Arial" w:cs="Arial"/>
              </w:rPr>
            </w:pPr>
            <w:r w:rsidRPr="00BB5C4B">
              <w:rPr>
                <w:rFonts w:ascii="Arial" w:eastAsia="Aptos" w:hAnsi="Arial" w:cs="Arial"/>
              </w:rPr>
              <w:t>77.9 (4.2)</w:t>
            </w:r>
          </w:p>
        </w:tc>
        <w:tc>
          <w:tcPr>
            <w:tcW w:w="1416" w:type="dxa"/>
          </w:tcPr>
          <w:p w14:paraId="5FABB88A" w14:textId="77777777" w:rsidR="006C36AE" w:rsidRPr="00BB5C4B" w:rsidRDefault="006C36AE" w:rsidP="00C260B2">
            <w:pPr>
              <w:jc w:val="center"/>
              <w:rPr>
                <w:rFonts w:ascii="Arial" w:hAnsi="Arial" w:cs="Arial"/>
              </w:rPr>
            </w:pPr>
            <w:r w:rsidRPr="00BB5C4B">
              <w:rPr>
                <w:rFonts w:ascii="Arial" w:eastAsia="Aptos" w:hAnsi="Arial" w:cs="Arial"/>
              </w:rPr>
              <w:t>8.4</w:t>
            </w:r>
          </w:p>
        </w:tc>
      </w:tr>
      <w:tr w:rsidR="006C36AE" w:rsidRPr="00BB5C4B" w14:paraId="15C23A77" w14:textId="77777777" w:rsidTr="00C260B2">
        <w:tc>
          <w:tcPr>
            <w:tcW w:w="895" w:type="dxa"/>
          </w:tcPr>
          <w:p w14:paraId="1EF2CFAA" w14:textId="77777777" w:rsidR="006C36AE" w:rsidRPr="00BB5C4B" w:rsidRDefault="006C36AE" w:rsidP="00C260B2">
            <w:pPr>
              <w:jc w:val="center"/>
              <w:rPr>
                <w:rFonts w:ascii="Arial" w:hAnsi="Arial" w:cs="Arial"/>
              </w:rPr>
            </w:pPr>
            <w:r w:rsidRPr="00BB5C4B">
              <w:rPr>
                <w:rFonts w:ascii="Arial" w:eastAsia="Aptos" w:hAnsi="Arial" w:cs="Arial"/>
              </w:rPr>
              <w:t>E</w:t>
            </w:r>
          </w:p>
        </w:tc>
        <w:tc>
          <w:tcPr>
            <w:tcW w:w="1227" w:type="dxa"/>
          </w:tcPr>
          <w:p w14:paraId="6415663A" w14:textId="77777777" w:rsidR="006C36AE" w:rsidRPr="00BB5C4B" w:rsidRDefault="006C36AE" w:rsidP="00C260B2">
            <w:pPr>
              <w:jc w:val="center"/>
              <w:rPr>
                <w:rFonts w:ascii="Arial" w:hAnsi="Arial" w:cs="Arial"/>
              </w:rPr>
            </w:pPr>
            <w:r w:rsidRPr="00BB5C4B">
              <w:rPr>
                <w:rFonts w:ascii="Arial" w:eastAsia="Aptos" w:hAnsi="Arial" w:cs="Arial"/>
              </w:rPr>
              <w:t>45.75</w:t>
            </w:r>
          </w:p>
        </w:tc>
        <w:tc>
          <w:tcPr>
            <w:tcW w:w="1274" w:type="dxa"/>
          </w:tcPr>
          <w:p w14:paraId="23FFA520" w14:textId="77777777" w:rsidR="006C36AE" w:rsidRPr="00BB5C4B" w:rsidRDefault="006C36AE" w:rsidP="00C260B2">
            <w:pPr>
              <w:jc w:val="center"/>
              <w:rPr>
                <w:rFonts w:ascii="Arial" w:hAnsi="Arial" w:cs="Arial"/>
              </w:rPr>
            </w:pPr>
            <w:r w:rsidRPr="00BB5C4B">
              <w:rPr>
                <w:rFonts w:ascii="Arial" w:eastAsia="Aptos" w:hAnsi="Arial" w:cs="Arial"/>
              </w:rPr>
              <w:t>48</w:t>
            </w:r>
          </w:p>
        </w:tc>
        <w:tc>
          <w:tcPr>
            <w:tcW w:w="1419" w:type="dxa"/>
          </w:tcPr>
          <w:p w14:paraId="216E7F3D" w14:textId="77777777" w:rsidR="006C36AE" w:rsidRPr="00BB5C4B" w:rsidRDefault="006C36AE" w:rsidP="00C260B2">
            <w:pPr>
              <w:jc w:val="center"/>
              <w:rPr>
                <w:rFonts w:ascii="Arial" w:hAnsi="Arial" w:cs="Arial"/>
              </w:rPr>
            </w:pPr>
            <w:r w:rsidRPr="00BB5C4B">
              <w:rPr>
                <w:rFonts w:ascii="Arial" w:eastAsia="Aptos" w:hAnsi="Arial" w:cs="Arial"/>
              </w:rPr>
              <w:t>50.25</w:t>
            </w:r>
          </w:p>
        </w:tc>
        <w:tc>
          <w:tcPr>
            <w:tcW w:w="1275" w:type="dxa"/>
          </w:tcPr>
          <w:p w14:paraId="27140CFF" w14:textId="77777777" w:rsidR="006C36AE" w:rsidRPr="00BB5C4B" w:rsidRDefault="006C36AE" w:rsidP="00C260B2">
            <w:pPr>
              <w:jc w:val="center"/>
              <w:rPr>
                <w:rFonts w:ascii="Arial" w:hAnsi="Arial" w:cs="Arial"/>
              </w:rPr>
            </w:pPr>
            <w:r w:rsidRPr="00BB5C4B">
              <w:rPr>
                <w:rFonts w:ascii="Arial" w:eastAsia="Aptos" w:hAnsi="Arial" w:cs="Arial"/>
              </w:rPr>
              <w:t>45</w:t>
            </w:r>
          </w:p>
        </w:tc>
        <w:tc>
          <w:tcPr>
            <w:tcW w:w="1277" w:type="dxa"/>
          </w:tcPr>
          <w:p w14:paraId="47435134" w14:textId="77777777" w:rsidR="006C36AE" w:rsidRPr="00BB5C4B" w:rsidRDefault="006C36AE" w:rsidP="00C260B2">
            <w:pPr>
              <w:jc w:val="center"/>
              <w:rPr>
                <w:rFonts w:ascii="Arial" w:hAnsi="Arial" w:cs="Arial"/>
              </w:rPr>
            </w:pPr>
            <w:r w:rsidRPr="00BB5C4B">
              <w:rPr>
                <w:rFonts w:ascii="Arial" w:eastAsia="Aptos" w:hAnsi="Arial" w:cs="Arial"/>
              </w:rPr>
              <w:t>47.3 (2.4)</w:t>
            </w:r>
          </w:p>
        </w:tc>
        <w:tc>
          <w:tcPr>
            <w:tcW w:w="1416" w:type="dxa"/>
          </w:tcPr>
          <w:p w14:paraId="7C8F0510" w14:textId="77777777" w:rsidR="006C36AE" w:rsidRPr="00BB5C4B" w:rsidRDefault="006C36AE" w:rsidP="00C260B2">
            <w:pPr>
              <w:jc w:val="center"/>
              <w:rPr>
                <w:rFonts w:ascii="Arial" w:hAnsi="Arial" w:cs="Arial"/>
              </w:rPr>
            </w:pPr>
            <w:r w:rsidRPr="00BB5C4B">
              <w:rPr>
                <w:rFonts w:ascii="Arial" w:eastAsia="Aptos" w:hAnsi="Arial" w:cs="Arial"/>
              </w:rPr>
              <w:t>5.25</w:t>
            </w:r>
          </w:p>
        </w:tc>
      </w:tr>
    </w:tbl>
    <w:p w14:paraId="3E9599DB" w14:textId="1AD8CA83" w:rsidR="006C36AE" w:rsidRPr="00BB5C4B" w:rsidRDefault="006C36AE" w:rsidP="00865FAE">
      <w:pPr>
        <w:jc w:val="both"/>
        <w:rPr>
          <w:rFonts w:ascii="Arial" w:hAnsi="Arial" w:cs="Arial"/>
          <w:lang w:val="en-GB"/>
        </w:rPr>
      </w:pPr>
      <w:r w:rsidRPr="00BB5C4B">
        <w:rPr>
          <w:rFonts w:ascii="Arial" w:hAnsi="Arial" w:cs="Arial"/>
          <w:i/>
          <w:iCs/>
          <w:lang w:val="en-GB"/>
        </w:rPr>
        <w:t xml:space="preserve">Shown are the TT2 </w:t>
      </w:r>
      <w:proofErr w:type="spellStart"/>
      <w:r w:rsidRPr="00BB5C4B">
        <w:rPr>
          <w:rFonts w:ascii="Arial" w:hAnsi="Arial" w:cs="Arial"/>
          <w:i/>
          <w:iCs/>
          <w:lang w:val="en-GB"/>
        </w:rPr>
        <w:t>qnSAA</w:t>
      </w:r>
      <w:proofErr w:type="spellEnd"/>
      <w:r w:rsidRPr="00BB5C4B">
        <w:rPr>
          <w:rFonts w:ascii="Arial" w:hAnsi="Arial" w:cs="Arial"/>
          <w:i/>
          <w:iCs/>
          <w:lang w:val="en-GB"/>
        </w:rPr>
        <w:t xml:space="preserve"> results of five local samples from clinically diagnosed neuronal aSyn disease (NSD), measured in four experiments. Considering high and low </w:t>
      </w:r>
      <w:proofErr w:type="spellStart"/>
      <w:r w:rsidRPr="00BB5C4B">
        <w:rPr>
          <w:rFonts w:ascii="Arial" w:hAnsi="Arial" w:cs="Arial"/>
          <w:i/>
          <w:iCs/>
          <w:lang w:val="en-GB"/>
        </w:rPr>
        <w:t>seeder</w:t>
      </w:r>
      <w:proofErr w:type="spellEnd"/>
      <w:r w:rsidRPr="00BB5C4B">
        <w:rPr>
          <w:rFonts w:ascii="Arial" w:hAnsi="Arial" w:cs="Arial"/>
          <w:i/>
          <w:iCs/>
          <w:lang w:val="en-GB"/>
        </w:rPr>
        <w:t xml:space="preserve"> distinction (threshold = 33 h), none of the five samples changes its category with any of its four </w:t>
      </w:r>
      <w:proofErr w:type="spellStart"/>
      <w:r w:rsidRPr="00BB5C4B">
        <w:rPr>
          <w:rFonts w:ascii="Arial" w:hAnsi="Arial" w:cs="Arial"/>
          <w:i/>
          <w:iCs/>
          <w:lang w:val="en-GB"/>
        </w:rPr>
        <w:t>qnSAA</w:t>
      </w:r>
      <w:proofErr w:type="spellEnd"/>
      <w:r w:rsidRPr="00BB5C4B">
        <w:rPr>
          <w:rFonts w:ascii="Arial" w:hAnsi="Arial" w:cs="Arial"/>
          <w:i/>
          <w:iCs/>
          <w:lang w:val="en-GB"/>
        </w:rPr>
        <w:t xml:space="preserve"> TT2 values.</w:t>
      </w:r>
    </w:p>
    <w:p w14:paraId="1DE0E737" w14:textId="77777777" w:rsidR="006C36AE" w:rsidRPr="006C36AE" w:rsidRDefault="006C36AE">
      <w:pPr>
        <w:rPr>
          <w:rFonts w:ascii="Calibri" w:hAnsi="Calibri" w:cs="Calibri"/>
          <w:lang w:val="en-GB"/>
        </w:rPr>
      </w:pPr>
    </w:p>
    <w:sectPr w:rsidR="006C36AE" w:rsidRPr="006C36AE">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47F3" w14:textId="77777777" w:rsidR="00A579CB" w:rsidRDefault="00A579CB" w:rsidP="00865FAE">
      <w:pPr>
        <w:spacing w:after="0" w:line="240" w:lineRule="auto"/>
      </w:pPr>
      <w:r>
        <w:separator/>
      </w:r>
    </w:p>
  </w:endnote>
  <w:endnote w:type="continuationSeparator" w:id="0">
    <w:p w14:paraId="54A97F49" w14:textId="77777777" w:rsidR="00A579CB" w:rsidRDefault="00A579CB" w:rsidP="00865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13D1" w14:textId="77777777" w:rsidR="00A579CB" w:rsidRDefault="00A579CB" w:rsidP="00865FAE">
      <w:pPr>
        <w:spacing w:after="0" w:line="240" w:lineRule="auto"/>
      </w:pPr>
      <w:r>
        <w:separator/>
      </w:r>
    </w:p>
  </w:footnote>
  <w:footnote w:type="continuationSeparator" w:id="0">
    <w:p w14:paraId="06935A6F" w14:textId="77777777" w:rsidR="00A579CB" w:rsidRDefault="00A579CB" w:rsidP="00865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B4CEC" w14:textId="0DE77648" w:rsidR="00865FAE" w:rsidRPr="00BB5C4B" w:rsidRDefault="00865FAE">
    <w:pPr>
      <w:pStyle w:val="Kopfzeile"/>
      <w:rPr>
        <w:rFonts w:ascii="Arial" w:hAnsi="Arial" w:cs="Arial"/>
        <w:lang w:val="en-GB"/>
      </w:rPr>
    </w:pPr>
    <w:r w:rsidRPr="00BB5C4B">
      <w:rPr>
        <w:rFonts w:ascii="Arial" w:hAnsi="Arial" w:cs="Arial"/>
        <w:lang w:val="en-GB"/>
      </w:rPr>
      <w:t>Bräuer et al.: SAA predicts dementia conversion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C89"/>
    <w:rsid w:val="000B6DC9"/>
    <w:rsid w:val="00107092"/>
    <w:rsid w:val="001817BC"/>
    <w:rsid w:val="00270413"/>
    <w:rsid w:val="002F42A9"/>
    <w:rsid w:val="00315910"/>
    <w:rsid w:val="0034302D"/>
    <w:rsid w:val="00553016"/>
    <w:rsid w:val="006016EA"/>
    <w:rsid w:val="006A136C"/>
    <w:rsid w:val="006C36AE"/>
    <w:rsid w:val="00755D95"/>
    <w:rsid w:val="00865FAE"/>
    <w:rsid w:val="009B2C89"/>
    <w:rsid w:val="009F5E53"/>
    <w:rsid w:val="00A579CB"/>
    <w:rsid w:val="00BB5C4B"/>
    <w:rsid w:val="00C92EAC"/>
    <w:rsid w:val="00DA5ECB"/>
    <w:rsid w:val="00DF0560"/>
    <w:rsid w:val="00E0157E"/>
    <w:rsid w:val="00E82F68"/>
    <w:rsid w:val="00F51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80DAE"/>
  <w15:chartTrackingRefBased/>
  <w15:docId w15:val="{185D3108-69BA-4A0D-987E-65C11E35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B2C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B2C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B2C8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B2C8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B2C8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B2C8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B2C8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B2C8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B2C8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2C8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B2C8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B2C8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B2C8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B2C8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B2C8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B2C8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B2C8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B2C89"/>
    <w:rPr>
      <w:rFonts w:eastAsiaTheme="majorEastAsia" w:cstheme="majorBidi"/>
      <w:color w:val="272727" w:themeColor="text1" w:themeTint="D8"/>
    </w:rPr>
  </w:style>
  <w:style w:type="paragraph" w:styleId="Titel">
    <w:name w:val="Title"/>
    <w:basedOn w:val="Standard"/>
    <w:next w:val="Standard"/>
    <w:link w:val="TitelZchn"/>
    <w:uiPriority w:val="10"/>
    <w:qFormat/>
    <w:rsid w:val="009B2C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B2C8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B2C8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B2C8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B2C8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B2C89"/>
    <w:rPr>
      <w:i/>
      <w:iCs/>
      <w:color w:val="404040" w:themeColor="text1" w:themeTint="BF"/>
    </w:rPr>
  </w:style>
  <w:style w:type="paragraph" w:styleId="Listenabsatz">
    <w:name w:val="List Paragraph"/>
    <w:basedOn w:val="Standard"/>
    <w:uiPriority w:val="34"/>
    <w:qFormat/>
    <w:rsid w:val="009B2C89"/>
    <w:pPr>
      <w:ind w:left="720"/>
      <w:contextualSpacing/>
    </w:pPr>
  </w:style>
  <w:style w:type="character" w:styleId="IntensiveHervorhebung">
    <w:name w:val="Intense Emphasis"/>
    <w:basedOn w:val="Absatz-Standardschriftart"/>
    <w:uiPriority w:val="21"/>
    <w:qFormat/>
    <w:rsid w:val="009B2C89"/>
    <w:rPr>
      <w:i/>
      <w:iCs/>
      <w:color w:val="0F4761" w:themeColor="accent1" w:themeShade="BF"/>
    </w:rPr>
  </w:style>
  <w:style w:type="paragraph" w:styleId="IntensivesZitat">
    <w:name w:val="Intense Quote"/>
    <w:basedOn w:val="Standard"/>
    <w:next w:val="Standard"/>
    <w:link w:val="IntensivesZitatZchn"/>
    <w:uiPriority w:val="30"/>
    <w:qFormat/>
    <w:rsid w:val="009B2C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B2C89"/>
    <w:rPr>
      <w:i/>
      <w:iCs/>
      <w:color w:val="0F4761" w:themeColor="accent1" w:themeShade="BF"/>
    </w:rPr>
  </w:style>
  <w:style w:type="character" w:styleId="IntensiverVerweis">
    <w:name w:val="Intense Reference"/>
    <w:basedOn w:val="Absatz-Standardschriftart"/>
    <w:uiPriority w:val="32"/>
    <w:qFormat/>
    <w:rsid w:val="009B2C89"/>
    <w:rPr>
      <w:b/>
      <w:bCs/>
      <w:smallCaps/>
      <w:color w:val="0F4761" w:themeColor="accent1" w:themeShade="BF"/>
      <w:spacing w:val="5"/>
    </w:rPr>
  </w:style>
  <w:style w:type="table" w:styleId="Tabellenraster">
    <w:name w:val="Table Grid"/>
    <w:basedOn w:val="NormaleTabelle"/>
    <w:uiPriority w:val="39"/>
    <w:rsid w:val="006C36A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65F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65FAE"/>
  </w:style>
  <w:style w:type="paragraph" w:styleId="Fuzeile">
    <w:name w:val="footer"/>
    <w:basedOn w:val="Standard"/>
    <w:link w:val="FuzeileZchn"/>
    <w:uiPriority w:val="99"/>
    <w:unhideWhenUsed/>
    <w:rsid w:val="00865F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65FAE"/>
  </w:style>
  <w:style w:type="character" w:styleId="Kommentarzeichen">
    <w:name w:val="annotation reference"/>
    <w:basedOn w:val="Absatz-Standardschriftart"/>
    <w:uiPriority w:val="99"/>
    <w:semiHidden/>
    <w:unhideWhenUsed/>
    <w:rsid w:val="00F51085"/>
    <w:rPr>
      <w:sz w:val="16"/>
      <w:szCs w:val="16"/>
    </w:rPr>
  </w:style>
  <w:style w:type="paragraph" w:styleId="Kommentartext">
    <w:name w:val="annotation text"/>
    <w:basedOn w:val="Standard"/>
    <w:link w:val="KommentartextZchn"/>
    <w:uiPriority w:val="99"/>
    <w:semiHidden/>
    <w:unhideWhenUsed/>
    <w:rsid w:val="00F510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1085"/>
    <w:rPr>
      <w:sz w:val="20"/>
      <w:szCs w:val="20"/>
    </w:rPr>
  </w:style>
  <w:style w:type="paragraph" w:styleId="Kommentarthema">
    <w:name w:val="annotation subject"/>
    <w:basedOn w:val="Kommentartext"/>
    <w:next w:val="Kommentartext"/>
    <w:link w:val="KommentarthemaZchn"/>
    <w:uiPriority w:val="99"/>
    <w:semiHidden/>
    <w:unhideWhenUsed/>
    <w:rsid w:val="00F51085"/>
    <w:rPr>
      <w:b/>
      <w:bCs/>
    </w:rPr>
  </w:style>
  <w:style w:type="character" w:customStyle="1" w:styleId="KommentarthemaZchn">
    <w:name w:val="Kommentarthema Zchn"/>
    <w:basedOn w:val="KommentartextZchn"/>
    <w:link w:val="Kommentarthema"/>
    <w:uiPriority w:val="99"/>
    <w:semiHidden/>
    <w:rsid w:val="00F510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365</Words>
  <Characters>2305</Characters>
  <Application>Microsoft Office Word</Application>
  <DocSecurity>0</DocSecurity>
  <Lines>19</Lines>
  <Paragraphs>5</Paragraphs>
  <ScaleCrop>false</ScaleCrop>
  <Company>Universitaetsklinikum Carl Gustav Carus</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Bräuer, Stefan</dc:creator>
  <cp:keywords/>
  <dc:description/>
  <cp:lastModifiedBy>Bräuer, Stefan</cp:lastModifiedBy>
  <cp:revision>5</cp:revision>
  <dcterms:created xsi:type="dcterms:W3CDTF">2025-07-27T21:12:00Z</dcterms:created>
  <dcterms:modified xsi:type="dcterms:W3CDTF">2025-09-08T08:55:00Z</dcterms:modified>
</cp:coreProperties>
</file>