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0376" w14:textId="77777777" w:rsidR="00185DA3" w:rsidRPr="00185DA3" w:rsidRDefault="00185DA3" w:rsidP="00161EC1">
      <w:pPr>
        <w:rPr>
          <w:b/>
          <w:bCs/>
          <w:lang w:val="en-US"/>
        </w:rPr>
      </w:pPr>
      <w:r w:rsidRPr="00185DA3">
        <w:rPr>
          <w:b/>
          <w:bCs/>
          <w:lang w:val="en-US"/>
        </w:rPr>
        <w:t>SUPPLEMENTAL MATERIAL</w:t>
      </w:r>
    </w:p>
    <w:p w14:paraId="2E067F7D" w14:textId="77777777" w:rsidR="00185DA3" w:rsidRDefault="00185DA3" w:rsidP="00185DA3">
      <w:pPr>
        <w:rPr>
          <w:lang w:val="en-US"/>
        </w:rPr>
      </w:pPr>
    </w:p>
    <w:p w14:paraId="1E71BB37" w14:textId="77777777" w:rsidR="00AA2024" w:rsidRPr="0093650A" w:rsidRDefault="00AA2024" w:rsidP="00AA2024">
      <w:pPr>
        <w:spacing w:line="360" w:lineRule="auto"/>
        <w:rPr>
          <w:b/>
          <w:lang w:val="en-US"/>
        </w:rPr>
      </w:pPr>
      <w:bookmarkStart w:id="0" w:name="_Hlk177561555"/>
      <w:r w:rsidRPr="0093650A">
        <w:rPr>
          <w:b/>
          <w:lang w:val="en-US"/>
        </w:rPr>
        <w:t>Cognitive Function in Patients with Myelin Oligodendrocyt</w:t>
      </w:r>
      <w:r>
        <w:rPr>
          <w:b/>
          <w:lang w:val="en-US"/>
        </w:rPr>
        <w:t>e</w:t>
      </w:r>
      <w:r w:rsidRPr="0093650A">
        <w:rPr>
          <w:b/>
          <w:lang w:val="en-US"/>
        </w:rPr>
        <w:t xml:space="preserve"> Glycoprotein Antibody -</w:t>
      </w:r>
    </w:p>
    <w:p w14:paraId="0C27F909" w14:textId="77777777" w:rsidR="00AA2024" w:rsidRPr="00596F06" w:rsidRDefault="00AA2024" w:rsidP="00AA2024">
      <w:pPr>
        <w:spacing w:line="360" w:lineRule="auto"/>
        <w:rPr>
          <w:b/>
          <w:lang w:val="en-US"/>
        </w:rPr>
      </w:pPr>
      <w:r w:rsidRPr="00596F06">
        <w:rPr>
          <w:b/>
          <w:lang w:val="en-US"/>
        </w:rPr>
        <w:t xml:space="preserve">Associated Disease </w:t>
      </w:r>
      <w:bookmarkEnd w:id="0"/>
    </w:p>
    <w:p w14:paraId="4E227D76" w14:textId="19C5C892" w:rsidR="00660E28" w:rsidRPr="00923ED9" w:rsidRDefault="00660E28" w:rsidP="00660E28">
      <w:pPr>
        <w:spacing w:line="360" w:lineRule="auto"/>
        <w:rPr>
          <w:lang w:val="en-US"/>
        </w:rPr>
      </w:pPr>
      <w:bookmarkStart w:id="1" w:name="_Hlk177562942"/>
      <w:r w:rsidRPr="00ED345B">
        <w:rPr>
          <w:lang w:val="en-US"/>
        </w:rPr>
        <w:t>R</w:t>
      </w:r>
      <w:r>
        <w:rPr>
          <w:lang w:val="en-US"/>
        </w:rPr>
        <w:t>ebekka</w:t>
      </w:r>
      <w:r w:rsidRPr="00ED345B">
        <w:rPr>
          <w:lang w:val="en-US"/>
        </w:rPr>
        <w:t xml:space="preserve"> Rust 1,2,3, S</w:t>
      </w:r>
      <w:r>
        <w:rPr>
          <w:lang w:val="en-US"/>
        </w:rPr>
        <w:t>usanna</w:t>
      </w:r>
      <w:r w:rsidRPr="00ED345B">
        <w:rPr>
          <w:lang w:val="en-US"/>
        </w:rPr>
        <w:t xml:space="preserve"> Asseyer 1,2,5 P</w:t>
      </w:r>
      <w:r>
        <w:rPr>
          <w:lang w:val="en-US"/>
        </w:rPr>
        <w:t>atrick</w:t>
      </w:r>
      <w:r w:rsidRPr="00ED345B">
        <w:rPr>
          <w:lang w:val="en-US"/>
        </w:rPr>
        <w:t xml:space="preserve"> Schindler 1,2,5, C</w:t>
      </w:r>
      <w:r>
        <w:rPr>
          <w:lang w:val="en-US"/>
        </w:rPr>
        <w:t>laudia</w:t>
      </w:r>
      <w:r w:rsidRPr="00ED345B">
        <w:rPr>
          <w:lang w:val="en-US"/>
        </w:rPr>
        <w:t xml:space="preserve"> Chien 1,2, 6, S</w:t>
      </w:r>
      <w:r>
        <w:rPr>
          <w:lang w:val="en-US"/>
        </w:rPr>
        <w:t>ophia</w:t>
      </w:r>
      <w:r w:rsidRPr="00ED345B">
        <w:rPr>
          <w:lang w:val="en-US"/>
        </w:rPr>
        <w:t xml:space="preserve"> Rekers 5,7, C</w:t>
      </w:r>
      <w:r>
        <w:rPr>
          <w:lang w:val="en-US"/>
        </w:rPr>
        <w:t>arsten</w:t>
      </w:r>
      <w:r w:rsidRPr="00ED345B">
        <w:rPr>
          <w:lang w:val="en-US"/>
        </w:rPr>
        <w:t xml:space="preserve"> Finke 5, </w:t>
      </w:r>
      <w:r w:rsidR="00A20329">
        <w:rPr>
          <w:lang w:val="en-US"/>
        </w:rPr>
        <w:t xml:space="preserve">Frederike Cosima Oertel 1,2, </w:t>
      </w:r>
      <w:r w:rsidRPr="00ED345B">
        <w:rPr>
          <w:lang w:val="en-US"/>
        </w:rPr>
        <w:t>K</w:t>
      </w:r>
      <w:r>
        <w:rPr>
          <w:lang w:val="en-US"/>
        </w:rPr>
        <w:t>lemens</w:t>
      </w:r>
      <w:r w:rsidRPr="00ED345B">
        <w:rPr>
          <w:lang w:val="en-US"/>
        </w:rPr>
        <w:t xml:space="preserve"> Ruprecht </w:t>
      </w:r>
      <w:r w:rsidR="008F7EF5">
        <w:rPr>
          <w:lang w:val="en-US"/>
        </w:rPr>
        <w:t>8</w:t>
      </w:r>
      <w:r w:rsidRPr="00ED345B">
        <w:rPr>
          <w:lang w:val="en-US"/>
        </w:rPr>
        <w:t>, S</w:t>
      </w:r>
      <w:r>
        <w:rPr>
          <w:lang w:val="en-US"/>
        </w:rPr>
        <w:t>ven</w:t>
      </w:r>
      <w:r w:rsidRPr="00ED345B">
        <w:rPr>
          <w:lang w:val="en-US"/>
        </w:rPr>
        <w:t xml:space="preserve"> </w:t>
      </w:r>
      <w:proofErr w:type="spellStart"/>
      <w:r w:rsidRPr="00ED345B">
        <w:rPr>
          <w:lang w:val="en-US"/>
        </w:rPr>
        <w:t>Jarius</w:t>
      </w:r>
      <w:proofErr w:type="spellEnd"/>
      <w:r w:rsidRPr="00ED345B">
        <w:rPr>
          <w:lang w:val="en-US"/>
        </w:rPr>
        <w:t xml:space="preserve"> 8, B</w:t>
      </w:r>
      <w:r>
        <w:rPr>
          <w:lang w:val="en-US"/>
        </w:rPr>
        <w:t>rigitte</w:t>
      </w:r>
      <w:r w:rsidRPr="00ED345B">
        <w:rPr>
          <w:lang w:val="en-US"/>
        </w:rPr>
        <w:t xml:space="preserve"> </w:t>
      </w:r>
      <w:proofErr w:type="spellStart"/>
      <w:r w:rsidRPr="00ED345B">
        <w:rPr>
          <w:lang w:val="en-US"/>
        </w:rPr>
        <w:t>Wildemann</w:t>
      </w:r>
      <w:proofErr w:type="spellEnd"/>
      <w:r w:rsidRPr="00ED345B">
        <w:rPr>
          <w:lang w:val="en-US"/>
        </w:rPr>
        <w:t xml:space="preserve"> 8, </w:t>
      </w:r>
      <w:proofErr w:type="spellStart"/>
      <w:r w:rsidRPr="00ED345B">
        <w:rPr>
          <w:lang w:val="en-US"/>
        </w:rPr>
        <w:t>V</w:t>
      </w:r>
      <w:r>
        <w:rPr>
          <w:lang w:val="en-US"/>
        </w:rPr>
        <w:t>elina</w:t>
      </w:r>
      <w:proofErr w:type="spellEnd"/>
      <w:r w:rsidRPr="00923ED9">
        <w:rPr>
          <w:lang w:val="en-US"/>
        </w:rPr>
        <w:t xml:space="preserve"> </w:t>
      </w:r>
      <w:proofErr w:type="spellStart"/>
      <w:r w:rsidRPr="00923ED9">
        <w:rPr>
          <w:lang w:val="en-US"/>
        </w:rPr>
        <w:t>Chavarro</w:t>
      </w:r>
      <w:proofErr w:type="spellEnd"/>
      <w:r w:rsidRPr="00923ED9">
        <w:rPr>
          <w:lang w:val="en-US"/>
        </w:rPr>
        <w:t xml:space="preserve"> 2,9, Tanja Schmitz-Hübsch 1,2, Friedemann Paul 1,2, Pia Sophi</w:t>
      </w:r>
      <w:r>
        <w:rPr>
          <w:lang w:val="en-US"/>
        </w:rPr>
        <w:t>e</w:t>
      </w:r>
      <w:r w:rsidRPr="00923ED9">
        <w:rPr>
          <w:lang w:val="en-US"/>
        </w:rPr>
        <w:t xml:space="preserve"> Sperber 1,2,4,5</w:t>
      </w:r>
    </w:p>
    <w:p w14:paraId="1C33F83A" w14:textId="77777777" w:rsidR="00660E28" w:rsidRPr="00923ED9" w:rsidRDefault="00660E28" w:rsidP="00660E28">
      <w:pPr>
        <w:spacing w:line="360" w:lineRule="auto"/>
        <w:rPr>
          <w:lang w:val="en-US"/>
        </w:rPr>
      </w:pPr>
    </w:p>
    <w:p w14:paraId="10C6932D" w14:textId="77777777" w:rsidR="00660E28" w:rsidRPr="00146A99" w:rsidRDefault="00660E28" w:rsidP="00660E28">
      <w:pPr>
        <w:spacing w:line="360" w:lineRule="auto"/>
        <w:rPr>
          <w:lang w:val="en-US"/>
        </w:rPr>
      </w:pPr>
      <w:r w:rsidRPr="00146A99">
        <w:rPr>
          <w:lang w:val="en-US"/>
        </w:rPr>
        <w:t xml:space="preserve">1 Experimental and Clinical Research Center (ECRC), Charité – </w:t>
      </w:r>
      <w:proofErr w:type="spellStart"/>
      <w:r w:rsidRPr="00146A99">
        <w:rPr>
          <w:lang w:val="en-US"/>
        </w:rPr>
        <w:t>Universitätsmedizin</w:t>
      </w:r>
      <w:proofErr w:type="spellEnd"/>
      <w:r w:rsidRPr="00146A99">
        <w:rPr>
          <w:lang w:val="en-US"/>
        </w:rPr>
        <w:t xml:space="preserve"> Berlin, corporate member of </w:t>
      </w:r>
      <w:proofErr w:type="spellStart"/>
      <w:r w:rsidRPr="00146A99">
        <w:rPr>
          <w:lang w:val="en-US"/>
        </w:rPr>
        <w:t>Freie</w:t>
      </w:r>
      <w:proofErr w:type="spellEnd"/>
      <w:r w:rsidRPr="00146A99">
        <w:rPr>
          <w:lang w:val="en-US"/>
        </w:rPr>
        <w:t xml:space="preserve"> Universität Berlin, Humboldt-Universität </w:t>
      </w:r>
      <w:proofErr w:type="spellStart"/>
      <w:r w:rsidRPr="00146A99">
        <w:rPr>
          <w:lang w:val="en-US"/>
        </w:rPr>
        <w:t>zu</w:t>
      </w:r>
      <w:proofErr w:type="spellEnd"/>
      <w:r w:rsidRPr="00146A99">
        <w:rPr>
          <w:lang w:val="en-US"/>
        </w:rPr>
        <w:t xml:space="preserve"> Berlin, Germany</w:t>
      </w:r>
    </w:p>
    <w:p w14:paraId="2D08F17A" w14:textId="77777777" w:rsidR="00660E28" w:rsidRPr="00146A99" w:rsidRDefault="00660E28" w:rsidP="00660E28">
      <w:pPr>
        <w:spacing w:line="360" w:lineRule="auto"/>
        <w:rPr>
          <w:lang w:val="en-US"/>
        </w:rPr>
      </w:pPr>
      <w:r w:rsidRPr="00146A99">
        <w:rPr>
          <w:lang w:val="en-US"/>
        </w:rPr>
        <w:t xml:space="preserve">2 Neuroscience Clinical Research Center (NCRC), Charité – </w:t>
      </w:r>
      <w:proofErr w:type="spellStart"/>
      <w:r w:rsidRPr="00146A99">
        <w:rPr>
          <w:lang w:val="en-US"/>
        </w:rPr>
        <w:t>Universitätsmedizin</w:t>
      </w:r>
      <w:proofErr w:type="spellEnd"/>
      <w:r w:rsidRPr="00146A99">
        <w:rPr>
          <w:lang w:val="en-US"/>
        </w:rPr>
        <w:t xml:space="preserve"> Berlin, corporate member of </w:t>
      </w:r>
      <w:proofErr w:type="spellStart"/>
      <w:r w:rsidRPr="00146A99">
        <w:rPr>
          <w:lang w:val="en-US"/>
        </w:rPr>
        <w:t>Freie</w:t>
      </w:r>
      <w:proofErr w:type="spellEnd"/>
      <w:r w:rsidRPr="00146A99">
        <w:rPr>
          <w:lang w:val="en-US"/>
        </w:rPr>
        <w:t xml:space="preserve"> Universität Berlin, Humboldt-Universität </w:t>
      </w:r>
      <w:proofErr w:type="spellStart"/>
      <w:r w:rsidRPr="00146A99">
        <w:rPr>
          <w:lang w:val="en-US"/>
        </w:rPr>
        <w:t>zu</w:t>
      </w:r>
      <w:proofErr w:type="spellEnd"/>
      <w:r w:rsidRPr="00146A99">
        <w:rPr>
          <w:lang w:val="en-US"/>
        </w:rPr>
        <w:t xml:space="preserve"> Berlin, Germany</w:t>
      </w:r>
    </w:p>
    <w:p w14:paraId="4B249DC7" w14:textId="77777777" w:rsidR="00660E28" w:rsidRPr="0093650A" w:rsidRDefault="00660E28" w:rsidP="00660E28">
      <w:pPr>
        <w:spacing w:line="360" w:lineRule="auto"/>
      </w:pPr>
      <w:r w:rsidRPr="0093650A">
        <w:t xml:space="preserve">3 Institute </w:t>
      </w:r>
      <w:proofErr w:type="spellStart"/>
      <w:r w:rsidRPr="0093650A">
        <w:t>for</w:t>
      </w:r>
      <w:proofErr w:type="spellEnd"/>
      <w:r w:rsidRPr="0093650A">
        <w:t xml:space="preserve"> </w:t>
      </w:r>
      <w:proofErr w:type="spellStart"/>
      <w:r w:rsidRPr="0093650A">
        <w:t>Immunology</w:t>
      </w:r>
      <w:proofErr w:type="spellEnd"/>
      <w:r w:rsidRPr="0093650A">
        <w:t>, Charité – Universitätsmedizin Berlin Campus Virchow-Klinikum (CVK), Augustenburger Platz 1; 13353 Berlin</w:t>
      </w:r>
    </w:p>
    <w:p w14:paraId="56C5A792" w14:textId="77777777" w:rsidR="00660E28" w:rsidRPr="0093650A" w:rsidRDefault="00660E28" w:rsidP="00660E28">
      <w:pPr>
        <w:spacing w:line="360" w:lineRule="auto"/>
        <w:rPr>
          <w:lang w:val="en-US"/>
        </w:rPr>
      </w:pPr>
      <w:r>
        <w:rPr>
          <w:lang w:val="en-US"/>
        </w:rPr>
        <w:t>4</w:t>
      </w:r>
      <w:r w:rsidRPr="0093650A">
        <w:rPr>
          <w:lang w:val="en-US"/>
        </w:rPr>
        <w:t xml:space="preserve"> German Center for Cardiovascular Disease (DZHK), partner site Berlin, Germany</w:t>
      </w:r>
    </w:p>
    <w:p w14:paraId="77BA626E" w14:textId="77777777" w:rsidR="00660E28" w:rsidRDefault="00660E28" w:rsidP="00660E28">
      <w:pPr>
        <w:spacing w:line="360" w:lineRule="auto"/>
        <w:rPr>
          <w:lang w:val="en-US"/>
        </w:rPr>
      </w:pPr>
      <w:r>
        <w:rPr>
          <w:lang w:val="en-US"/>
        </w:rPr>
        <w:t>5</w:t>
      </w:r>
      <w:r w:rsidRPr="0093650A">
        <w:rPr>
          <w:lang w:val="en-US"/>
        </w:rPr>
        <w:t xml:space="preserve"> Department of Neurology, Charité – </w:t>
      </w:r>
      <w:proofErr w:type="spellStart"/>
      <w:r w:rsidRPr="0093650A">
        <w:rPr>
          <w:lang w:val="en-US"/>
        </w:rPr>
        <w:t>Universitätsmedizin</w:t>
      </w:r>
      <w:proofErr w:type="spellEnd"/>
      <w:r w:rsidRPr="0093650A">
        <w:rPr>
          <w:lang w:val="en-US"/>
        </w:rPr>
        <w:t xml:space="preserve"> Berlin, corporate member of </w:t>
      </w:r>
      <w:proofErr w:type="spellStart"/>
      <w:r w:rsidRPr="0093650A">
        <w:rPr>
          <w:lang w:val="en-US"/>
        </w:rPr>
        <w:t>Freie</w:t>
      </w:r>
      <w:proofErr w:type="spellEnd"/>
      <w:r w:rsidRPr="0093650A">
        <w:rPr>
          <w:lang w:val="en-US"/>
        </w:rPr>
        <w:t xml:space="preserve"> Universität Berlin</w:t>
      </w:r>
      <w:r>
        <w:rPr>
          <w:lang w:val="en-US"/>
        </w:rPr>
        <w:t xml:space="preserve"> and</w:t>
      </w:r>
      <w:r w:rsidRPr="0093650A">
        <w:rPr>
          <w:lang w:val="en-US"/>
        </w:rPr>
        <w:t xml:space="preserve"> Humboldt-Universität </w:t>
      </w:r>
      <w:proofErr w:type="spellStart"/>
      <w:r w:rsidRPr="0093650A">
        <w:rPr>
          <w:lang w:val="en-US"/>
        </w:rPr>
        <w:t>zu</w:t>
      </w:r>
      <w:proofErr w:type="spellEnd"/>
      <w:r w:rsidRPr="0093650A">
        <w:rPr>
          <w:lang w:val="en-US"/>
        </w:rPr>
        <w:t xml:space="preserve"> Berlin, Germany</w:t>
      </w:r>
    </w:p>
    <w:p w14:paraId="445F005C" w14:textId="77777777" w:rsidR="00660E28" w:rsidRPr="0093650A" w:rsidRDefault="00660E28" w:rsidP="00660E28">
      <w:pPr>
        <w:spacing w:line="360" w:lineRule="auto"/>
        <w:rPr>
          <w:lang w:val="en-US"/>
        </w:rPr>
      </w:pPr>
      <w:r>
        <w:rPr>
          <w:lang w:val="en-US"/>
        </w:rPr>
        <w:t xml:space="preserve">6 </w:t>
      </w:r>
      <w:r w:rsidRPr="00F50C3C">
        <w:rPr>
          <w:lang w:val="en-US"/>
        </w:rPr>
        <w:t xml:space="preserve">Department of Psychiatry and Neurosciences, Charité – </w:t>
      </w:r>
      <w:proofErr w:type="spellStart"/>
      <w:r w:rsidRPr="00F50C3C">
        <w:rPr>
          <w:lang w:val="en-US"/>
        </w:rPr>
        <w:t>Universitätsmedizin</w:t>
      </w:r>
      <w:proofErr w:type="spellEnd"/>
      <w:r w:rsidRPr="00F50C3C">
        <w:rPr>
          <w:lang w:val="en-US"/>
        </w:rPr>
        <w:t xml:space="preserve"> Berlin, corporate member of </w:t>
      </w:r>
      <w:proofErr w:type="spellStart"/>
      <w:r w:rsidRPr="00F50C3C">
        <w:rPr>
          <w:lang w:val="en-US"/>
        </w:rPr>
        <w:t>Freie</w:t>
      </w:r>
      <w:proofErr w:type="spellEnd"/>
      <w:r w:rsidRPr="00F50C3C">
        <w:rPr>
          <w:lang w:val="en-US"/>
        </w:rPr>
        <w:t xml:space="preserve"> Universität Berlin and Humboldt-Universität </w:t>
      </w:r>
      <w:proofErr w:type="spellStart"/>
      <w:r w:rsidRPr="00F50C3C">
        <w:rPr>
          <w:lang w:val="en-US"/>
        </w:rPr>
        <w:t>zu</w:t>
      </w:r>
      <w:proofErr w:type="spellEnd"/>
      <w:r w:rsidRPr="00F50C3C">
        <w:rPr>
          <w:lang w:val="en-US"/>
        </w:rPr>
        <w:t xml:space="preserve"> Berlin, Germany</w:t>
      </w:r>
    </w:p>
    <w:p w14:paraId="0B9DA091" w14:textId="77777777" w:rsidR="00660E28" w:rsidRDefault="00660E28" w:rsidP="00660E28">
      <w:pPr>
        <w:spacing w:line="360" w:lineRule="auto"/>
        <w:rPr>
          <w:lang w:val="en-US"/>
        </w:rPr>
      </w:pPr>
      <w:r>
        <w:rPr>
          <w:lang w:val="en-US"/>
        </w:rPr>
        <w:t xml:space="preserve">7 </w:t>
      </w:r>
      <w:r w:rsidRPr="00AC724B">
        <w:rPr>
          <w:lang w:val="en-US"/>
        </w:rPr>
        <w:t xml:space="preserve">Berlin School of Mind and Brain, Humboldt-Universität </w:t>
      </w:r>
      <w:proofErr w:type="spellStart"/>
      <w:r w:rsidRPr="00AC724B">
        <w:rPr>
          <w:lang w:val="en-US"/>
        </w:rPr>
        <w:t>zu</w:t>
      </w:r>
      <w:proofErr w:type="spellEnd"/>
      <w:r w:rsidRPr="00AC724B">
        <w:rPr>
          <w:lang w:val="en-US"/>
        </w:rPr>
        <w:t xml:space="preserve"> Berlin, Germany</w:t>
      </w:r>
    </w:p>
    <w:p w14:paraId="392597AB" w14:textId="7F443555" w:rsidR="00660E28" w:rsidRDefault="00660E28" w:rsidP="00660E28">
      <w:pPr>
        <w:spacing w:line="360" w:lineRule="auto"/>
        <w:rPr>
          <w:lang w:val="en-US"/>
        </w:rPr>
      </w:pPr>
      <w:r>
        <w:rPr>
          <w:lang w:val="en-US"/>
        </w:rPr>
        <w:t xml:space="preserve">8 </w:t>
      </w:r>
      <w:r w:rsidR="008F7EF5">
        <w:rPr>
          <w:lang w:val="en-US"/>
        </w:rPr>
        <w:t>Division of</w:t>
      </w:r>
      <w:r w:rsidRPr="007F6E46">
        <w:rPr>
          <w:lang w:val="en-US"/>
        </w:rPr>
        <w:t xml:space="preserve"> Neuroimmunology, Department of Neurology, University of Heidelberg, Heidelberg, Germany</w:t>
      </w:r>
    </w:p>
    <w:p w14:paraId="72384F6A" w14:textId="77777777" w:rsidR="00660E28" w:rsidRDefault="00660E28" w:rsidP="00660E28">
      <w:pPr>
        <w:spacing w:line="360" w:lineRule="auto"/>
        <w:rPr>
          <w:lang w:val="en-US"/>
        </w:rPr>
      </w:pPr>
      <w:r>
        <w:rPr>
          <w:lang w:val="en-US"/>
        </w:rPr>
        <w:t>9 Ochsner Health System, Department of Neurosurgery, New Orleans Louisiana USA</w:t>
      </w:r>
    </w:p>
    <w:bookmarkEnd w:id="1"/>
    <w:p w14:paraId="5A6ABD91" w14:textId="77777777" w:rsidR="00AA2024" w:rsidRDefault="00AA2024" w:rsidP="00AA2024">
      <w:pPr>
        <w:rPr>
          <w:u w:val="single"/>
          <w:lang w:val="en-US"/>
        </w:rPr>
      </w:pPr>
    </w:p>
    <w:p w14:paraId="2F277AEC" w14:textId="33D2E6F0" w:rsidR="00C31785" w:rsidRPr="00C31785" w:rsidRDefault="00C31785" w:rsidP="00C31785">
      <w:pPr>
        <w:rPr>
          <w:u w:val="single"/>
          <w:lang w:val="en-US"/>
        </w:rPr>
      </w:pPr>
      <w:r w:rsidRPr="00C31785">
        <w:rPr>
          <w:u w:val="single"/>
          <w:lang w:val="en-US"/>
        </w:rPr>
        <w:t xml:space="preserve">Inclusion and exclusion criteria for the “NMO cohort”: </w:t>
      </w:r>
    </w:p>
    <w:p w14:paraId="51D0E161" w14:textId="77777777" w:rsidR="00C31785" w:rsidRDefault="00C31785" w:rsidP="00C31785">
      <w:pPr>
        <w:rPr>
          <w:lang w:val="en-US"/>
        </w:rPr>
      </w:pPr>
      <w:r>
        <w:rPr>
          <w:lang w:val="en-US"/>
        </w:rPr>
        <w:t xml:space="preserve">Inclusion criteria: </w:t>
      </w:r>
    </w:p>
    <w:p w14:paraId="55632C24" w14:textId="77777777" w:rsidR="00C31785" w:rsidRDefault="00C31785" w:rsidP="00C31785">
      <w:pPr>
        <w:pStyle w:val="Listenabsatz"/>
        <w:numPr>
          <w:ilvl w:val="0"/>
          <w:numId w:val="6"/>
        </w:numPr>
        <w:rPr>
          <w:lang w:val="en-US"/>
        </w:rPr>
      </w:pPr>
      <w:r w:rsidRPr="00B3543F">
        <w:rPr>
          <w:lang w:val="en-US"/>
        </w:rPr>
        <w:t>Age between 18 and 70 years</w:t>
      </w:r>
    </w:p>
    <w:p w14:paraId="58A13C1D" w14:textId="77777777" w:rsidR="00C31785" w:rsidRPr="00B3543F" w:rsidRDefault="00C31785" w:rsidP="00C31785">
      <w:pPr>
        <w:pStyle w:val="Listenabsatz"/>
        <w:numPr>
          <w:ilvl w:val="0"/>
          <w:numId w:val="6"/>
        </w:numPr>
        <w:rPr>
          <w:lang w:val="en-US"/>
        </w:rPr>
      </w:pPr>
      <w:r w:rsidRPr="00B3543F">
        <w:rPr>
          <w:lang w:val="en-US"/>
        </w:rPr>
        <w:t xml:space="preserve">Presence of a disease from the neuromyelitis </w:t>
      </w:r>
      <w:proofErr w:type="spellStart"/>
      <w:r w:rsidRPr="00B3543F">
        <w:rPr>
          <w:lang w:val="en-US"/>
        </w:rPr>
        <w:t>optica</w:t>
      </w:r>
      <w:proofErr w:type="spellEnd"/>
      <w:r w:rsidRPr="00B3543F">
        <w:rPr>
          <w:lang w:val="en-US"/>
        </w:rPr>
        <w:t xml:space="preserve"> (NMO) spectrum (see below)</w:t>
      </w:r>
    </w:p>
    <w:p w14:paraId="3C8C18F9" w14:textId="77777777" w:rsidR="00C31785" w:rsidRPr="00B3543F" w:rsidRDefault="00C31785" w:rsidP="00C31785">
      <w:pPr>
        <w:pStyle w:val="Listenabsatz"/>
        <w:numPr>
          <w:ilvl w:val="0"/>
          <w:numId w:val="6"/>
        </w:numPr>
        <w:rPr>
          <w:lang w:val="en-US"/>
        </w:rPr>
      </w:pPr>
      <w:r w:rsidRPr="00B3543F">
        <w:rPr>
          <w:lang w:val="en-US"/>
        </w:rPr>
        <w:t>Inclusion diagnoses from the NMO spectrum are:</w:t>
      </w:r>
    </w:p>
    <w:p w14:paraId="65A6ECA2" w14:textId="77777777" w:rsidR="00C31785" w:rsidRPr="00B3543F" w:rsidRDefault="00C31785" w:rsidP="00C31785">
      <w:pPr>
        <w:pStyle w:val="Listenabsatz"/>
        <w:rPr>
          <w:lang w:val="en-US"/>
        </w:rPr>
      </w:pPr>
      <w:r w:rsidRPr="00B3543F">
        <w:rPr>
          <w:lang w:val="en-US"/>
        </w:rPr>
        <w:t>-</w:t>
      </w:r>
      <w:r>
        <w:rPr>
          <w:lang w:val="en-US"/>
        </w:rPr>
        <w:t xml:space="preserve"> </w:t>
      </w:r>
      <w:r w:rsidRPr="00B3543F">
        <w:rPr>
          <w:lang w:val="en-US"/>
        </w:rPr>
        <w:t xml:space="preserve">NMO according to </w:t>
      </w:r>
      <w:proofErr w:type="spellStart"/>
      <w:r w:rsidRPr="00B3543F">
        <w:rPr>
          <w:lang w:val="en-US"/>
        </w:rPr>
        <w:t>Wingerchuk</w:t>
      </w:r>
      <w:proofErr w:type="spellEnd"/>
      <w:r w:rsidRPr="00B3543F">
        <w:rPr>
          <w:lang w:val="en-US"/>
        </w:rPr>
        <w:t xml:space="preserve"> 2006</w:t>
      </w:r>
    </w:p>
    <w:p w14:paraId="4FD0FD6F" w14:textId="18BF5DBB" w:rsidR="00C31785" w:rsidRPr="00B3543F" w:rsidRDefault="00C31785" w:rsidP="00C31785">
      <w:pPr>
        <w:pStyle w:val="Listenabsatz"/>
        <w:rPr>
          <w:lang w:val="en-US"/>
        </w:rPr>
      </w:pPr>
      <w:r w:rsidRPr="00B3543F">
        <w:rPr>
          <w:lang w:val="en-US"/>
        </w:rPr>
        <w:t xml:space="preserve">- </w:t>
      </w:r>
      <w:r>
        <w:rPr>
          <w:lang w:val="en-US"/>
        </w:rPr>
        <w:t>a</w:t>
      </w:r>
      <w:r w:rsidRPr="0093650A">
        <w:rPr>
          <w:lang w:val="en-US"/>
        </w:rPr>
        <w:t>quaporin-4</w:t>
      </w:r>
      <w:r w:rsidR="00FA30A7">
        <w:rPr>
          <w:lang w:val="en-US"/>
        </w:rPr>
        <w:t xml:space="preserve"> i</w:t>
      </w:r>
      <w:r w:rsidR="00FA30A7" w:rsidRPr="0093650A">
        <w:rPr>
          <w:lang w:val="en-US"/>
        </w:rPr>
        <w:t xml:space="preserve">mmunoglobulin G positive </w:t>
      </w:r>
      <w:r>
        <w:rPr>
          <w:lang w:val="en-US"/>
        </w:rPr>
        <w:t>(</w:t>
      </w:r>
      <w:r>
        <w:rPr>
          <w:rFonts w:cstheme="minorHAnsi"/>
          <w:lang w:val="en-US"/>
        </w:rPr>
        <w:t xml:space="preserve">AQP4+) </w:t>
      </w:r>
      <w:r>
        <w:rPr>
          <w:lang w:val="en-US"/>
        </w:rPr>
        <w:t>NMO</w:t>
      </w:r>
      <w:r w:rsidRPr="00B3543F">
        <w:rPr>
          <w:lang w:val="en-US"/>
        </w:rPr>
        <w:t xml:space="preserve"> according to </w:t>
      </w:r>
      <w:proofErr w:type="spellStart"/>
      <w:r w:rsidRPr="00B3543F">
        <w:rPr>
          <w:lang w:val="en-US"/>
        </w:rPr>
        <w:t>Wingerchuk</w:t>
      </w:r>
      <w:proofErr w:type="spellEnd"/>
      <w:r w:rsidRPr="00B3543F">
        <w:rPr>
          <w:lang w:val="en-US"/>
        </w:rPr>
        <w:t xml:space="preserve"> </w:t>
      </w:r>
      <w:r>
        <w:rPr>
          <w:lang w:val="en-US"/>
        </w:rPr>
        <w:t xml:space="preserve">      </w:t>
      </w:r>
      <w:r w:rsidRPr="00B3543F">
        <w:rPr>
          <w:lang w:val="en-US"/>
        </w:rPr>
        <w:t>2015</w:t>
      </w:r>
    </w:p>
    <w:p w14:paraId="1F976B76" w14:textId="20B9401E" w:rsidR="00C31785" w:rsidRPr="00B3543F" w:rsidRDefault="00C31785" w:rsidP="00C31785">
      <w:pPr>
        <w:pStyle w:val="Listenabsatz"/>
        <w:rPr>
          <w:lang w:val="en-US"/>
        </w:rPr>
      </w:pPr>
      <w:r w:rsidRPr="00B3543F">
        <w:rPr>
          <w:lang w:val="en-US"/>
        </w:rPr>
        <w:t xml:space="preserve">- </w:t>
      </w:r>
      <w:r>
        <w:rPr>
          <w:lang w:val="en-US"/>
        </w:rPr>
        <w:t>a</w:t>
      </w:r>
      <w:r w:rsidRPr="0093650A">
        <w:rPr>
          <w:lang w:val="en-US"/>
        </w:rPr>
        <w:t>quaporin-4</w:t>
      </w:r>
      <w:r w:rsidR="00FA30A7">
        <w:rPr>
          <w:lang w:val="en-US"/>
        </w:rPr>
        <w:t xml:space="preserve"> </w:t>
      </w:r>
      <w:r>
        <w:rPr>
          <w:lang w:val="en-US"/>
        </w:rPr>
        <w:t xml:space="preserve">immunoglobulin </w:t>
      </w:r>
      <w:r w:rsidRPr="0093650A">
        <w:rPr>
          <w:lang w:val="en-US"/>
        </w:rPr>
        <w:t>G</w:t>
      </w:r>
      <w:r>
        <w:rPr>
          <w:lang w:val="en-US"/>
        </w:rPr>
        <w:t xml:space="preserve"> negative</w:t>
      </w:r>
      <w:r w:rsidRPr="0093650A">
        <w:rPr>
          <w:lang w:val="en-US"/>
        </w:rPr>
        <w:t xml:space="preserve"> </w:t>
      </w:r>
      <w:r>
        <w:rPr>
          <w:lang w:val="en-US"/>
        </w:rPr>
        <w:t>(</w:t>
      </w:r>
      <w:r>
        <w:rPr>
          <w:rFonts w:cstheme="minorHAnsi"/>
          <w:lang w:val="en-US"/>
        </w:rPr>
        <w:t xml:space="preserve">AQP4-) </w:t>
      </w:r>
      <w:r w:rsidRPr="00B3543F">
        <w:rPr>
          <w:lang w:val="en-US"/>
        </w:rPr>
        <w:t xml:space="preserve">NMO according to </w:t>
      </w:r>
      <w:proofErr w:type="spellStart"/>
      <w:r w:rsidRPr="00B3543F">
        <w:rPr>
          <w:lang w:val="en-US"/>
        </w:rPr>
        <w:t>Wingerchuk</w:t>
      </w:r>
      <w:proofErr w:type="spellEnd"/>
      <w:r w:rsidRPr="00B3543F">
        <w:rPr>
          <w:lang w:val="en-US"/>
        </w:rPr>
        <w:t xml:space="preserve"> </w:t>
      </w:r>
      <w:r>
        <w:rPr>
          <w:lang w:val="en-US"/>
        </w:rPr>
        <w:t xml:space="preserve">  </w:t>
      </w:r>
      <w:r w:rsidRPr="00B3543F">
        <w:rPr>
          <w:lang w:val="en-US"/>
        </w:rPr>
        <w:t>2015</w:t>
      </w:r>
    </w:p>
    <w:p w14:paraId="64D3BBAA" w14:textId="11B4EEA4" w:rsidR="00C31785" w:rsidRPr="00B3543F" w:rsidRDefault="00C31785" w:rsidP="00C31785">
      <w:pPr>
        <w:pStyle w:val="Listenabsatz"/>
        <w:rPr>
          <w:lang w:val="en-US"/>
        </w:rPr>
      </w:pPr>
      <w:r w:rsidRPr="00B3543F">
        <w:rPr>
          <w:lang w:val="en-US"/>
        </w:rPr>
        <w:t xml:space="preserve">- </w:t>
      </w:r>
      <w:r>
        <w:rPr>
          <w:lang w:val="en-US"/>
        </w:rPr>
        <w:t>longitudinal extensive transverse myelitis (</w:t>
      </w:r>
      <w:r w:rsidRPr="00B3543F">
        <w:rPr>
          <w:lang w:val="en-US"/>
        </w:rPr>
        <w:t>LETM</w:t>
      </w:r>
      <w:r>
        <w:rPr>
          <w:lang w:val="en-US"/>
        </w:rPr>
        <w:t>)</w:t>
      </w:r>
      <w:r w:rsidR="00161EC1">
        <w:rPr>
          <w:lang w:val="en-US"/>
        </w:rPr>
        <w:t xml:space="preserve">, </w:t>
      </w:r>
      <w:r w:rsidRPr="00B3543F">
        <w:rPr>
          <w:lang w:val="en-US"/>
        </w:rPr>
        <w:t>recurrent optic neuritis</w:t>
      </w:r>
    </w:p>
    <w:p w14:paraId="19CA1AF1" w14:textId="77777777" w:rsidR="00161EC1" w:rsidRDefault="00C31785" w:rsidP="00161EC1">
      <w:pPr>
        <w:pStyle w:val="Listenabsatz"/>
        <w:rPr>
          <w:lang w:val="en-US"/>
        </w:rPr>
      </w:pPr>
      <w:r w:rsidRPr="00B3543F">
        <w:rPr>
          <w:lang w:val="en-US"/>
        </w:rPr>
        <w:t xml:space="preserve">- </w:t>
      </w:r>
      <w:r w:rsidRPr="0093650A">
        <w:rPr>
          <w:lang w:val="en-US"/>
        </w:rPr>
        <w:t xml:space="preserve">Myelin oligodendrocyte glycoprotein </w:t>
      </w:r>
      <w:r>
        <w:rPr>
          <w:lang w:val="en-US"/>
        </w:rPr>
        <w:t>IgG positive (MOG+)</w:t>
      </w:r>
    </w:p>
    <w:p w14:paraId="78E96906" w14:textId="102FEDFF" w:rsidR="00C31785" w:rsidRPr="00161EC1" w:rsidRDefault="00C31785" w:rsidP="00161EC1">
      <w:pPr>
        <w:rPr>
          <w:lang w:val="en-US"/>
        </w:rPr>
      </w:pPr>
      <w:r w:rsidRPr="00161EC1">
        <w:rPr>
          <w:lang w:val="en-US"/>
        </w:rPr>
        <w:lastRenderedPageBreak/>
        <w:t xml:space="preserve">Exclusion criteria: </w:t>
      </w:r>
    </w:p>
    <w:p w14:paraId="2D6F1653" w14:textId="77777777" w:rsidR="00C31785" w:rsidRPr="0008620E" w:rsidRDefault="00C31785" w:rsidP="00C31785">
      <w:pPr>
        <w:pStyle w:val="Listenabsatz"/>
        <w:numPr>
          <w:ilvl w:val="0"/>
          <w:numId w:val="5"/>
        </w:numPr>
        <w:rPr>
          <w:lang w:val="en-US"/>
        </w:rPr>
      </w:pPr>
      <w:r w:rsidRPr="0008620E">
        <w:rPr>
          <w:lang w:val="en-US"/>
        </w:rPr>
        <w:t xml:space="preserve">patients with a diagnosis of </w:t>
      </w:r>
      <w:r>
        <w:rPr>
          <w:lang w:val="en-US"/>
        </w:rPr>
        <w:t>multiple sclerosis (</w:t>
      </w:r>
      <w:r w:rsidRPr="0008620E">
        <w:rPr>
          <w:lang w:val="en-US"/>
        </w:rPr>
        <w:t>MS</w:t>
      </w:r>
      <w:r>
        <w:rPr>
          <w:lang w:val="en-US"/>
        </w:rPr>
        <w:t>)</w:t>
      </w:r>
      <w:r w:rsidRPr="0008620E">
        <w:rPr>
          <w:lang w:val="en-US"/>
        </w:rPr>
        <w:t xml:space="preserve"> according to the McDonald 2010 criteria, </w:t>
      </w:r>
    </w:p>
    <w:p w14:paraId="19B82D78" w14:textId="77777777" w:rsidR="00C31785" w:rsidRDefault="00C31785" w:rsidP="00C31785">
      <w:pPr>
        <w:pStyle w:val="Listenabsatz"/>
        <w:numPr>
          <w:ilvl w:val="0"/>
          <w:numId w:val="5"/>
        </w:numPr>
        <w:rPr>
          <w:lang w:val="en-US"/>
        </w:rPr>
      </w:pPr>
      <w:r w:rsidRPr="0008620E">
        <w:rPr>
          <w:lang w:val="en-US"/>
        </w:rPr>
        <w:t>a contraindication or other condition affecting retina</w:t>
      </w:r>
      <w:r>
        <w:rPr>
          <w:lang w:val="en-US"/>
        </w:rPr>
        <w:t xml:space="preserve">l (optical coherence tomography) </w:t>
      </w:r>
      <w:r w:rsidRPr="0008620E">
        <w:rPr>
          <w:lang w:val="en-US"/>
        </w:rPr>
        <w:t xml:space="preserve">and </w:t>
      </w:r>
    </w:p>
    <w:p w14:paraId="49B51ABA" w14:textId="77777777" w:rsidR="00C31785" w:rsidRPr="00B3543F" w:rsidRDefault="00C31785" w:rsidP="00C31785">
      <w:pPr>
        <w:pStyle w:val="Listenabsatz"/>
        <w:numPr>
          <w:ilvl w:val="0"/>
          <w:numId w:val="5"/>
        </w:numPr>
        <w:rPr>
          <w:lang w:val="en-US"/>
        </w:rPr>
      </w:pPr>
      <w:r w:rsidRPr="0008620E">
        <w:rPr>
          <w:lang w:val="en-US"/>
        </w:rPr>
        <w:t>contraindication or other condition affecting magnet resonance tomography imaging (MRI).</w:t>
      </w:r>
    </w:p>
    <w:p w14:paraId="43CF2C02" w14:textId="77777777" w:rsidR="00C31785" w:rsidRPr="00B3543F" w:rsidRDefault="00C31785" w:rsidP="00C31785">
      <w:pPr>
        <w:pStyle w:val="Listenabsatz"/>
        <w:numPr>
          <w:ilvl w:val="0"/>
          <w:numId w:val="5"/>
        </w:numPr>
        <w:rPr>
          <w:lang w:val="en-US"/>
        </w:rPr>
      </w:pPr>
      <w:r w:rsidRPr="00B3543F">
        <w:rPr>
          <w:lang w:val="en-US"/>
        </w:rPr>
        <w:t>clinically relevant concomitant diseases that would prevent participation in the study in the opinion of the investigator? (e.g. arterial hypertension not controlled by medication, severe diabetes mellitus, alcohol or drug abuse, chronic infectious diseases such as HIV or hepatitis)</w:t>
      </w:r>
    </w:p>
    <w:p w14:paraId="7DD82BC7" w14:textId="77777777" w:rsidR="00C31785" w:rsidRPr="00B3543F" w:rsidRDefault="00C31785" w:rsidP="00C31785">
      <w:pPr>
        <w:pStyle w:val="Listenabsatz"/>
        <w:numPr>
          <w:ilvl w:val="0"/>
          <w:numId w:val="5"/>
        </w:numPr>
        <w:rPr>
          <w:lang w:val="en-US"/>
        </w:rPr>
      </w:pPr>
      <w:r>
        <w:rPr>
          <w:lang w:val="en-US"/>
        </w:rPr>
        <w:t xml:space="preserve">limitation to </w:t>
      </w:r>
      <w:r w:rsidRPr="00B3543F">
        <w:rPr>
          <w:lang w:val="en-US"/>
        </w:rPr>
        <w:t xml:space="preserve">give informed consent, adhere to the rules of the </w:t>
      </w:r>
      <w:r>
        <w:rPr>
          <w:lang w:val="en-US"/>
        </w:rPr>
        <w:t>protocol and complete the study</w:t>
      </w:r>
    </w:p>
    <w:p w14:paraId="69147670" w14:textId="77777777" w:rsidR="00C31785" w:rsidRPr="00B3543F" w:rsidRDefault="00C31785" w:rsidP="00C31785">
      <w:pPr>
        <w:pStyle w:val="Listenabsatz"/>
        <w:numPr>
          <w:ilvl w:val="0"/>
          <w:numId w:val="5"/>
        </w:numPr>
        <w:rPr>
          <w:lang w:val="en-US"/>
        </w:rPr>
      </w:pPr>
      <w:r>
        <w:rPr>
          <w:lang w:val="en-US"/>
        </w:rPr>
        <w:t>pregnancy</w:t>
      </w:r>
    </w:p>
    <w:p w14:paraId="1621F101" w14:textId="77777777" w:rsidR="00C31785" w:rsidRPr="0072771D" w:rsidRDefault="00C31785" w:rsidP="00185DA3">
      <w:pPr>
        <w:rPr>
          <w:lang w:val="en-US"/>
        </w:rPr>
      </w:pPr>
    </w:p>
    <w:p w14:paraId="73C9C4B2" w14:textId="77777777" w:rsidR="00185DA3" w:rsidRPr="00E11B44" w:rsidRDefault="007002F7" w:rsidP="00185DA3">
      <w:pPr>
        <w:rPr>
          <w:u w:val="single"/>
          <w:lang w:val="en-US"/>
        </w:rPr>
      </w:pPr>
      <w:r w:rsidRPr="00E11B44">
        <w:rPr>
          <w:u w:val="single"/>
          <w:lang w:val="en-US"/>
        </w:rPr>
        <w:t xml:space="preserve">Supplemental </w:t>
      </w:r>
      <w:r w:rsidR="00185DA3" w:rsidRPr="00E11B44">
        <w:rPr>
          <w:u w:val="single"/>
          <w:lang w:val="en-US"/>
        </w:rPr>
        <w:t>Tab</w:t>
      </w:r>
      <w:r w:rsidRPr="00E11B44">
        <w:rPr>
          <w:u w:val="single"/>
          <w:lang w:val="en-US"/>
        </w:rPr>
        <w:t>le</w:t>
      </w:r>
      <w:r w:rsidR="00185DA3" w:rsidRPr="00E11B44">
        <w:rPr>
          <w:u w:val="single"/>
          <w:lang w:val="en-US"/>
        </w:rPr>
        <w:t xml:space="preserve"> 1 </w:t>
      </w:r>
    </w:p>
    <w:p w14:paraId="13B01104" w14:textId="20FB1E73" w:rsidR="007002F7" w:rsidRDefault="007002F7" w:rsidP="007002F7">
      <w:pPr>
        <w:rPr>
          <w:lang w:val="en-US"/>
        </w:rPr>
      </w:pPr>
      <w:r>
        <w:rPr>
          <w:lang w:val="en-US"/>
        </w:rPr>
        <w:t xml:space="preserve">Cognitive impairment of MOGAD, NMOSD patients and healthy </w:t>
      </w:r>
      <w:r w:rsidR="006B1855">
        <w:rPr>
          <w:lang w:val="en-US"/>
        </w:rPr>
        <w:t>controls</w:t>
      </w:r>
      <w:r>
        <w:rPr>
          <w:lang w:val="en-US"/>
        </w:rPr>
        <w:t xml:space="preserve"> in different cognitive tests</w:t>
      </w:r>
    </w:p>
    <w:tbl>
      <w:tblPr>
        <w:tblStyle w:val="Tabellenraster"/>
        <w:tblW w:w="0" w:type="auto"/>
        <w:tblLook w:val="04A0" w:firstRow="1" w:lastRow="0" w:firstColumn="1" w:lastColumn="0" w:noHBand="0" w:noVBand="1"/>
      </w:tblPr>
      <w:tblGrid>
        <w:gridCol w:w="1706"/>
        <w:gridCol w:w="1839"/>
        <w:gridCol w:w="1839"/>
        <w:gridCol w:w="1839"/>
        <w:gridCol w:w="1839"/>
      </w:tblGrid>
      <w:tr w:rsidR="007002F7" w14:paraId="3E64B43D" w14:textId="77777777" w:rsidTr="00C80CD8">
        <w:trPr>
          <w:trHeight w:val="600"/>
        </w:trPr>
        <w:tc>
          <w:tcPr>
            <w:tcW w:w="2476" w:type="dxa"/>
          </w:tcPr>
          <w:p w14:paraId="64897A9A" w14:textId="77777777" w:rsidR="007002F7" w:rsidRDefault="007002F7" w:rsidP="00C80CD8">
            <w:pPr>
              <w:rPr>
                <w:lang w:val="en-US"/>
              </w:rPr>
            </w:pPr>
            <w:r>
              <w:rPr>
                <w:lang w:val="en-US"/>
              </w:rPr>
              <w:t xml:space="preserve">Test abbr. </w:t>
            </w:r>
          </w:p>
        </w:tc>
        <w:tc>
          <w:tcPr>
            <w:tcW w:w="2499" w:type="dxa"/>
          </w:tcPr>
          <w:p w14:paraId="09314FF9" w14:textId="77777777" w:rsidR="007002F7" w:rsidRDefault="007002F7" w:rsidP="00C80CD8">
            <w:pPr>
              <w:jc w:val="center"/>
              <w:rPr>
                <w:lang w:val="en-US"/>
              </w:rPr>
            </w:pPr>
            <w:r>
              <w:rPr>
                <w:lang w:val="en-US"/>
              </w:rPr>
              <w:t>Healthy controls</w:t>
            </w:r>
          </w:p>
        </w:tc>
        <w:tc>
          <w:tcPr>
            <w:tcW w:w="2499" w:type="dxa"/>
          </w:tcPr>
          <w:p w14:paraId="43D5B7C2" w14:textId="77777777" w:rsidR="007002F7" w:rsidRDefault="007002F7" w:rsidP="00C80CD8">
            <w:pPr>
              <w:jc w:val="center"/>
              <w:rPr>
                <w:lang w:val="en-US"/>
              </w:rPr>
            </w:pPr>
            <w:r>
              <w:rPr>
                <w:lang w:val="en-US"/>
              </w:rPr>
              <w:t>MOGAD</w:t>
            </w:r>
          </w:p>
        </w:tc>
        <w:tc>
          <w:tcPr>
            <w:tcW w:w="2499" w:type="dxa"/>
          </w:tcPr>
          <w:p w14:paraId="78F75F12" w14:textId="77777777" w:rsidR="007002F7" w:rsidRDefault="007002F7" w:rsidP="00C80CD8">
            <w:pPr>
              <w:jc w:val="center"/>
              <w:rPr>
                <w:lang w:val="en-US"/>
              </w:rPr>
            </w:pPr>
            <w:r>
              <w:rPr>
                <w:lang w:val="en-US"/>
              </w:rPr>
              <w:t>AQP4+</w:t>
            </w:r>
          </w:p>
          <w:p w14:paraId="45072E53" w14:textId="77777777" w:rsidR="007002F7" w:rsidRDefault="007002F7" w:rsidP="00C80CD8">
            <w:pPr>
              <w:jc w:val="center"/>
              <w:rPr>
                <w:lang w:val="en-US"/>
              </w:rPr>
            </w:pPr>
            <w:r>
              <w:rPr>
                <w:lang w:val="en-US"/>
              </w:rPr>
              <w:t>NMOSD</w:t>
            </w:r>
          </w:p>
        </w:tc>
        <w:tc>
          <w:tcPr>
            <w:tcW w:w="2499" w:type="dxa"/>
          </w:tcPr>
          <w:p w14:paraId="3F88F880" w14:textId="77777777" w:rsidR="007002F7" w:rsidRDefault="007002F7" w:rsidP="00C80CD8">
            <w:pPr>
              <w:jc w:val="center"/>
              <w:rPr>
                <w:lang w:val="en-US"/>
              </w:rPr>
            </w:pPr>
            <w:r>
              <w:rPr>
                <w:lang w:val="en-US"/>
              </w:rPr>
              <w:t>AQP4-</w:t>
            </w:r>
          </w:p>
          <w:p w14:paraId="04B211E2" w14:textId="77777777" w:rsidR="007002F7" w:rsidRDefault="007002F7" w:rsidP="00C80CD8">
            <w:pPr>
              <w:jc w:val="center"/>
              <w:rPr>
                <w:lang w:val="en-US"/>
              </w:rPr>
            </w:pPr>
            <w:r>
              <w:rPr>
                <w:lang w:val="en-US"/>
              </w:rPr>
              <w:t>NMOSD</w:t>
            </w:r>
          </w:p>
        </w:tc>
      </w:tr>
      <w:tr w:rsidR="007002F7" w14:paraId="38392F42" w14:textId="77777777" w:rsidTr="00C80CD8">
        <w:trPr>
          <w:trHeight w:val="890"/>
        </w:trPr>
        <w:tc>
          <w:tcPr>
            <w:tcW w:w="2476" w:type="dxa"/>
          </w:tcPr>
          <w:p w14:paraId="38635749" w14:textId="77777777" w:rsidR="007002F7" w:rsidRDefault="007002F7" w:rsidP="00C80CD8">
            <w:pPr>
              <w:rPr>
                <w:lang w:val="en-US"/>
              </w:rPr>
            </w:pPr>
          </w:p>
        </w:tc>
        <w:tc>
          <w:tcPr>
            <w:tcW w:w="2499" w:type="dxa"/>
          </w:tcPr>
          <w:p w14:paraId="56185E2A" w14:textId="77777777" w:rsidR="007002F7" w:rsidRDefault="007002F7" w:rsidP="00C80CD8">
            <w:pPr>
              <w:jc w:val="center"/>
              <w:rPr>
                <w:lang w:val="en-US"/>
              </w:rPr>
            </w:pPr>
            <w:r>
              <w:rPr>
                <w:lang w:val="en-US"/>
              </w:rPr>
              <w:t>N (%) cognitive impaired</w:t>
            </w:r>
          </w:p>
        </w:tc>
        <w:tc>
          <w:tcPr>
            <w:tcW w:w="2499" w:type="dxa"/>
          </w:tcPr>
          <w:p w14:paraId="7FE15881" w14:textId="77777777" w:rsidR="007002F7" w:rsidRDefault="007002F7" w:rsidP="00C80CD8">
            <w:pPr>
              <w:jc w:val="center"/>
              <w:rPr>
                <w:lang w:val="en-US"/>
              </w:rPr>
            </w:pPr>
            <w:r>
              <w:rPr>
                <w:lang w:val="en-US"/>
              </w:rPr>
              <w:t>N (%) cognitive impaired</w:t>
            </w:r>
          </w:p>
        </w:tc>
        <w:tc>
          <w:tcPr>
            <w:tcW w:w="2499" w:type="dxa"/>
          </w:tcPr>
          <w:p w14:paraId="030D589C" w14:textId="77777777" w:rsidR="007002F7" w:rsidRDefault="007002F7" w:rsidP="00C80CD8">
            <w:pPr>
              <w:jc w:val="center"/>
              <w:rPr>
                <w:lang w:val="en-US"/>
              </w:rPr>
            </w:pPr>
            <w:r>
              <w:rPr>
                <w:lang w:val="en-US"/>
              </w:rPr>
              <w:t>N (%) cognitive impaired</w:t>
            </w:r>
          </w:p>
        </w:tc>
        <w:tc>
          <w:tcPr>
            <w:tcW w:w="2499" w:type="dxa"/>
          </w:tcPr>
          <w:p w14:paraId="320D0302" w14:textId="77777777" w:rsidR="007002F7" w:rsidRDefault="007002F7" w:rsidP="00C80CD8">
            <w:pPr>
              <w:jc w:val="center"/>
              <w:rPr>
                <w:lang w:val="en-US"/>
              </w:rPr>
            </w:pPr>
            <w:r>
              <w:rPr>
                <w:lang w:val="en-US"/>
              </w:rPr>
              <w:t>N (%) cognitive impaired</w:t>
            </w:r>
          </w:p>
        </w:tc>
      </w:tr>
      <w:tr w:rsidR="007002F7" w14:paraId="31EE9A0E" w14:textId="77777777" w:rsidTr="00C80CD8">
        <w:trPr>
          <w:trHeight w:val="397"/>
        </w:trPr>
        <w:tc>
          <w:tcPr>
            <w:tcW w:w="2476" w:type="dxa"/>
          </w:tcPr>
          <w:p w14:paraId="04D6C50E" w14:textId="77777777" w:rsidR="007002F7" w:rsidRDefault="007002F7" w:rsidP="00C80CD8">
            <w:pPr>
              <w:rPr>
                <w:lang w:val="en-US"/>
              </w:rPr>
            </w:pPr>
            <w:r>
              <w:rPr>
                <w:lang w:val="en-US"/>
              </w:rPr>
              <w:t>SRT LTS SUM</w:t>
            </w:r>
          </w:p>
        </w:tc>
        <w:tc>
          <w:tcPr>
            <w:tcW w:w="2499" w:type="dxa"/>
          </w:tcPr>
          <w:p w14:paraId="3E5267E7" w14:textId="77777777" w:rsidR="007002F7" w:rsidRDefault="007002F7" w:rsidP="00C80CD8">
            <w:pPr>
              <w:jc w:val="center"/>
              <w:rPr>
                <w:lang w:val="en-US"/>
              </w:rPr>
            </w:pPr>
            <w:r>
              <w:rPr>
                <w:lang w:val="en-US"/>
              </w:rPr>
              <w:t>2 (8)</w:t>
            </w:r>
          </w:p>
        </w:tc>
        <w:tc>
          <w:tcPr>
            <w:tcW w:w="2499" w:type="dxa"/>
          </w:tcPr>
          <w:p w14:paraId="7A68DD22" w14:textId="77777777" w:rsidR="007002F7" w:rsidRDefault="007002F7" w:rsidP="00C80CD8">
            <w:pPr>
              <w:jc w:val="center"/>
              <w:rPr>
                <w:lang w:val="en-US"/>
              </w:rPr>
            </w:pPr>
            <w:r>
              <w:rPr>
                <w:lang w:val="en-US"/>
              </w:rPr>
              <w:t>6 (29)</w:t>
            </w:r>
          </w:p>
        </w:tc>
        <w:tc>
          <w:tcPr>
            <w:tcW w:w="2499" w:type="dxa"/>
          </w:tcPr>
          <w:p w14:paraId="23F867DA" w14:textId="77777777" w:rsidR="007002F7" w:rsidRDefault="007002F7" w:rsidP="00C80CD8">
            <w:pPr>
              <w:jc w:val="center"/>
              <w:rPr>
                <w:lang w:val="en-US"/>
              </w:rPr>
            </w:pPr>
            <w:r>
              <w:rPr>
                <w:lang w:val="en-US"/>
              </w:rPr>
              <w:t>12 (30)</w:t>
            </w:r>
          </w:p>
        </w:tc>
        <w:tc>
          <w:tcPr>
            <w:tcW w:w="2499" w:type="dxa"/>
          </w:tcPr>
          <w:p w14:paraId="0BB4CB79" w14:textId="77777777" w:rsidR="007002F7" w:rsidRDefault="007002F7" w:rsidP="00C80CD8">
            <w:pPr>
              <w:jc w:val="center"/>
              <w:rPr>
                <w:lang w:val="en-US"/>
              </w:rPr>
            </w:pPr>
            <w:r>
              <w:rPr>
                <w:lang w:val="en-US"/>
              </w:rPr>
              <w:t>7 (50)</w:t>
            </w:r>
          </w:p>
        </w:tc>
      </w:tr>
      <w:tr w:rsidR="007002F7" w14:paraId="057902AD" w14:textId="77777777" w:rsidTr="00C80CD8">
        <w:trPr>
          <w:trHeight w:val="397"/>
        </w:trPr>
        <w:tc>
          <w:tcPr>
            <w:tcW w:w="2476" w:type="dxa"/>
          </w:tcPr>
          <w:p w14:paraId="2998CE4C" w14:textId="77777777" w:rsidR="007002F7" w:rsidRDefault="007002F7" w:rsidP="00C80CD8">
            <w:pPr>
              <w:rPr>
                <w:lang w:val="en-US"/>
              </w:rPr>
            </w:pPr>
            <w:r>
              <w:rPr>
                <w:lang w:val="en-US"/>
              </w:rPr>
              <w:t>SRT CLTR SUM</w:t>
            </w:r>
          </w:p>
        </w:tc>
        <w:tc>
          <w:tcPr>
            <w:tcW w:w="2499" w:type="dxa"/>
          </w:tcPr>
          <w:p w14:paraId="662F10D3" w14:textId="77777777" w:rsidR="007002F7" w:rsidRDefault="007002F7" w:rsidP="00C80CD8">
            <w:pPr>
              <w:jc w:val="center"/>
              <w:rPr>
                <w:lang w:val="en-US"/>
              </w:rPr>
            </w:pPr>
            <w:r>
              <w:rPr>
                <w:lang w:val="en-US"/>
              </w:rPr>
              <w:t>0 (0)</w:t>
            </w:r>
          </w:p>
        </w:tc>
        <w:tc>
          <w:tcPr>
            <w:tcW w:w="2499" w:type="dxa"/>
          </w:tcPr>
          <w:p w14:paraId="36A558FA" w14:textId="77777777" w:rsidR="007002F7" w:rsidRDefault="007002F7" w:rsidP="00C80CD8">
            <w:pPr>
              <w:jc w:val="center"/>
              <w:rPr>
                <w:lang w:val="en-US"/>
              </w:rPr>
            </w:pPr>
            <w:r>
              <w:rPr>
                <w:lang w:val="en-US"/>
              </w:rPr>
              <w:t>4 (19)</w:t>
            </w:r>
          </w:p>
        </w:tc>
        <w:tc>
          <w:tcPr>
            <w:tcW w:w="2499" w:type="dxa"/>
          </w:tcPr>
          <w:p w14:paraId="00533EFF" w14:textId="77777777" w:rsidR="007002F7" w:rsidRDefault="007002F7" w:rsidP="00C80CD8">
            <w:pPr>
              <w:jc w:val="center"/>
              <w:rPr>
                <w:lang w:val="en-US"/>
              </w:rPr>
            </w:pPr>
            <w:r>
              <w:rPr>
                <w:lang w:val="en-US"/>
              </w:rPr>
              <w:t>11 (28)</w:t>
            </w:r>
          </w:p>
        </w:tc>
        <w:tc>
          <w:tcPr>
            <w:tcW w:w="2499" w:type="dxa"/>
          </w:tcPr>
          <w:p w14:paraId="14A47DC1" w14:textId="77777777" w:rsidR="007002F7" w:rsidRDefault="007002F7" w:rsidP="00C80CD8">
            <w:pPr>
              <w:jc w:val="center"/>
              <w:rPr>
                <w:lang w:val="en-US"/>
              </w:rPr>
            </w:pPr>
            <w:r>
              <w:rPr>
                <w:lang w:val="en-US"/>
              </w:rPr>
              <w:t>5 (36)</w:t>
            </w:r>
          </w:p>
        </w:tc>
      </w:tr>
      <w:tr w:rsidR="007002F7" w14:paraId="70D57A92" w14:textId="77777777" w:rsidTr="00C80CD8">
        <w:trPr>
          <w:trHeight w:val="397"/>
        </w:trPr>
        <w:tc>
          <w:tcPr>
            <w:tcW w:w="2476" w:type="dxa"/>
          </w:tcPr>
          <w:p w14:paraId="0E68531D" w14:textId="77777777" w:rsidR="007002F7" w:rsidRDefault="007002F7" w:rsidP="00C80CD8">
            <w:pPr>
              <w:rPr>
                <w:lang w:val="en-US"/>
              </w:rPr>
            </w:pPr>
            <w:r>
              <w:rPr>
                <w:lang w:val="en-US"/>
              </w:rPr>
              <w:t>SRT DR</w:t>
            </w:r>
          </w:p>
        </w:tc>
        <w:tc>
          <w:tcPr>
            <w:tcW w:w="2499" w:type="dxa"/>
          </w:tcPr>
          <w:p w14:paraId="53494845" w14:textId="77777777" w:rsidR="007002F7" w:rsidRDefault="007002F7" w:rsidP="00C80CD8">
            <w:pPr>
              <w:jc w:val="center"/>
              <w:rPr>
                <w:lang w:val="en-US"/>
              </w:rPr>
            </w:pPr>
            <w:r>
              <w:rPr>
                <w:lang w:val="en-US"/>
              </w:rPr>
              <w:t>3 (12)</w:t>
            </w:r>
          </w:p>
        </w:tc>
        <w:tc>
          <w:tcPr>
            <w:tcW w:w="2499" w:type="dxa"/>
          </w:tcPr>
          <w:p w14:paraId="3D666F11" w14:textId="77777777" w:rsidR="007002F7" w:rsidRDefault="007002F7" w:rsidP="00C80CD8">
            <w:pPr>
              <w:jc w:val="center"/>
              <w:rPr>
                <w:lang w:val="en-US"/>
              </w:rPr>
            </w:pPr>
            <w:r>
              <w:rPr>
                <w:lang w:val="en-US"/>
              </w:rPr>
              <w:t>6 (30)</w:t>
            </w:r>
          </w:p>
        </w:tc>
        <w:tc>
          <w:tcPr>
            <w:tcW w:w="2499" w:type="dxa"/>
          </w:tcPr>
          <w:p w14:paraId="1DBFAFBA" w14:textId="77777777" w:rsidR="007002F7" w:rsidRDefault="007002F7" w:rsidP="00C80CD8">
            <w:pPr>
              <w:jc w:val="center"/>
              <w:rPr>
                <w:lang w:val="en-US"/>
              </w:rPr>
            </w:pPr>
            <w:r>
              <w:rPr>
                <w:lang w:val="en-US"/>
              </w:rPr>
              <w:t>14 (35)</w:t>
            </w:r>
          </w:p>
        </w:tc>
        <w:tc>
          <w:tcPr>
            <w:tcW w:w="2499" w:type="dxa"/>
          </w:tcPr>
          <w:p w14:paraId="5DC53029" w14:textId="77777777" w:rsidR="007002F7" w:rsidRDefault="007002F7" w:rsidP="00C80CD8">
            <w:pPr>
              <w:jc w:val="center"/>
              <w:rPr>
                <w:lang w:val="en-US"/>
              </w:rPr>
            </w:pPr>
            <w:r>
              <w:rPr>
                <w:lang w:val="en-US"/>
              </w:rPr>
              <w:t>8 (53)</w:t>
            </w:r>
          </w:p>
        </w:tc>
      </w:tr>
      <w:tr w:rsidR="007002F7" w14:paraId="691E3102" w14:textId="77777777" w:rsidTr="00C80CD8">
        <w:trPr>
          <w:trHeight w:val="397"/>
        </w:trPr>
        <w:tc>
          <w:tcPr>
            <w:tcW w:w="2476" w:type="dxa"/>
          </w:tcPr>
          <w:p w14:paraId="48CC1F89" w14:textId="175129CA" w:rsidR="007002F7" w:rsidRDefault="007002F7" w:rsidP="00C80CD8">
            <w:pPr>
              <w:rPr>
                <w:lang w:val="en-US"/>
              </w:rPr>
            </w:pPr>
            <w:r>
              <w:rPr>
                <w:lang w:val="en-US"/>
              </w:rPr>
              <w:t>SPA</w:t>
            </w:r>
            <w:r w:rsidR="006B1855">
              <w:rPr>
                <w:lang w:val="en-US"/>
              </w:rPr>
              <w:t>R</w:t>
            </w:r>
            <w:r>
              <w:rPr>
                <w:lang w:val="en-US"/>
              </w:rPr>
              <w:t>T SUM</w:t>
            </w:r>
          </w:p>
        </w:tc>
        <w:tc>
          <w:tcPr>
            <w:tcW w:w="2499" w:type="dxa"/>
          </w:tcPr>
          <w:p w14:paraId="59E2A535" w14:textId="77777777" w:rsidR="007002F7" w:rsidRDefault="007002F7" w:rsidP="00C80CD8">
            <w:pPr>
              <w:jc w:val="center"/>
              <w:rPr>
                <w:lang w:val="en-US"/>
              </w:rPr>
            </w:pPr>
            <w:r>
              <w:rPr>
                <w:lang w:val="en-US"/>
              </w:rPr>
              <w:t>1 (4)</w:t>
            </w:r>
          </w:p>
        </w:tc>
        <w:tc>
          <w:tcPr>
            <w:tcW w:w="2499" w:type="dxa"/>
          </w:tcPr>
          <w:p w14:paraId="66E8C54F" w14:textId="77777777" w:rsidR="007002F7" w:rsidRDefault="007002F7" w:rsidP="00C80CD8">
            <w:pPr>
              <w:jc w:val="center"/>
              <w:rPr>
                <w:lang w:val="en-US"/>
              </w:rPr>
            </w:pPr>
            <w:r>
              <w:rPr>
                <w:lang w:val="en-US"/>
              </w:rPr>
              <w:t>1 (5)</w:t>
            </w:r>
          </w:p>
        </w:tc>
        <w:tc>
          <w:tcPr>
            <w:tcW w:w="2499" w:type="dxa"/>
          </w:tcPr>
          <w:p w14:paraId="0AE6467D" w14:textId="77777777" w:rsidR="007002F7" w:rsidRDefault="007002F7" w:rsidP="00C80CD8">
            <w:pPr>
              <w:jc w:val="center"/>
              <w:rPr>
                <w:lang w:val="en-US"/>
              </w:rPr>
            </w:pPr>
            <w:r>
              <w:rPr>
                <w:lang w:val="en-US"/>
              </w:rPr>
              <w:t>1 (3)</w:t>
            </w:r>
          </w:p>
        </w:tc>
        <w:tc>
          <w:tcPr>
            <w:tcW w:w="2499" w:type="dxa"/>
          </w:tcPr>
          <w:p w14:paraId="3F2AD445" w14:textId="77777777" w:rsidR="007002F7" w:rsidRDefault="007002F7" w:rsidP="00C80CD8">
            <w:pPr>
              <w:jc w:val="center"/>
              <w:rPr>
                <w:lang w:val="en-US"/>
              </w:rPr>
            </w:pPr>
            <w:r>
              <w:rPr>
                <w:lang w:val="en-US"/>
              </w:rPr>
              <w:t>0 (0)</w:t>
            </w:r>
          </w:p>
        </w:tc>
      </w:tr>
      <w:tr w:rsidR="007002F7" w14:paraId="5713AADE" w14:textId="77777777" w:rsidTr="00C80CD8">
        <w:trPr>
          <w:trHeight w:val="397"/>
        </w:trPr>
        <w:tc>
          <w:tcPr>
            <w:tcW w:w="2476" w:type="dxa"/>
          </w:tcPr>
          <w:p w14:paraId="464B00AE" w14:textId="1FBCEE32" w:rsidR="007002F7" w:rsidRDefault="007002F7" w:rsidP="00C80CD8">
            <w:pPr>
              <w:rPr>
                <w:lang w:val="en-US"/>
              </w:rPr>
            </w:pPr>
            <w:r>
              <w:rPr>
                <w:lang w:val="en-US"/>
              </w:rPr>
              <w:t>SPA</w:t>
            </w:r>
            <w:r w:rsidR="006B1855">
              <w:rPr>
                <w:lang w:val="en-US"/>
              </w:rPr>
              <w:t>R</w:t>
            </w:r>
            <w:r>
              <w:rPr>
                <w:lang w:val="en-US"/>
              </w:rPr>
              <w:t>T DR</w:t>
            </w:r>
          </w:p>
        </w:tc>
        <w:tc>
          <w:tcPr>
            <w:tcW w:w="2499" w:type="dxa"/>
          </w:tcPr>
          <w:p w14:paraId="4665DCB7" w14:textId="77777777" w:rsidR="007002F7" w:rsidRDefault="007002F7" w:rsidP="00C80CD8">
            <w:pPr>
              <w:jc w:val="center"/>
              <w:rPr>
                <w:lang w:val="en-US"/>
              </w:rPr>
            </w:pPr>
            <w:r>
              <w:rPr>
                <w:lang w:val="en-US"/>
              </w:rPr>
              <w:t>0 (0)</w:t>
            </w:r>
          </w:p>
        </w:tc>
        <w:tc>
          <w:tcPr>
            <w:tcW w:w="2499" w:type="dxa"/>
          </w:tcPr>
          <w:p w14:paraId="4CD13996" w14:textId="77777777" w:rsidR="007002F7" w:rsidRDefault="007002F7" w:rsidP="00C80CD8">
            <w:pPr>
              <w:jc w:val="center"/>
              <w:rPr>
                <w:lang w:val="en-US"/>
              </w:rPr>
            </w:pPr>
            <w:r>
              <w:rPr>
                <w:lang w:val="en-US"/>
              </w:rPr>
              <w:t>3 (16)</w:t>
            </w:r>
          </w:p>
        </w:tc>
        <w:tc>
          <w:tcPr>
            <w:tcW w:w="2499" w:type="dxa"/>
          </w:tcPr>
          <w:p w14:paraId="119B18EB" w14:textId="77777777" w:rsidR="007002F7" w:rsidRDefault="007002F7" w:rsidP="00C80CD8">
            <w:pPr>
              <w:jc w:val="center"/>
              <w:rPr>
                <w:lang w:val="en-US"/>
              </w:rPr>
            </w:pPr>
            <w:r>
              <w:rPr>
                <w:lang w:val="en-US"/>
              </w:rPr>
              <w:t>5 (13)</w:t>
            </w:r>
          </w:p>
        </w:tc>
        <w:tc>
          <w:tcPr>
            <w:tcW w:w="2499" w:type="dxa"/>
          </w:tcPr>
          <w:p w14:paraId="0617B8A8" w14:textId="77777777" w:rsidR="007002F7" w:rsidRDefault="007002F7" w:rsidP="00C80CD8">
            <w:pPr>
              <w:jc w:val="center"/>
              <w:rPr>
                <w:lang w:val="en-US"/>
              </w:rPr>
            </w:pPr>
            <w:r>
              <w:rPr>
                <w:lang w:val="en-US"/>
              </w:rPr>
              <w:t>2 (13)</w:t>
            </w:r>
          </w:p>
        </w:tc>
      </w:tr>
      <w:tr w:rsidR="007002F7" w14:paraId="257310D5" w14:textId="77777777" w:rsidTr="00C80CD8">
        <w:trPr>
          <w:trHeight w:val="397"/>
        </w:trPr>
        <w:tc>
          <w:tcPr>
            <w:tcW w:w="2476" w:type="dxa"/>
          </w:tcPr>
          <w:p w14:paraId="288EFC70" w14:textId="2F742B0F" w:rsidR="007002F7" w:rsidRDefault="007002F7" w:rsidP="00C80CD8">
            <w:pPr>
              <w:rPr>
                <w:lang w:val="en-US"/>
              </w:rPr>
            </w:pPr>
            <w:r>
              <w:rPr>
                <w:lang w:val="en-US"/>
              </w:rPr>
              <w:t>PASAT</w:t>
            </w:r>
            <w:r w:rsidR="0043000A">
              <w:rPr>
                <w:lang w:val="en-US"/>
              </w:rPr>
              <w:t xml:space="preserve"> </w:t>
            </w:r>
            <w:r>
              <w:rPr>
                <w:lang w:val="en-US"/>
              </w:rPr>
              <w:t>3s</w:t>
            </w:r>
          </w:p>
        </w:tc>
        <w:tc>
          <w:tcPr>
            <w:tcW w:w="2499" w:type="dxa"/>
          </w:tcPr>
          <w:p w14:paraId="10771CD9" w14:textId="77777777" w:rsidR="007002F7" w:rsidRDefault="007002F7" w:rsidP="00C80CD8">
            <w:pPr>
              <w:jc w:val="center"/>
              <w:rPr>
                <w:lang w:val="en-US"/>
              </w:rPr>
            </w:pPr>
            <w:r>
              <w:rPr>
                <w:lang w:val="en-US"/>
              </w:rPr>
              <w:t>2 (8)</w:t>
            </w:r>
          </w:p>
        </w:tc>
        <w:tc>
          <w:tcPr>
            <w:tcW w:w="2499" w:type="dxa"/>
          </w:tcPr>
          <w:p w14:paraId="449A613C" w14:textId="77777777" w:rsidR="007002F7" w:rsidRDefault="007002F7" w:rsidP="00C80CD8">
            <w:pPr>
              <w:jc w:val="center"/>
              <w:rPr>
                <w:lang w:val="en-US"/>
              </w:rPr>
            </w:pPr>
            <w:r>
              <w:rPr>
                <w:lang w:val="en-US"/>
              </w:rPr>
              <w:t>3 (18)</w:t>
            </w:r>
          </w:p>
        </w:tc>
        <w:tc>
          <w:tcPr>
            <w:tcW w:w="2499" w:type="dxa"/>
          </w:tcPr>
          <w:p w14:paraId="719121AC" w14:textId="77777777" w:rsidR="007002F7" w:rsidRDefault="007002F7" w:rsidP="00C80CD8">
            <w:pPr>
              <w:jc w:val="center"/>
              <w:rPr>
                <w:lang w:val="en-US"/>
              </w:rPr>
            </w:pPr>
            <w:r>
              <w:rPr>
                <w:lang w:val="en-US"/>
              </w:rPr>
              <w:t>9 (26)</w:t>
            </w:r>
          </w:p>
        </w:tc>
        <w:tc>
          <w:tcPr>
            <w:tcW w:w="2499" w:type="dxa"/>
          </w:tcPr>
          <w:p w14:paraId="67C5AC62" w14:textId="77777777" w:rsidR="007002F7" w:rsidRDefault="007002F7" w:rsidP="00C80CD8">
            <w:pPr>
              <w:jc w:val="center"/>
              <w:rPr>
                <w:lang w:val="en-US"/>
              </w:rPr>
            </w:pPr>
            <w:r>
              <w:rPr>
                <w:lang w:val="en-US"/>
              </w:rPr>
              <w:t>2 (13)</w:t>
            </w:r>
          </w:p>
        </w:tc>
      </w:tr>
      <w:tr w:rsidR="007002F7" w14:paraId="3C8177C2" w14:textId="77777777" w:rsidTr="00C80CD8">
        <w:trPr>
          <w:trHeight w:val="397"/>
        </w:trPr>
        <w:tc>
          <w:tcPr>
            <w:tcW w:w="2476" w:type="dxa"/>
          </w:tcPr>
          <w:p w14:paraId="4A597E11" w14:textId="77777777" w:rsidR="007002F7" w:rsidRDefault="007002F7" w:rsidP="00C80CD8">
            <w:pPr>
              <w:rPr>
                <w:lang w:val="en-US"/>
              </w:rPr>
            </w:pPr>
            <w:r>
              <w:rPr>
                <w:lang w:val="en-US"/>
              </w:rPr>
              <w:t>SDMT</w:t>
            </w:r>
          </w:p>
        </w:tc>
        <w:tc>
          <w:tcPr>
            <w:tcW w:w="2499" w:type="dxa"/>
          </w:tcPr>
          <w:p w14:paraId="66461EFA" w14:textId="77777777" w:rsidR="007002F7" w:rsidRDefault="007002F7" w:rsidP="00C80CD8">
            <w:pPr>
              <w:jc w:val="center"/>
              <w:rPr>
                <w:lang w:val="en-US"/>
              </w:rPr>
            </w:pPr>
            <w:r>
              <w:rPr>
                <w:lang w:val="en-US"/>
              </w:rPr>
              <w:t>1 (4)</w:t>
            </w:r>
          </w:p>
        </w:tc>
        <w:tc>
          <w:tcPr>
            <w:tcW w:w="2499" w:type="dxa"/>
          </w:tcPr>
          <w:p w14:paraId="2B1F3DA1" w14:textId="77777777" w:rsidR="007002F7" w:rsidRDefault="007002F7" w:rsidP="00C80CD8">
            <w:pPr>
              <w:jc w:val="center"/>
              <w:rPr>
                <w:lang w:val="en-US"/>
              </w:rPr>
            </w:pPr>
            <w:r>
              <w:rPr>
                <w:lang w:val="en-US"/>
              </w:rPr>
              <w:t>0 (0)</w:t>
            </w:r>
          </w:p>
        </w:tc>
        <w:tc>
          <w:tcPr>
            <w:tcW w:w="2499" w:type="dxa"/>
          </w:tcPr>
          <w:p w14:paraId="688C1709" w14:textId="77777777" w:rsidR="007002F7" w:rsidRDefault="007002F7" w:rsidP="00C80CD8">
            <w:pPr>
              <w:jc w:val="center"/>
              <w:rPr>
                <w:lang w:val="en-US"/>
              </w:rPr>
            </w:pPr>
            <w:r>
              <w:rPr>
                <w:lang w:val="en-US"/>
              </w:rPr>
              <w:t>7 (18)</w:t>
            </w:r>
          </w:p>
        </w:tc>
        <w:tc>
          <w:tcPr>
            <w:tcW w:w="2499" w:type="dxa"/>
          </w:tcPr>
          <w:p w14:paraId="615CB465" w14:textId="77777777" w:rsidR="007002F7" w:rsidRDefault="007002F7" w:rsidP="00C80CD8">
            <w:pPr>
              <w:jc w:val="center"/>
              <w:rPr>
                <w:lang w:val="en-US"/>
              </w:rPr>
            </w:pPr>
            <w:r>
              <w:rPr>
                <w:lang w:val="en-US"/>
              </w:rPr>
              <w:t>1 (7)</w:t>
            </w:r>
          </w:p>
        </w:tc>
      </w:tr>
      <w:tr w:rsidR="007002F7" w14:paraId="44ACA569" w14:textId="77777777" w:rsidTr="00C80CD8">
        <w:trPr>
          <w:trHeight w:val="397"/>
        </w:trPr>
        <w:tc>
          <w:tcPr>
            <w:tcW w:w="2476" w:type="dxa"/>
          </w:tcPr>
          <w:p w14:paraId="4DDC2AFD" w14:textId="77777777" w:rsidR="007002F7" w:rsidRDefault="007002F7" w:rsidP="00C80CD8">
            <w:pPr>
              <w:rPr>
                <w:lang w:val="en-US"/>
              </w:rPr>
            </w:pPr>
            <w:r>
              <w:rPr>
                <w:lang w:val="en-US"/>
              </w:rPr>
              <w:t>WLG</w:t>
            </w:r>
          </w:p>
        </w:tc>
        <w:tc>
          <w:tcPr>
            <w:tcW w:w="2499" w:type="dxa"/>
          </w:tcPr>
          <w:p w14:paraId="1269F9C4" w14:textId="77777777" w:rsidR="007002F7" w:rsidRDefault="007002F7" w:rsidP="00C80CD8">
            <w:pPr>
              <w:jc w:val="center"/>
              <w:rPr>
                <w:lang w:val="en-US"/>
              </w:rPr>
            </w:pPr>
            <w:r>
              <w:rPr>
                <w:lang w:val="en-US"/>
              </w:rPr>
              <w:t>0</w:t>
            </w:r>
          </w:p>
        </w:tc>
        <w:tc>
          <w:tcPr>
            <w:tcW w:w="2499" w:type="dxa"/>
          </w:tcPr>
          <w:p w14:paraId="069F7D1E" w14:textId="77777777" w:rsidR="007002F7" w:rsidRDefault="007002F7" w:rsidP="00C80CD8">
            <w:pPr>
              <w:jc w:val="center"/>
              <w:rPr>
                <w:lang w:val="en-US"/>
              </w:rPr>
            </w:pPr>
            <w:r>
              <w:rPr>
                <w:lang w:val="en-US"/>
              </w:rPr>
              <w:t>1 (5)</w:t>
            </w:r>
          </w:p>
        </w:tc>
        <w:tc>
          <w:tcPr>
            <w:tcW w:w="2499" w:type="dxa"/>
          </w:tcPr>
          <w:p w14:paraId="2F8FA21E" w14:textId="77777777" w:rsidR="007002F7" w:rsidRDefault="007002F7" w:rsidP="00C80CD8">
            <w:pPr>
              <w:jc w:val="center"/>
              <w:rPr>
                <w:lang w:val="en-US"/>
              </w:rPr>
            </w:pPr>
            <w:r>
              <w:rPr>
                <w:lang w:val="en-US"/>
              </w:rPr>
              <w:t>1 (3)</w:t>
            </w:r>
          </w:p>
        </w:tc>
        <w:tc>
          <w:tcPr>
            <w:tcW w:w="2499" w:type="dxa"/>
          </w:tcPr>
          <w:p w14:paraId="344B37E9" w14:textId="77777777" w:rsidR="007002F7" w:rsidRDefault="007002F7" w:rsidP="00C80CD8">
            <w:pPr>
              <w:jc w:val="center"/>
              <w:rPr>
                <w:lang w:val="en-US"/>
              </w:rPr>
            </w:pPr>
            <w:r>
              <w:rPr>
                <w:lang w:val="en-US"/>
              </w:rPr>
              <w:t>1 (7)</w:t>
            </w:r>
          </w:p>
        </w:tc>
      </w:tr>
    </w:tbl>
    <w:p w14:paraId="2E5276BA" w14:textId="77777777" w:rsidR="003120D5" w:rsidRDefault="003120D5">
      <w:pPr>
        <w:rPr>
          <w:lang w:val="en-US"/>
        </w:rPr>
      </w:pPr>
    </w:p>
    <w:p w14:paraId="7D42C285" w14:textId="58D5D45B" w:rsidR="00536643" w:rsidRDefault="006B1855">
      <w:pPr>
        <w:rPr>
          <w:lang w:val="en-US"/>
        </w:rPr>
      </w:pPr>
      <w:r w:rsidRPr="0075752C">
        <w:rPr>
          <w:lang w:val="en-US"/>
        </w:rPr>
        <w:t xml:space="preserve">AQP4+ NMOSD, </w:t>
      </w:r>
      <w:r w:rsidR="00FA30A7">
        <w:rPr>
          <w:lang w:val="en-US"/>
        </w:rPr>
        <w:t>a</w:t>
      </w:r>
      <w:r w:rsidRPr="0075752C">
        <w:rPr>
          <w:lang w:val="en-US"/>
        </w:rPr>
        <w:t>quaporin</w:t>
      </w:r>
      <w:r w:rsidR="00FA30A7">
        <w:rPr>
          <w:lang w:val="en-US"/>
        </w:rPr>
        <w:t>-</w:t>
      </w:r>
      <w:r w:rsidRPr="0075752C">
        <w:rPr>
          <w:lang w:val="en-US"/>
        </w:rPr>
        <w:t xml:space="preserve">4 </w:t>
      </w:r>
      <w:r w:rsidR="00FA30A7">
        <w:rPr>
          <w:lang w:val="en-US"/>
        </w:rPr>
        <w:t>i</w:t>
      </w:r>
      <w:r>
        <w:rPr>
          <w:lang w:val="en-US"/>
        </w:rPr>
        <w:t xml:space="preserve">mmunoglobulin </w:t>
      </w:r>
      <w:r w:rsidRPr="0075752C">
        <w:rPr>
          <w:lang w:val="en-US"/>
        </w:rPr>
        <w:t xml:space="preserve">G Antibody seropositive neuromyelitis </w:t>
      </w:r>
      <w:proofErr w:type="spellStart"/>
      <w:r w:rsidRPr="0075752C">
        <w:rPr>
          <w:lang w:val="en-US"/>
        </w:rPr>
        <w:t>optica</w:t>
      </w:r>
      <w:proofErr w:type="spellEnd"/>
      <w:r w:rsidRPr="0075752C">
        <w:rPr>
          <w:lang w:val="en-US"/>
        </w:rPr>
        <w:t xml:space="preserve"> spectrum disorder; </w:t>
      </w:r>
      <w:proofErr w:type="spellStart"/>
      <w:r w:rsidRPr="0075752C">
        <w:rPr>
          <w:lang w:val="en-US"/>
        </w:rPr>
        <w:t>dsNMOSD</w:t>
      </w:r>
      <w:proofErr w:type="spellEnd"/>
      <w:r w:rsidRPr="0075752C">
        <w:rPr>
          <w:lang w:val="en-US"/>
        </w:rPr>
        <w:t xml:space="preserve">, double seronegative NMOSD; MOGAD, Myelin </w:t>
      </w:r>
      <w:proofErr w:type="spellStart"/>
      <w:r w:rsidRPr="0075752C">
        <w:rPr>
          <w:lang w:val="en-US"/>
        </w:rPr>
        <w:t>Oligodendrocytic</w:t>
      </w:r>
      <w:proofErr w:type="spellEnd"/>
      <w:r w:rsidRPr="0075752C">
        <w:rPr>
          <w:lang w:val="en-US"/>
        </w:rPr>
        <w:t xml:space="preserve"> Glycoprotein antibody associated disease; </w:t>
      </w:r>
      <w:r>
        <w:rPr>
          <w:lang w:val="en-US"/>
        </w:rPr>
        <w:t>HC</w:t>
      </w:r>
      <w:r w:rsidRPr="0075752C">
        <w:rPr>
          <w:lang w:val="en-US"/>
        </w:rPr>
        <w:t>, h</w:t>
      </w:r>
      <w:r>
        <w:rPr>
          <w:lang w:val="en-US"/>
        </w:rPr>
        <w:t xml:space="preserve">ealthy controls; </w:t>
      </w:r>
      <w:r w:rsidRPr="0075752C">
        <w:rPr>
          <w:lang w:val="en-US"/>
        </w:rPr>
        <w:t xml:space="preserve">PASAT 3s, Paced Auditory Serial Addition Test – 3 second version; SDMT, Symbol Digit Modalities Test; </w:t>
      </w:r>
      <w:r>
        <w:rPr>
          <w:lang w:val="en-US"/>
        </w:rPr>
        <w:t>SPART SUM</w:t>
      </w:r>
      <w:r w:rsidRPr="0075752C">
        <w:rPr>
          <w:lang w:val="en-US"/>
        </w:rPr>
        <w:t>, sum total of the Spatial Recall Test (SPA</w:t>
      </w:r>
      <w:r w:rsidR="00A20329">
        <w:rPr>
          <w:lang w:val="en-US"/>
        </w:rPr>
        <w:t>R</w:t>
      </w:r>
      <w:r w:rsidRPr="0075752C">
        <w:rPr>
          <w:lang w:val="en-US"/>
        </w:rPr>
        <w:t>T); SPA</w:t>
      </w:r>
      <w:r>
        <w:rPr>
          <w:lang w:val="en-US"/>
        </w:rPr>
        <w:t>R</w:t>
      </w:r>
      <w:r w:rsidRPr="0075752C">
        <w:rPr>
          <w:lang w:val="en-US"/>
        </w:rPr>
        <w:t>T DR, SPA</w:t>
      </w:r>
      <w:r w:rsidR="00A20329">
        <w:rPr>
          <w:lang w:val="en-US"/>
        </w:rPr>
        <w:t>R</w:t>
      </w:r>
      <w:r w:rsidRPr="0075752C">
        <w:rPr>
          <w:lang w:val="en-US"/>
        </w:rPr>
        <w:t xml:space="preserve">T delayed recall; </w:t>
      </w:r>
      <w:r w:rsidR="00536643">
        <w:rPr>
          <w:lang w:val="en-US"/>
        </w:rPr>
        <w:t>SRT LTS SUM</w:t>
      </w:r>
      <w:r w:rsidR="0075752C" w:rsidRPr="0075752C">
        <w:rPr>
          <w:lang w:val="en-US"/>
        </w:rPr>
        <w:t>, sum total of the selective reminding test (SRT)</w:t>
      </w:r>
      <w:r w:rsidR="00536643">
        <w:rPr>
          <w:lang w:val="en-US"/>
        </w:rPr>
        <w:t xml:space="preserve"> long term storage; SRT CLTR SUM</w:t>
      </w:r>
      <w:r w:rsidR="0075752C" w:rsidRPr="0075752C">
        <w:rPr>
          <w:lang w:val="en-US"/>
        </w:rPr>
        <w:t xml:space="preserve">, sum total of SRT Consistent Long Term Retrieval; SRT </w:t>
      </w:r>
      <w:r w:rsidR="00536643">
        <w:rPr>
          <w:lang w:val="en-US"/>
        </w:rPr>
        <w:t xml:space="preserve">DR, SRT delayed recall; </w:t>
      </w:r>
      <w:r w:rsidR="0075752C" w:rsidRPr="0075752C">
        <w:rPr>
          <w:lang w:val="en-US"/>
        </w:rPr>
        <w:t xml:space="preserve">WLG, </w:t>
      </w:r>
      <w:r w:rsidR="008530DE">
        <w:rPr>
          <w:lang w:val="en-US"/>
        </w:rPr>
        <w:t>w</w:t>
      </w:r>
      <w:r w:rsidR="0075752C" w:rsidRPr="0075752C">
        <w:rPr>
          <w:lang w:val="en-US"/>
        </w:rPr>
        <w:t xml:space="preserve">ord list generation; </w:t>
      </w:r>
      <w:r w:rsidR="00536643">
        <w:rPr>
          <w:lang w:val="en-US"/>
        </w:rPr>
        <w:t xml:space="preserve">SD, standard deviation. </w:t>
      </w:r>
    </w:p>
    <w:p w14:paraId="052D575D" w14:textId="77777777" w:rsidR="002C67D6" w:rsidRDefault="002C67D6">
      <w:pPr>
        <w:rPr>
          <w:lang w:val="en-US"/>
        </w:rPr>
      </w:pPr>
    </w:p>
    <w:p w14:paraId="2C32379F" w14:textId="77777777" w:rsidR="001D6C6A" w:rsidRDefault="001D6C6A" w:rsidP="002C67D6">
      <w:pPr>
        <w:rPr>
          <w:u w:val="single"/>
          <w:lang w:val="en-US"/>
        </w:rPr>
      </w:pPr>
    </w:p>
    <w:p w14:paraId="50D3AD2C" w14:textId="77777777" w:rsidR="00702F43" w:rsidRDefault="00AF39BF" w:rsidP="00AF39BF">
      <w:pPr>
        <w:rPr>
          <w:lang w:val="en-US"/>
        </w:rPr>
      </w:pPr>
      <w:r>
        <w:rPr>
          <w:u w:val="single"/>
          <w:lang w:val="en-US"/>
        </w:rPr>
        <w:t>Supplemental Figure 1</w:t>
      </w:r>
      <w:r w:rsidRPr="00AF39BF">
        <w:rPr>
          <w:lang w:val="en-US"/>
        </w:rPr>
        <w:t xml:space="preserve"> </w:t>
      </w:r>
    </w:p>
    <w:p w14:paraId="02330567" w14:textId="63FF3651" w:rsidR="006A441D" w:rsidRPr="001E7647" w:rsidRDefault="00AF39BF" w:rsidP="00AF39BF">
      <w:pPr>
        <w:rPr>
          <w:rStyle w:val="Kommentarzeichen"/>
          <w:lang w:val="en-US"/>
        </w:rPr>
      </w:pPr>
      <w:r>
        <w:rPr>
          <w:lang w:val="en-US"/>
        </w:rPr>
        <w:t xml:space="preserve">Pairwise absolute standardized mean differences (ASMD) of characteristics of patients with </w:t>
      </w:r>
      <w:proofErr w:type="spellStart"/>
      <w:r>
        <w:rPr>
          <w:lang w:val="en-US"/>
        </w:rPr>
        <w:t>neuroimmunological</w:t>
      </w:r>
      <w:proofErr w:type="spellEnd"/>
      <w:r>
        <w:rPr>
          <w:lang w:val="en-US"/>
        </w:rPr>
        <w:t xml:space="preserve"> disorders and healthy controls</w:t>
      </w:r>
    </w:p>
    <w:p w14:paraId="43725000" w14:textId="77777777" w:rsidR="006A441D" w:rsidRPr="001E7647" w:rsidRDefault="006A441D" w:rsidP="00AF39BF">
      <w:pPr>
        <w:rPr>
          <w:rStyle w:val="Kommentarzeichen"/>
          <w:lang w:val="en-US"/>
        </w:rPr>
      </w:pPr>
    </w:p>
    <w:p w14:paraId="542BF98C" w14:textId="20EB9AB5" w:rsidR="00AF39BF" w:rsidRDefault="00B36251" w:rsidP="00AF39BF">
      <w:pPr>
        <w:rPr>
          <w:lang w:val="en-US"/>
        </w:rPr>
      </w:pPr>
      <w:r>
        <w:rPr>
          <w:noProof/>
        </w:rPr>
        <w:drawing>
          <wp:inline distT="0" distB="0" distL="0" distR="0" wp14:anchorId="099AC396" wp14:editId="78178EE5">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61206B3" w14:textId="3C5E8D3B" w:rsidR="00161EC1" w:rsidRDefault="00161EC1" w:rsidP="002C67D6">
      <w:pPr>
        <w:rPr>
          <w:u w:val="single"/>
          <w:lang w:val="en-US"/>
        </w:rPr>
      </w:pPr>
    </w:p>
    <w:p w14:paraId="70A798D1" w14:textId="4E6ABB0C" w:rsidR="00B36251" w:rsidRPr="00B36251" w:rsidRDefault="00B36251" w:rsidP="00B36251">
      <w:pPr>
        <w:pStyle w:val="StandardWeb"/>
        <w:rPr>
          <w:rFonts w:asciiTheme="minorHAnsi" w:hAnsiTheme="minorHAnsi" w:cstheme="minorHAnsi"/>
          <w:lang w:val="en-US"/>
        </w:rPr>
      </w:pPr>
      <w:r w:rsidRPr="00B36251">
        <w:rPr>
          <w:rFonts w:asciiTheme="minorHAnsi" w:hAnsiTheme="minorHAnsi" w:cstheme="minorHAnsi"/>
          <w:lang w:val="en-US"/>
        </w:rPr>
        <w:t xml:space="preserve">ASMD, absolute standardized mean differences; AQP4+ NMOSD, aquaporin-4 immunoglobulin G Antibody seropositive neuromyelitis </w:t>
      </w:r>
      <w:bookmarkStart w:id="2" w:name="_GoBack"/>
      <w:bookmarkEnd w:id="2"/>
      <w:proofErr w:type="spellStart"/>
      <w:r w:rsidRPr="00B36251">
        <w:rPr>
          <w:rFonts w:asciiTheme="minorHAnsi" w:hAnsiTheme="minorHAnsi" w:cstheme="minorHAnsi"/>
          <w:lang w:val="en-US"/>
        </w:rPr>
        <w:t>optica</w:t>
      </w:r>
      <w:proofErr w:type="spellEnd"/>
      <w:r w:rsidRPr="00B36251">
        <w:rPr>
          <w:rFonts w:asciiTheme="minorHAnsi" w:hAnsiTheme="minorHAnsi" w:cstheme="minorHAnsi"/>
          <w:lang w:val="en-US"/>
        </w:rPr>
        <w:t xml:space="preserve"> spectrum disorder; </w:t>
      </w:r>
      <w:proofErr w:type="spellStart"/>
      <w:r w:rsidRPr="00B36251">
        <w:rPr>
          <w:rFonts w:asciiTheme="minorHAnsi" w:hAnsiTheme="minorHAnsi" w:cstheme="minorHAnsi"/>
          <w:lang w:val="en-US"/>
        </w:rPr>
        <w:t>dsNMOSD</w:t>
      </w:r>
      <w:proofErr w:type="spellEnd"/>
      <w:r w:rsidRPr="00B36251">
        <w:rPr>
          <w:rFonts w:asciiTheme="minorHAnsi" w:hAnsiTheme="minorHAnsi" w:cstheme="minorHAnsi"/>
          <w:lang w:val="en-US"/>
        </w:rPr>
        <w:t xml:space="preserve">, double seronegative NMOSD; MOGAD, Myelin </w:t>
      </w:r>
      <w:proofErr w:type="spellStart"/>
      <w:r w:rsidRPr="00B36251">
        <w:rPr>
          <w:rFonts w:asciiTheme="minorHAnsi" w:hAnsiTheme="minorHAnsi" w:cstheme="minorHAnsi"/>
          <w:lang w:val="en-US"/>
        </w:rPr>
        <w:t>Oligodendrocytic</w:t>
      </w:r>
      <w:proofErr w:type="spellEnd"/>
      <w:r w:rsidRPr="00B36251">
        <w:rPr>
          <w:rFonts w:asciiTheme="minorHAnsi" w:hAnsiTheme="minorHAnsi" w:cstheme="minorHAnsi"/>
          <w:lang w:val="en-US"/>
        </w:rPr>
        <w:t xml:space="preserve"> Glycoprotein antibody associated disease; HC, healthy controls; DGM, volume of deep grey matter; FSS, fatigue severity scale; fatigue y/n: yes fatigue (FSS &gt; 4.0), no fatigue (FSS ≤4.0); </w:t>
      </w:r>
      <w:proofErr w:type="spellStart"/>
      <w:r w:rsidRPr="00B36251">
        <w:rPr>
          <w:rFonts w:asciiTheme="minorHAnsi" w:hAnsiTheme="minorHAnsi" w:cstheme="minorHAnsi"/>
          <w:lang w:val="en-US"/>
        </w:rPr>
        <w:t>depr</w:t>
      </w:r>
      <w:proofErr w:type="spellEnd"/>
      <w:r w:rsidRPr="00B36251">
        <w:rPr>
          <w:rFonts w:asciiTheme="minorHAnsi" w:hAnsiTheme="minorHAnsi" w:cstheme="minorHAnsi"/>
          <w:lang w:val="en-US"/>
        </w:rPr>
        <w:t>, depression yes/no; relevant depressive syndrome according to BDI-I ≥ 13 or BDI-II ≥ 14 / no depressive syndrome according to either BDI-I &lt; 13 or BDI-II &lt; 14; age and time since onset in years; N° of attacks, number of attacks since onset</w:t>
      </w:r>
      <w:r>
        <w:rPr>
          <w:rFonts w:asciiTheme="minorHAnsi" w:hAnsiTheme="minorHAnsi" w:cstheme="minorHAnsi"/>
          <w:lang w:val="en-US"/>
        </w:rPr>
        <w:t xml:space="preserve">; </w:t>
      </w:r>
      <w:r>
        <w:rPr>
          <w:lang w:val="en-US"/>
        </w:rPr>
        <w:t>vol., volume</w:t>
      </w:r>
      <w:r w:rsidRPr="00B36251">
        <w:rPr>
          <w:rFonts w:asciiTheme="minorHAnsi" w:hAnsiTheme="minorHAnsi" w:cstheme="minorHAnsi"/>
          <w:lang w:val="en-US"/>
        </w:rPr>
        <w:t xml:space="preserve">. Differences of the left side of the red dashed line are considered negatable. Visual acuity was not added due to high proportion of missing data. </w:t>
      </w:r>
    </w:p>
    <w:p w14:paraId="2B0AADE3" w14:textId="77777777" w:rsidR="001600DF" w:rsidRDefault="001600DF" w:rsidP="00045E36">
      <w:pPr>
        <w:rPr>
          <w:lang w:val="en-US"/>
        </w:rPr>
      </w:pPr>
    </w:p>
    <w:p w14:paraId="25138523" w14:textId="77777777" w:rsidR="00702F43" w:rsidRDefault="00702F43" w:rsidP="00702F43">
      <w:pPr>
        <w:rPr>
          <w:lang w:val="en-US"/>
        </w:rPr>
      </w:pPr>
      <w:r w:rsidRPr="00702F43">
        <w:rPr>
          <w:u w:val="single"/>
          <w:lang w:val="en-US"/>
        </w:rPr>
        <w:t>Supplemental Table 2</w:t>
      </w:r>
      <w:r w:rsidRPr="002E71B4">
        <w:rPr>
          <w:lang w:val="en-US"/>
        </w:rPr>
        <w:t xml:space="preserve">  </w:t>
      </w:r>
    </w:p>
    <w:p w14:paraId="61128E99" w14:textId="63A75277" w:rsidR="00702F43" w:rsidRPr="002E71B4" w:rsidRDefault="00702F43" w:rsidP="00702F43">
      <w:pPr>
        <w:rPr>
          <w:lang w:val="en-US"/>
        </w:rPr>
      </w:pPr>
      <w:r w:rsidRPr="002E71B4">
        <w:rPr>
          <w:lang w:val="en-US"/>
        </w:rPr>
        <w:t xml:space="preserve">Deep </w:t>
      </w:r>
      <w:r>
        <w:rPr>
          <w:lang w:val="en-US"/>
        </w:rPr>
        <w:t xml:space="preserve">grey matter (DGM) volumes from cerebral magnet resonance images of individuals with </w:t>
      </w:r>
      <w:proofErr w:type="spellStart"/>
      <w:r>
        <w:rPr>
          <w:lang w:val="en-US"/>
        </w:rPr>
        <w:t>neuroimmunological</w:t>
      </w:r>
      <w:proofErr w:type="spellEnd"/>
      <w:r>
        <w:rPr>
          <w:lang w:val="en-US"/>
        </w:rPr>
        <w:t xml:space="preserve"> disorders</w:t>
      </w:r>
    </w:p>
    <w:p w14:paraId="1FF57673" w14:textId="77777777" w:rsidR="00702F43" w:rsidRPr="002E71B4" w:rsidRDefault="00702F43" w:rsidP="00702F43">
      <w:pPr>
        <w:rPr>
          <w:lang w:val="en-US"/>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2977"/>
        <w:gridCol w:w="1276"/>
        <w:gridCol w:w="1417"/>
        <w:gridCol w:w="1418"/>
        <w:gridCol w:w="1444"/>
      </w:tblGrid>
      <w:tr w:rsidR="00702F43" w:rsidRPr="00235E5F" w14:paraId="31124030" w14:textId="77777777" w:rsidTr="006679D1">
        <w:trPr>
          <w:tblHeader/>
        </w:trPr>
        <w:tc>
          <w:tcPr>
            <w:tcW w:w="2977" w:type="dxa"/>
            <w:tcBorders>
              <w:top w:val="single" w:sz="18" w:space="0" w:color="000000"/>
              <w:left w:val="nil"/>
              <w:bottom w:val="single" w:sz="8" w:space="0" w:color="000000"/>
              <w:right w:val="nil"/>
            </w:tcBorders>
            <w:shd w:val="clear" w:color="auto" w:fill="FFFFFF"/>
            <w:tcMar>
              <w:top w:w="60" w:type="dxa"/>
              <w:left w:w="60" w:type="dxa"/>
              <w:bottom w:w="60" w:type="dxa"/>
              <w:right w:w="180" w:type="dxa"/>
            </w:tcMar>
            <w:vAlign w:val="center"/>
            <w:hideMark/>
          </w:tcPr>
          <w:p w14:paraId="26CDDEB7" w14:textId="77777777" w:rsidR="00702F43" w:rsidRPr="00235E5F" w:rsidRDefault="00702F43" w:rsidP="006679D1">
            <w:pPr>
              <w:rPr>
                <w:rFonts w:eastAsia="Times New Roman" w:cstheme="minorHAnsi"/>
                <w:lang w:val="en-US" w:eastAsia="de-DE"/>
              </w:rPr>
            </w:pPr>
          </w:p>
        </w:tc>
        <w:tc>
          <w:tcPr>
            <w:tcW w:w="1276" w:type="dxa"/>
            <w:tcBorders>
              <w:top w:val="single" w:sz="18" w:space="0" w:color="000000"/>
              <w:left w:val="nil"/>
              <w:bottom w:val="single" w:sz="8" w:space="0" w:color="000000"/>
              <w:right w:val="nil"/>
            </w:tcBorders>
            <w:shd w:val="clear" w:color="auto" w:fill="FFFFFF"/>
            <w:tcMar>
              <w:top w:w="60" w:type="dxa"/>
              <w:left w:w="180" w:type="dxa"/>
              <w:bottom w:w="60" w:type="dxa"/>
              <w:right w:w="180" w:type="dxa"/>
            </w:tcMar>
            <w:vAlign w:val="center"/>
            <w:hideMark/>
          </w:tcPr>
          <w:p w14:paraId="42E5CA27" w14:textId="77777777" w:rsidR="00702F43" w:rsidRDefault="00702F43" w:rsidP="006679D1">
            <w:pPr>
              <w:jc w:val="cente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MOGAD</w:t>
            </w:r>
            <w:r w:rsidRPr="00235E5F">
              <w:rPr>
                <w:rFonts w:eastAsia="Times New Roman" w:cstheme="minorHAnsi"/>
                <w:b/>
                <w:bCs/>
                <w:color w:val="000000"/>
                <w:sz w:val="20"/>
                <w:szCs w:val="20"/>
                <w:lang w:eastAsia="de-DE"/>
              </w:rPr>
              <w:br/>
              <w:t>(N=21)</w:t>
            </w:r>
          </w:p>
          <w:p w14:paraId="04891270" w14:textId="77777777" w:rsidR="00702F43" w:rsidRPr="00235E5F" w:rsidRDefault="00702F43" w:rsidP="006679D1">
            <w:pPr>
              <w:jc w:val="center"/>
              <w:rPr>
                <w:rFonts w:eastAsia="Times New Roman" w:cstheme="minorHAnsi"/>
                <w:b/>
                <w:bCs/>
                <w:color w:val="000000"/>
                <w:sz w:val="20"/>
                <w:szCs w:val="20"/>
                <w:lang w:eastAsia="de-DE"/>
              </w:rPr>
            </w:pPr>
          </w:p>
        </w:tc>
        <w:tc>
          <w:tcPr>
            <w:tcW w:w="1417" w:type="dxa"/>
            <w:tcBorders>
              <w:top w:val="single" w:sz="18" w:space="0" w:color="000000"/>
              <w:left w:val="nil"/>
              <w:bottom w:val="single" w:sz="8" w:space="0" w:color="000000"/>
              <w:right w:val="nil"/>
            </w:tcBorders>
            <w:shd w:val="clear" w:color="auto" w:fill="FFFFFF"/>
            <w:tcMar>
              <w:top w:w="60" w:type="dxa"/>
              <w:left w:w="180" w:type="dxa"/>
              <w:bottom w:w="60" w:type="dxa"/>
              <w:right w:w="180" w:type="dxa"/>
            </w:tcMar>
            <w:vAlign w:val="center"/>
            <w:hideMark/>
          </w:tcPr>
          <w:p w14:paraId="1995051E" w14:textId="77777777" w:rsidR="00702F43" w:rsidRDefault="00702F43" w:rsidP="006679D1">
            <w:pPr>
              <w:jc w:val="cente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AQP4+ NMOSD</w:t>
            </w:r>
            <w:r w:rsidRPr="00235E5F">
              <w:rPr>
                <w:rFonts w:eastAsia="Times New Roman" w:cstheme="minorHAnsi"/>
                <w:b/>
                <w:bCs/>
                <w:color w:val="000000"/>
                <w:sz w:val="20"/>
                <w:szCs w:val="20"/>
                <w:lang w:eastAsia="de-DE"/>
              </w:rPr>
              <w:br/>
              <w:t>(N=43)</w:t>
            </w:r>
          </w:p>
          <w:p w14:paraId="04F20CBF" w14:textId="77777777" w:rsidR="00702F43" w:rsidRPr="00235E5F" w:rsidRDefault="00702F43" w:rsidP="006679D1">
            <w:pPr>
              <w:jc w:val="center"/>
              <w:rPr>
                <w:rFonts w:eastAsia="Times New Roman" w:cstheme="minorHAnsi"/>
                <w:b/>
                <w:bCs/>
                <w:color w:val="000000"/>
                <w:sz w:val="20"/>
                <w:szCs w:val="20"/>
                <w:lang w:eastAsia="de-DE"/>
              </w:rPr>
            </w:pPr>
          </w:p>
        </w:tc>
        <w:tc>
          <w:tcPr>
            <w:tcW w:w="1418" w:type="dxa"/>
            <w:tcBorders>
              <w:top w:val="single" w:sz="18" w:space="0" w:color="000000"/>
              <w:left w:val="nil"/>
              <w:bottom w:val="single" w:sz="8" w:space="0" w:color="000000"/>
              <w:right w:val="nil"/>
            </w:tcBorders>
            <w:shd w:val="clear" w:color="auto" w:fill="FFFFFF"/>
            <w:tcMar>
              <w:top w:w="60" w:type="dxa"/>
              <w:left w:w="180" w:type="dxa"/>
              <w:bottom w:w="60" w:type="dxa"/>
              <w:right w:w="180" w:type="dxa"/>
            </w:tcMar>
            <w:vAlign w:val="center"/>
            <w:hideMark/>
          </w:tcPr>
          <w:p w14:paraId="54DF9B61" w14:textId="77777777" w:rsidR="00702F43" w:rsidRDefault="00702F43" w:rsidP="006679D1">
            <w:pPr>
              <w:jc w:val="cente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seron</w:t>
            </w:r>
            <w:proofErr w:type="spellEnd"/>
            <w:r w:rsidRPr="00235E5F">
              <w:rPr>
                <w:rFonts w:eastAsia="Times New Roman" w:cstheme="minorHAnsi"/>
                <w:b/>
                <w:bCs/>
                <w:color w:val="000000"/>
                <w:sz w:val="20"/>
                <w:szCs w:val="20"/>
                <w:lang w:eastAsia="de-DE"/>
              </w:rPr>
              <w:t>. NMOSD</w:t>
            </w:r>
            <w:r w:rsidRPr="00235E5F">
              <w:rPr>
                <w:rFonts w:eastAsia="Times New Roman" w:cstheme="minorHAnsi"/>
                <w:b/>
                <w:bCs/>
                <w:color w:val="000000"/>
                <w:sz w:val="20"/>
                <w:szCs w:val="20"/>
                <w:lang w:eastAsia="de-DE"/>
              </w:rPr>
              <w:br/>
              <w:t>(N=15)</w:t>
            </w:r>
          </w:p>
          <w:p w14:paraId="2158C795" w14:textId="77777777" w:rsidR="00702F43" w:rsidRPr="00235E5F" w:rsidRDefault="00702F43" w:rsidP="006679D1">
            <w:pPr>
              <w:jc w:val="center"/>
              <w:rPr>
                <w:rFonts w:eastAsia="Times New Roman" w:cstheme="minorHAnsi"/>
                <w:b/>
                <w:bCs/>
                <w:color w:val="000000"/>
                <w:sz w:val="20"/>
                <w:szCs w:val="20"/>
                <w:lang w:eastAsia="de-DE"/>
              </w:rPr>
            </w:pPr>
          </w:p>
        </w:tc>
        <w:tc>
          <w:tcPr>
            <w:tcW w:w="1444" w:type="dxa"/>
            <w:tcBorders>
              <w:top w:val="single" w:sz="18" w:space="0" w:color="000000"/>
              <w:left w:val="nil"/>
              <w:bottom w:val="single" w:sz="8" w:space="0" w:color="000000"/>
              <w:right w:val="nil"/>
            </w:tcBorders>
            <w:shd w:val="clear" w:color="auto" w:fill="FFFFFF"/>
            <w:tcMar>
              <w:top w:w="60" w:type="dxa"/>
              <w:left w:w="180" w:type="dxa"/>
              <w:bottom w:w="60" w:type="dxa"/>
              <w:right w:w="180" w:type="dxa"/>
            </w:tcMar>
            <w:vAlign w:val="center"/>
            <w:hideMark/>
          </w:tcPr>
          <w:p w14:paraId="65ED75D2" w14:textId="77777777" w:rsidR="00702F43" w:rsidRDefault="00702F43" w:rsidP="006679D1">
            <w:pPr>
              <w:jc w:val="cente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Overall</w:t>
            </w:r>
            <w:r w:rsidRPr="00235E5F">
              <w:rPr>
                <w:rFonts w:eastAsia="Times New Roman" w:cstheme="minorHAnsi"/>
                <w:b/>
                <w:bCs/>
                <w:color w:val="000000"/>
                <w:sz w:val="20"/>
                <w:szCs w:val="20"/>
                <w:lang w:eastAsia="de-DE"/>
              </w:rPr>
              <w:br/>
              <w:t>(N=79)</w:t>
            </w:r>
          </w:p>
          <w:p w14:paraId="61CDD932" w14:textId="77777777" w:rsidR="00702F43" w:rsidRPr="00235E5F" w:rsidRDefault="00702F43" w:rsidP="006679D1">
            <w:pPr>
              <w:jc w:val="center"/>
              <w:rPr>
                <w:rFonts w:eastAsia="Times New Roman" w:cstheme="minorHAnsi"/>
                <w:b/>
                <w:bCs/>
                <w:color w:val="000000"/>
                <w:sz w:val="20"/>
                <w:szCs w:val="20"/>
                <w:lang w:eastAsia="de-DE"/>
              </w:rPr>
            </w:pPr>
          </w:p>
        </w:tc>
      </w:tr>
      <w:tr w:rsidR="00702F43" w:rsidRPr="00235E5F" w14:paraId="7D7244C0"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24352FEE" w14:textId="77777777" w:rsidR="00702F43" w:rsidRPr="00235E5F" w:rsidRDefault="00702F43" w:rsidP="006679D1">
            <w:pP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Left</w:t>
            </w:r>
            <w:proofErr w:type="spellEnd"/>
            <w:r w:rsidRPr="00235E5F">
              <w:rPr>
                <w:rFonts w:eastAsia="Times New Roman" w:cstheme="minorHAnsi"/>
                <w:b/>
                <w:bCs/>
                <w:color w:val="000000"/>
                <w:sz w:val="20"/>
                <w:szCs w:val="20"/>
                <w:lang w:eastAsia="de-DE"/>
              </w:rPr>
              <w:t xml:space="preserve"> </w:t>
            </w:r>
            <w:proofErr w:type="spellStart"/>
            <w:r w:rsidRPr="00235E5F">
              <w:rPr>
                <w:rFonts w:eastAsia="Times New Roman" w:cstheme="minorHAnsi"/>
                <w:b/>
                <w:bCs/>
                <w:color w:val="000000"/>
                <w:sz w:val="20"/>
                <w:szCs w:val="20"/>
                <w:lang w:eastAsia="de-DE"/>
              </w:rPr>
              <w:t>thalamus</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77C83AC"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7.84 (1.07)</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ED41886"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7.63 (0.65)</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9BDD1F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7.84 (0.67)</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22D430D"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7.73 (0.78)</w:t>
            </w:r>
          </w:p>
        </w:tc>
      </w:tr>
      <w:tr w:rsidR="00702F43" w:rsidRPr="00235E5F" w14:paraId="6636DD19"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23C483B2"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 xml:space="preserve">Right </w:t>
            </w:r>
            <w:proofErr w:type="spellStart"/>
            <w:r w:rsidRPr="00235E5F">
              <w:rPr>
                <w:rFonts w:eastAsia="Times New Roman" w:cstheme="minorHAnsi"/>
                <w:b/>
                <w:bCs/>
                <w:color w:val="000000"/>
                <w:sz w:val="20"/>
                <w:szCs w:val="20"/>
                <w:lang w:eastAsia="de-DE"/>
              </w:rPr>
              <w:t>thalamus</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4FD0693"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7.61 (1.03)</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9F2171C"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7.43 (0.6</w:t>
            </w:r>
            <w:r>
              <w:rPr>
                <w:rFonts w:eastAsia="Times New Roman" w:cstheme="minorHAnsi"/>
                <w:color w:val="000000"/>
                <w:sz w:val="20"/>
                <w:szCs w:val="20"/>
                <w:lang w:eastAsia="de-DE"/>
              </w:rPr>
              <w:t>5</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76D619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7.60 (0.6</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A46B912"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7.51 (0.75)</w:t>
            </w:r>
          </w:p>
        </w:tc>
      </w:tr>
      <w:tr w:rsidR="00702F43" w:rsidRPr="00235E5F" w14:paraId="4BAD73DE"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61CD080F"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Thalamus total</w:t>
            </w:r>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1BB0A95"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15.5 (2.07)</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F91B585"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15.1 (1.27)</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3ED7C6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15.4 (1.25)</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8CAEB30"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15.2 (1.51)</w:t>
            </w:r>
          </w:p>
        </w:tc>
      </w:tr>
      <w:tr w:rsidR="00702F43" w:rsidRPr="00235E5F" w14:paraId="4B5F2CF3"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5842E6E9" w14:textId="77777777" w:rsidR="00702F43" w:rsidRPr="00235E5F" w:rsidRDefault="00702F43" w:rsidP="006679D1">
            <w:pPr>
              <w:rPr>
                <w:rFonts w:eastAsia="Times New Roman" w:cstheme="minorHAnsi"/>
                <w:b/>
                <w:bCs/>
                <w:color w:val="000000"/>
                <w:sz w:val="20"/>
                <w:szCs w:val="20"/>
                <w:lang w:val="en-US" w:eastAsia="de-DE"/>
              </w:rPr>
            </w:pPr>
            <w:r w:rsidRPr="00235E5F">
              <w:rPr>
                <w:rFonts w:eastAsia="Times New Roman" w:cstheme="minorHAnsi"/>
                <w:b/>
                <w:bCs/>
                <w:color w:val="000000"/>
                <w:sz w:val="20"/>
                <w:szCs w:val="20"/>
                <w:lang w:val="en-US" w:eastAsia="de-DE"/>
              </w:rPr>
              <w:t>Left caudate nucleus</w:t>
            </w:r>
            <w:r w:rsidRPr="003265C1">
              <w:rPr>
                <w:rFonts w:eastAsia="Times New Roman" w:cstheme="minorHAnsi"/>
                <w:b/>
                <w:bCs/>
                <w:color w:val="000000"/>
                <w:sz w:val="20"/>
                <w:szCs w:val="20"/>
                <w:lang w:val="en-US"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9A15BA1"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3.36 (0.46)</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E44E0F0"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3.19 (0.3</w:t>
            </w:r>
            <w:r>
              <w:rPr>
                <w:rFonts w:eastAsia="Times New Roman" w:cstheme="minorHAnsi"/>
                <w:color w:val="000000"/>
                <w:sz w:val="20"/>
                <w:szCs w:val="20"/>
                <w:lang w:eastAsia="de-DE"/>
              </w:rPr>
              <w:t>9</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37652E6"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3.54 (0.56)</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D56F0C3"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3.30 (0.46)</w:t>
            </w:r>
          </w:p>
        </w:tc>
      </w:tr>
      <w:tr w:rsidR="00702F43" w:rsidRPr="00235E5F" w14:paraId="4D323E72"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1D4C4464" w14:textId="77777777" w:rsidR="00702F43" w:rsidRPr="00235E5F" w:rsidRDefault="00702F43" w:rsidP="006679D1">
            <w:pPr>
              <w:rPr>
                <w:rFonts w:eastAsia="Times New Roman" w:cstheme="minorHAnsi"/>
                <w:b/>
                <w:bCs/>
                <w:color w:val="000000"/>
                <w:sz w:val="20"/>
                <w:szCs w:val="20"/>
                <w:lang w:val="en-US" w:eastAsia="de-DE"/>
              </w:rPr>
            </w:pPr>
            <w:r w:rsidRPr="00235E5F">
              <w:rPr>
                <w:rFonts w:eastAsia="Times New Roman" w:cstheme="minorHAnsi"/>
                <w:b/>
                <w:bCs/>
                <w:color w:val="000000"/>
                <w:sz w:val="20"/>
                <w:szCs w:val="20"/>
                <w:lang w:val="en-US" w:eastAsia="de-DE"/>
              </w:rPr>
              <w:t>Right caudate nucleus</w:t>
            </w:r>
            <w:r w:rsidRPr="00F83757">
              <w:rPr>
                <w:rFonts w:eastAsia="Times New Roman" w:cstheme="minorHAnsi"/>
                <w:b/>
                <w:bCs/>
                <w:color w:val="000000"/>
                <w:sz w:val="20"/>
                <w:szCs w:val="20"/>
                <w:lang w:val="en-US" w:eastAsia="de-DE"/>
              </w:rPr>
              <w:t xml:space="preserve"> </w:t>
            </w:r>
            <w:proofErr w:type="gramStart"/>
            <w:r w:rsidRPr="003265C1">
              <w:rPr>
                <w:rFonts w:eastAsia="Times New Roman" w:cstheme="minorHAnsi"/>
                <w:color w:val="000000"/>
                <w:sz w:val="20"/>
                <w:szCs w:val="20"/>
                <w:lang w:val="en-US" w:eastAsia="de-DE"/>
              </w:rPr>
              <w:t>mean</w:t>
            </w:r>
            <w:proofErr w:type="gramEnd"/>
            <w:r w:rsidRPr="003265C1">
              <w:rPr>
                <w:rFonts w:eastAsia="Times New Roman" w:cstheme="minorHAnsi"/>
                <w:color w:val="000000"/>
                <w:sz w:val="20"/>
                <w:szCs w:val="20"/>
                <w:lang w:val="en-US" w:eastAsia="de-DE"/>
              </w:rPr>
              <w:t xml:space="preserve">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1E86934"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3.61 (0.50)</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C189E33"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3.40 (0.40)</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779C7B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3.65 (0.5</w:t>
            </w:r>
            <w:r>
              <w:rPr>
                <w:rFonts w:eastAsia="Times New Roman" w:cstheme="minorHAnsi"/>
                <w:color w:val="000000"/>
                <w:sz w:val="20"/>
                <w:szCs w:val="20"/>
                <w:lang w:eastAsia="de-DE"/>
              </w:rPr>
              <w:t>7</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5F0AD3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3.50 (0.47)</w:t>
            </w:r>
          </w:p>
        </w:tc>
      </w:tr>
      <w:tr w:rsidR="00702F43" w:rsidRPr="00235E5F" w14:paraId="5671CCC5"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1B9273FB" w14:textId="77777777" w:rsidR="00702F43" w:rsidRPr="00235E5F" w:rsidRDefault="00702F43" w:rsidP="006679D1">
            <w:pPr>
              <w:rPr>
                <w:rFonts w:eastAsia="Times New Roman" w:cstheme="minorHAnsi"/>
                <w:b/>
                <w:bCs/>
                <w:color w:val="000000"/>
                <w:sz w:val="20"/>
                <w:szCs w:val="20"/>
                <w:lang w:val="en-US" w:eastAsia="de-DE"/>
              </w:rPr>
            </w:pPr>
            <w:r w:rsidRPr="00235E5F">
              <w:rPr>
                <w:rFonts w:eastAsia="Times New Roman" w:cstheme="minorHAnsi"/>
                <w:b/>
                <w:bCs/>
                <w:color w:val="000000"/>
                <w:sz w:val="20"/>
                <w:szCs w:val="20"/>
                <w:lang w:val="en-US" w:eastAsia="de-DE"/>
              </w:rPr>
              <w:t>Caudate nucleus total</w:t>
            </w:r>
            <w:r w:rsidRPr="00F83757">
              <w:rPr>
                <w:rFonts w:eastAsia="Times New Roman" w:cstheme="minorHAnsi"/>
                <w:b/>
                <w:bCs/>
                <w:color w:val="000000"/>
                <w:sz w:val="20"/>
                <w:szCs w:val="20"/>
                <w:lang w:val="en-US"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C78327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6.97 (0.9</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A3591C5"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6.59 (0.76)</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425FA6C"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7.19 (1.13)</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004E27F"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6.81 (0.9</w:t>
            </w:r>
            <w:r>
              <w:rPr>
                <w:rFonts w:eastAsia="Times New Roman" w:cstheme="minorHAnsi"/>
                <w:color w:val="000000"/>
                <w:sz w:val="20"/>
                <w:szCs w:val="20"/>
                <w:lang w:eastAsia="de-DE"/>
              </w:rPr>
              <w:t>2</w:t>
            </w:r>
            <w:r w:rsidRPr="00235E5F">
              <w:rPr>
                <w:rFonts w:eastAsia="Times New Roman" w:cstheme="minorHAnsi"/>
                <w:color w:val="000000"/>
                <w:sz w:val="20"/>
                <w:szCs w:val="20"/>
                <w:lang w:eastAsia="de-DE"/>
              </w:rPr>
              <w:t>)</w:t>
            </w:r>
          </w:p>
        </w:tc>
      </w:tr>
      <w:tr w:rsidR="00702F43" w:rsidRPr="00235E5F" w14:paraId="3FBC859E"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66C988F8" w14:textId="77777777" w:rsidR="00702F43" w:rsidRPr="00235E5F" w:rsidRDefault="00702F43" w:rsidP="006679D1">
            <w:pP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Left</w:t>
            </w:r>
            <w:proofErr w:type="spellEnd"/>
            <w:r w:rsidRPr="00235E5F">
              <w:rPr>
                <w:rFonts w:eastAsia="Times New Roman" w:cstheme="minorHAnsi"/>
                <w:b/>
                <w:bCs/>
                <w:color w:val="000000"/>
                <w:sz w:val="20"/>
                <w:szCs w:val="20"/>
                <w:lang w:eastAsia="de-DE"/>
              </w:rPr>
              <w:t xml:space="preserve"> </w:t>
            </w:r>
            <w:proofErr w:type="spellStart"/>
            <w:r w:rsidRPr="00235E5F">
              <w:rPr>
                <w:rFonts w:eastAsia="Times New Roman" w:cstheme="minorHAnsi"/>
                <w:b/>
                <w:bCs/>
                <w:color w:val="000000"/>
                <w:sz w:val="20"/>
                <w:szCs w:val="20"/>
                <w:lang w:eastAsia="de-DE"/>
              </w:rPr>
              <w:t>putamen</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C986CE8"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4.72 (0.</w:t>
            </w:r>
            <w:r>
              <w:rPr>
                <w:rFonts w:eastAsia="Times New Roman" w:cstheme="minorHAnsi"/>
                <w:color w:val="000000"/>
                <w:sz w:val="20"/>
                <w:szCs w:val="20"/>
                <w:lang w:eastAsia="de-DE"/>
              </w:rPr>
              <w:t>70</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E96DFD0"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4.61 (0.5</w:t>
            </w:r>
            <w:r>
              <w:rPr>
                <w:rFonts w:eastAsia="Times New Roman" w:cstheme="minorHAnsi"/>
                <w:color w:val="000000"/>
                <w:sz w:val="20"/>
                <w:szCs w:val="20"/>
                <w:lang w:eastAsia="de-DE"/>
              </w:rPr>
              <w:t>9</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D151F1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4.85 (0.</w:t>
            </w:r>
            <w:r>
              <w:rPr>
                <w:rFonts w:eastAsia="Times New Roman" w:cstheme="minorHAnsi"/>
                <w:color w:val="000000"/>
                <w:sz w:val="20"/>
                <w:szCs w:val="20"/>
                <w:lang w:eastAsia="de-DE"/>
              </w:rPr>
              <w:t>70</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E5721E8"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4.69 (0.63)</w:t>
            </w:r>
          </w:p>
        </w:tc>
      </w:tr>
      <w:tr w:rsidR="00702F43" w:rsidRPr="00235E5F" w14:paraId="721EF204"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3E5ECB0D"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 xml:space="preserve">Right </w:t>
            </w:r>
            <w:proofErr w:type="spellStart"/>
            <w:r w:rsidRPr="00235E5F">
              <w:rPr>
                <w:rFonts w:eastAsia="Times New Roman" w:cstheme="minorHAnsi"/>
                <w:b/>
                <w:bCs/>
                <w:color w:val="000000"/>
                <w:sz w:val="20"/>
                <w:szCs w:val="20"/>
                <w:lang w:eastAsia="de-DE"/>
              </w:rPr>
              <w:t>putamen</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5A08498"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4.72 (0.6</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A0B9104"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4.66 (0.5</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8C6F91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4.89 (0.6</w:t>
            </w:r>
            <w:r>
              <w:rPr>
                <w:rFonts w:eastAsia="Times New Roman" w:cstheme="minorHAnsi"/>
                <w:color w:val="000000"/>
                <w:sz w:val="20"/>
                <w:szCs w:val="20"/>
                <w:lang w:eastAsia="de-DE"/>
              </w:rPr>
              <w:t>7</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44F528F"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4.72 (0.60)</w:t>
            </w:r>
          </w:p>
        </w:tc>
      </w:tr>
      <w:tr w:rsidR="00702F43" w:rsidRPr="00235E5F" w14:paraId="54B23D01"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28377AE4" w14:textId="77777777" w:rsidR="00702F43" w:rsidRPr="00235E5F" w:rsidRDefault="00702F43" w:rsidP="006679D1">
            <w:pP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Putamen</w:t>
            </w:r>
            <w:proofErr w:type="spellEnd"/>
            <w:r w:rsidRPr="00235E5F">
              <w:rPr>
                <w:rFonts w:eastAsia="Times New Roman" w:cstheme="minorHAnsi"/>
                <w:b/>
                <w:bCs/>
                <w:color w:val="000000"/>
                <w:sz w:val="20"/>
                <w:szCs w:val="20"/>
                <w:lang w:eastAsia="de-DE"/>
              </w:rPr>
              <w:t xml:space="preserve"> total</w:t>
            </w:r>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37244F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9.45 (1.35)</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1CD4E51"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9.27 (1.11)</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C423A17"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9.74 (1.31)</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3BB54D4"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9.41 (1.21)</w:t>
            </w:r>
          </w:p>
        </w:tc>
      </w:tr>
      <w:tr w:rsidR="00702F43" w:rsidRPr="00235E5F" w14:paraId="06E1BF6F"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54DB3018" w14:textId="77777777" w:rsidR="00702F43" w:rsidRPr="00235E5F" w:rsidRDefault="00702F43" w:rsidP="006679D1">
            <w:pP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Left</w:t>
            </w:r>
            <w:proofErr w:type="spellEnd"/>
            <w:r w:rsidRPr="00235E5F">
              <w:rPr>
                <w:rFonts w:eastAsia="Times New Roman" w:cstheme="minorHAnsi"/>
                <w:b/>
                <w:bCs/>
                <w:color w:val="000000"/>
                <w:sz w:val="20"/>
                <w:szCs w:val="20"/>
                <w:lang w:eastAsia="de-DE"/>
              </w:rPr>
              <w:t xml:space="preserve"> </w:t>
            </w:r>
            <w:proofErr w:type="spellStart"/>
            <w:r w:rsidRPr="00235E5F">
              <w:rPr>
                <w:rFonts w:eastAsia="Times New Roman" w:cstheme="minorHAnsi"/>
                <w:b/>
                <w:bCs/>
                <w:color w:val="000000"/>
                <w:sz w:val="20"/>
                <w:szCs w:val="20"/>
                <w:lang w:eastAsia="de-DE"/>
              </w:rPr>
              <w:t>pallidum</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7D0F5A9"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1.66 (0.2</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66D58A5"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1.70 (0.</w:t>
            </w:r>
            <w:r>
              <w:rPr>
                <w:rFonts w:eastAsia="Times New Roman" w:cstheme="minorHAnsi"/>
                <w:color w:val="000000"/>
                <w:sz w:val="20"/>
                <w:szCs w:val="20"/>
                <w:lang w:eastAsia="de-DE"/>
              </w:rPr>
              <w:t>20</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BEE7C58"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1.78 (0.17)</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72523F9"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1.71 (0.21)</w:t>
            </w:r>
          </w:p>
        </w:tc>
      </w:tr>
      <w:tr w:rsidR="00702F43" w:rsidRPr="00235E5F" w14:paraId="2AC882DB"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1D79ACBD"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 xml:space="preserve">Right </w:t>
            </w:r>
            <w:proofErr w:type="spellStart"/>
            <w:r w:rsidRPr="00235E5F">
              <w:rPr>
                <w:rFonts w:eastAsia="Times New Roman" w:cstheme="minorHAnsi"/>
                <w:b/>
                <w:bCs/>
                <w:color w:val="000000"/>
                <w:sz w:val="20"/>
                <w:szCs w:val="20"/>
                <w:lang w:eastAsia="de-DE"/>
              </w:rPr>
              <w:t>pallidum</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FE496F7"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1.73 (0.2</w:t>
            </w:r>
            <w:r>
              <w:rPr>
                <w:rFonts w:eastAsia="Times New Roman" w:cstheme="minorHAnsi"/>
                <w:color w:val="000000"/>
                <w:sz w:val="20"/>
                <w:szCs w:val="20"/>
                <w:lang w:eastAsia="de-DE"/>
              </w:rPr>
              <w:t>7</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F80666F"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1.70 (0.1</w:t>
            </w:r>
            <w:r>
              <w:rPr>
                <w:rFonts w:eastAsia="Times New Roman" w:cstheme="minorHAnsi"/>
                <w:color w:val="000000"/>
                <w:sz w:val="20"/>
                <w:szCs w:val="20"/>
                <w:lang w:eastAsia="de-DE"/>
              </w:rPr>
              <w:t>8</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BE68EF5"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1.77 (0.21)</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70736A7"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1.72 (0.2</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r>
      <w:tr w:rsidR="00702F43" w:rsidRPr="00235E5F" w14:paraId="74716BD8"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6950CB65" w14:textId="77777777" w:rsidR="00702F43" w:rsidRPr="00235E5F" w:rsidRDefault="00702F43" w:rsidP="006679D1">
            <w:pPr>
              <w:rPr>
                <w:rFonts w:eastAsia="Times New Roman" w:cstheme="minorHAnsi"/>
                <w:b/>
                <w:bCs/>
                <w:color w:val="000000"/>
                <w:sz w:val="20"/>
                <w:szCs w:val="20"/>
                <w:lang w:eastAsia="de-DE"/>
              </w:rPr>
            </w:pPr>
            <w:proofErr w:type="spellStart"/>
            <w:r>
              <w:rPr>
                <w:rFonts w:eastAsia="Times New Roman" w:cstheme="minorHAnsi"/>
                <w:b/>
                <w:bCs/>
                <w:color w:val="000000"/>
                <w:sz w:val="20"/>
                <w:szCs w:val="20"/>
                <w:lang w:eastAsia="de-DE"/>
              </w:rPr>
              <w:t>P</w:t>
            </w:r>
            <w:r w:rsidRPr="00235E5F">
              <w:rPr>
                <w:rFonts w:eastAsia="Times New Roman" w:cstheme="minorHAnsi"/>
                <w:b/>
                <w:bCs/>
                <w:color w:val="000000"/>
                <w:sz w:val="20"/>
                <w:szCs w:val="20"/>
                <w:lang w:eastAsia="de-DE"/>
              </w:rPr>
              <w:t>allidum</w:t>
            </w:r>
            <w:proofErr w:type="spellEnd"/>
            <w:r>
              <w:rPr>
                <w:rFonts w:eastAsia="Times New Roman" w:cstheme="minorHAnsi"/>
                <w:b/>
                <w:bCs/>
                <w:color w:val="000000"/>
                <w:sz w:val="20"/>
                <w:szCs w:val="20"/>
                <w:lang w:eastAsia="de-DE"/>
              </w:rPr>
              <w:t xml:space="preserve"> total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B97D89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3.40 (0.51)</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B5D6FE6"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3.40 (0.3</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A9AB03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3.55 (0.37)</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B67B402"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3.43 (0.4</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r>
      <w:tr w:rsidR="00702F43" w:rsidRPr="00235E5F" w14:paraId="3598A114"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3E43235F" w14:textId="77777777" w:rsidR="00702F43" w:rsidRPr="00235E5F" w:rsidRDefault="00702F43" w:rsidP="006679D1">
            <w:pP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Left</w:t>
            </w:r>
            <w:proofErr w:type="spellEnd"/>
            <w:r w:rsidRPr="00235E5F">
              <w:rPr>
                <w:rFonts w:eastAsia="Times New Roman" w:cstheme="minorHAnsi"/>
                <w:b/>
                <w:bCs/>
                <w:color w:val="000000"/>
                <w:sz w:val="20"/>
                <w:szCs w:val="20"/>
                <w:lang w:eastAsia="de-DE"/>
              </w:rPr>
              <w:t xml:space="preserve"> </w:t>
            </w:r>
            <w:proofErr w:type="spellStart"/>
            <w:r w:rsidRPr="00235E5F">
              <w:rPr>
                <w:rFonts w:eastAsia="Times New Roman" w:cstheme="minorHAnsi"/>
                <w:b/>
                <w:bCs/>
                <w:color w:val="000000"/>
                <w:sz w:val="20"/>
                <w:szCs w:val="20"/>
                <w:lang w:eastAsia="de-DE"/>
              </w:rPr>
              <w:t>hippocampu</w:t>
            </w:r>
            <w:r>
              <w:rPr>
                <w:rFonts w:eastAsia="Times New Roman" w:cstheme="minorHAnsi"/>
                <w:b/>
                <w:bCs/>
                <w:color w:val="000000"/>
                <w:sz w:val="20"/>
                <w:szCs w:val="20"/>
                <w:lang w:eastAsia="de-DE"/>
              </w:rPr>
              <w:t>s</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0B0CE8D"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3.81 (0.</w:t>
            </w:r>
            <w:r>
              <w:rPr>
                <w:rFonts w:eastAsia="Times New Roman" w:cstheme="minorHAnsi"/>
                <w:color w:val="000000"/>
                <w:sz w:val="20"/>
                <w:szCs w:val="20"/>
                <w:lang w:eastAsia="de-DE"/>
              </w:rPr>
              <w:t>50</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9F0C54D"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3.74 (0.44)</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4CDD8C9"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3.85 (0.2</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1802919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3.78 (0.4</w:t>
            </w:r>
            <w:r>
              <w:rPr>
                <w:rFonts w:eastAsia="Times New Roman" w:cstheme="minorHAnsi"/>
                <w:color w:val="000000"/>
                <w:sz w:val="20"/>
                <w:szCs w:val="20"/>
                <w:lang w:eastAsia="de-DE"/>
              </w:rPr>
              <w:t>3</w:t>
            </w:r>
            <w:r w:rsidRPr="00235E5F">
              <w:rPr>
                <w:rFonts w:eastAsia="Times New Roman" w:cstheme="minorHAnsi"/>
                <w:color w:val="000000"/>
                <w:sz w:val="20"/>
                <w:szCs w:val="20"/>
                <w:lang w:eastAsia="de-DE"/>
              </w:rPr>
              <w:t>)</w:t>
            </w:r>
          </w:p>
        </w:tc>
      </w:tr>
      <w:tr w:rsidR="00702F43" w:rsidRPr="00235E5F" w14:paraId="5EB982D9"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3B6857D4"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 xml:space="preserve">Right </w:t>
            </w:r>
            <w:proofErr w:type="spellStart"/>
            <w:r w:rsidRPr="00235E5F">
              <w:rPr>
                <w:rFonts w:eastAsia="Times New Roman" w:cstheme="minorHAnsi"/>
                <w:b/>
                <w:bCs/>
                <w:color w:val="000000"/>
                <w:sz w:val="20"/>
                <w:szCs w:val="20"/>
                <w:lang w:eastAsia="de-DE"/>
              </w:rPr>
              <w:t>hippocampus</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CFE3882"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3.71 (0.7</w:t>
            </w:r>
            <w:r>
              <w:rPr>
                <w:rFonts w:eastAsia="Times New Roman" w:cstheme="minorHAnsi"/>
                <w:color w:val="000000"/>
                <w:sz w:val="20"/>
                <w:szCs w:val="20"/>
                <w:lang w:eastAsia="de-DE"/>
              </w:rPr>
              <w:t>5</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FCA9A8F"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3.80 (0.39)</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A9836C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3.87 (0.35)</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C7AD13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3.79 (0.</w:t>
            </w:r>
            <w:r>
              <w:rPr>
                <w:rFonts w:eastAsia="Times New Roman" w:cstheme="minorHAnsi"/>
                <w:color w:val="000000"/>
                <w:sz w:val="20"/>
                <w:szCs w:val="20"/>
                <w:lang w:eastAsia="de-DE"/>
              </w:rPr>
              <w:t>50</w:t>
            </w:r>
            <w:r w:rsidRPr="00235E5F">
              <w:rPr>
                <w:rFonts w:eastAsia="Times New Roman" w:cstheme="minorHAnsi"/>
                <w:color w:val="000000"/>
                <w:sz w:val="20"/>
                <w:szCs w:val="20"/>
                <w:lang w:eastAsia="de-DE"/>
              </w:rPr>
              <w:t>)</w:t>
            </w:r>
          </w:p>
        </w:tc>
      </w:tr>
      <w:tr w:rsidR="00702F43" w:rsidRPr="00235E5F" w14:paraId="473FA48D"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0DDDA470"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Hippocampus total</w:t>
            </w:r>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AFA1BD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7.52 (1.10)</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80B58C1"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7.54 (0.7</w:t>
            </w:r>
            <w:r>
              <w:rPr>
                <w:rFonts w:eastAsia="Times New Roman" w:cstheme="minorHAnsi"/>
                <w:color w:val="000000"/>
                <w:sz w:val="20"/>
                <w:szCs w:val="20"/>
                <w:lang w:eastAsia="de-DE"/>
              </w:rPr>
              <w:t>2</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658C6CC"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7.73 (0.56)</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6CF3C0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7.57 (0.8</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r>
      <w:tr w:rsidR="00702F43" w:rsidRPr="00235E5F" w14:paraId="40125739"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6F98894A" w14:textId="77777777" w:rsidR="00702F43" w:rsidRPr="00235E5F" w:rsidRDefault="00702F43" w:rsidP="006679D1">
            <w:pPr>
              <w:rPr>
                <w:rFonts w:eastAsia="Times New Roman" w:cstheme="minorHAnsi"/>
                <w:b/>
                <w:bCs/>
                <w:color w:val="000000"/>
                <w:sz w:val="20"/>
                <w:szCs w:val="20"/>
                <w:lang w:eastAsia="de-DE"/>
              </w:rPr>
            </w:pPr>
            <w:proofErr w:type="spellStart"/>
            <w:r w:rsidRPr="00235E5F">
              <w:rPr>
                <w:rFonts w:eastAsia="Times New Roman" w:cstheme="minorHAnsi"/>
                <w:b/>
                <w:bCs/>
                <w:color w:val="000000"/>
                <w:sz w:val="20"/>
                <w:szCs w:val="20"/>
                <w:lang w:eastAsia="de-DE"/>
              </w:rPr>
              <w:t>Left</w:t>
            </w:r>
            <w:proofErr w:type="spellEnd"/>
            <w:r w:rsidRPr="00235E5F">
              <w:rPr>
                <w:rFonts w:eastAsia="Times New Roman" w:cstheme="minorHAnsi"/>
                <w:b/>
                <w:bCs/>
                <w:color w:val="000000"/>
                <w:sz w:val="20"/>
                <w:szCs w:val="20"/>
                <w:lang w:eastAsia="de-DE"/>
              </w:rPr>
              <w:t xml:space="preserve"> </w:t>
            </w:r>
            <w:proofErr w:type="spellStart"/>
            <w:r w:rsidRPr="00235E5F">
              <w:rPr>
                <w:rFonts w:eastAsia="Times New Roman" w:cstheme="minorHAnsi"/>
                <w:b/>
                <w:bCs/>
                <w:color w:val="000000"/>
                <w:sz w:val="20"/>
                <w:szCs w:val="20"/>
                <w:lang w:eastAsia="de-DE"/>
              </w:rPr>
              <w:t>amygdala</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9D7D471"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1.25 (0.2</w:t>
            </w:r>
            <w:r>
              <w:rPr>
                <w:rFonts w:eastAsia="Times New Roman" w:cstheme="minorHAnsi"/>
                <w:color w:val="000000"/>
                <w:sz w:val="20"/>
                <w:szCs w:val="20"/>
                <w:lang w:eastAsia="de-DE"/>
              </w:rPr>
              <w:t>5</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7FDD6ED"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1.43 (0.3</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02B472B"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1.44 (0.22)</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7562D3C"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1.38 (0.2</w:t>
            </w:r>
            <w:r>
              <w:rPr>
                <w:rFonts w:eastAsia="Times New Roman" w:cstheme="minorHAnsi"/>
                <w:color w:val="000000"/>
                <w:sz w:val="20"/>
                <w:szCs w:val="20"/>
                <w:lang w:eastAsia="de-DE"/>
              </w:rPr>
              <w:t>9</w:t>
            </w:r>
            <w:r w:rsidRPr="00235E5F">
              <w:rPr>
                <w:rFonts w:eastAsia="Times New Roman" w:cstheme="minorHAnsi"/>
                <w:color w:val="000000"/>
                <w:sz w:val="20"/>
                <w:szCs w:val="20"/>
                <w:lang w:eastAsia="de-DE"/>
              </w:rPr>
              <w:t>)</w:t>
            </w:r>
          </w:p>
        </w:tc>
      </w:tr>
      <w:tr w:rsidR="00702F43" w:rsidRPr="00235E5F" w14:paraId="09584D87"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1AA90C70"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 xml:space="preserve">Right </w:t>
            </w:r>
            <w:proofErr w:type="spellStart"/>
            <w:r w:rsidRPr="00235E5F">
              <w:rPr>
                <w:rFonts w:eastAsia="Times New Roman" w:cstheme="minorHAnsi"/>
                <w:b/>
                <w:bCs/>
                <w:color w:val="000000"/>
                <w:sz w:val="20"/>
                <w:szCs w:val="20"/>
                <w:lang w:eastAsia="de-DE"/>
              </w:rPr>
              <w:t>amygdala</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24ED949"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1.28 (0.21)</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5F2B2F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1.45 (0.28)</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AC97C36"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1.40 (0.</w:t>
            </w:r>
            <w:r>
              <w:rPr>
                <w:rFonts w:eastAsia="Times New Roman" w:cstheme="minorHAnsi"/>
                <w:color w:val="000000"/>
                <w:sz w:val="20"/>
                <w:szCs w:val="20"/>
                <w:lang w:eastAsia="de-DE"/>
              </w:rPr>
              <w:t>20</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EAEF777"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1.39 (0.2</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r>
      <w:tr w:rsidR="00702F43" w:rsidRPr="00235E5F" w14:paraId="3121C8F9"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1BA2D77D" w14:textId="77777777" w:rsidR="00702F43" w:rsidRPr="00235E5F" w:rsidRDefault="00702F43" w:rsidP="006679D1">
            <w:pPr>
              <w:rPr>
                <w:rFonts w:eastAsia="Times New Roman" w:cstheme="minorHAnsi"/>
                <w:b/>
                <w:bCs/>
                <w:color w:val="000000"/>
                <w:sz w:val="20"/>
                <w:szCs w:val="20"/>
                <w:lang w:eastAsia="de-DE"/>
              </w:rPr>
            </w:pPr>
            <w:r w:rsidRPr="00235E5F">
              <w:rPr>
                <w:rFonts w:eastAsia="Times New Roman" w:cstheme="minorHAnsi"/>
                <w:b/>
                <w:bCs/>
                <w:color w:val="000000"/>
                <w:sz w:val="20"/>
                <w:szCs w:val="20"/>
                <w:lang w:eastAsia="de-DE"/>
              </w:rPr>
              <w:t>Amygdala total</w:t>
            </w:r>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13186A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2.53 (0.</w:t>
            </w:r>
            <w:r>
              <w:rPr>
                <w:rFonts w:eastAsia="Times New Roman" w:cstheme="minorHAnsi"/>
                <w:color w:val="000000"/>
                <w:sz w:val="20"/>
                <w:szCs w:val="20"/>
                <w:lang w:eastAsia="de-DE"/>
              </w:rPr>
              <w:t>40</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40800B2"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2.87 (0.5</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720F9DC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2.84 (0.3</w:t>
            </w:r>
            <w:r>
              <w:rPr>
                <w:rFonts w:eastAsia="Times New Roman" w:cstheme="minorHAnsi"/>
                <w:color w:val="000000"/>
                <w:sz w:val="20"/>
                <w:szCs w:val="20"/>
                <w:lang w:eastAsia="de-DE"/>
              </w:rPr>
              <w:t>9</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C25CC77"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2.78 (0.5</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r>
      <w:tr w:rsidR="00702F43" w:rsidRPr="00235E5F" w14:paraId="527FC8E1"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7827C6D4" w14:textId="77777777" w:rsidR="00702F43" w:rsidRPr="00235E5F" w:rsidRDefault="00702F43" w:rsidP="006679D1">
            <w:pPr>
              <w:rPr>
                <w:rFonts w:eastAsia="Times New Roman" w:cstheme="minorHAnsi"/>
                <w:b/>
                <w:bCs/>
                <w:color w:val="000000"/>
                <w:sz w:val="20"/>
                <w:szCs w:val="20"/>
                <w:lang w:val="en-US" w:eastAsia="de-DE"/>
              </w:rPr>
            </w:pPr>
            <w:r w:rsidRPr="00235E5F">
              <w:rPr>
                <w:rFonts w:eastAsia="Times New Roman" w:cstheme="minorHAnsi"/>
                <w:b/>
                <w:bCs/>
                <w:color w:val="000000"/>
                <w:sz w:val="20"/>
                <w:szCs w:val="20"/>
                <w:lang w:val="en-US" w:eastAsia="de-DE"/>
              </w:rPr>
              <w:t xml:space="preserve">Left nucleus </w:t>
            </w:r>
            <w:proofErr w:type="spellStart"/>
            <w:r w:rsidRPr="00235E5F">
              <w:rPr>
                <w:rFonts w:eastAsia="Times New Roman" w:cstheme="minorHAnsi"/>
                <w:b/>
                <w:bCs/>
                <w:color w:val="000000"/>
                <w:sz w:val="20"/>
                <w:szCs w:val="20"/>
                <w:lang w:val="en-US" w:eastAsia="de-DE"/>
              </w:rPr>
              <w:t>accumbens</w:t>
            </w:r>
            <w:proofErr w:type="spellEnd"/>
            <w:r w:rsidRPr="00A22A0D">
              <w:rPr>
                <w:rFonts w:eastAsia="Times New Roman" w:cstheme="minorHAnsi"/>
                <w:b/>
                <w:bCs/>
                <w:color w:val="000000"/>
                <w:sz w:val="20"/>
                <w:szCs w:val="20"/>
                <w:lang w:val="en-US"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903B312"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0.48 (0.11)</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DF97D5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0.46 (0.0</w:t>
            </w:r>
            <w:r>
              <w:rPr>
                <w:rFonts w:eastAsia="Times New Roman" w:cstheme="minorHAnsi"/>
                <w:color w:val="000000"/>
                <w:sz w:val="20"/>
                <w:szCs w:val="20"/>
                <w:lang w:eastAsia="de-DE"/>
              </w:rPr>
              <w:t>9</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74AA7EF"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0.4</w:t>
            </w:r>
            <w:r>
              <w:rPr>
                <w:rFonts w:eastAsia="Times New Roman" w:cstheme="minorHAnsi"/>
                <w:color w:val="000000"/>
                <w:sz w:val="20"/>
                <w:szCs w:val="20"/>
                <w:lang w:eastAsia="de-DE"/>
              </w:rPr>
              <w:t>9</w:t>
            </w:r>
            <w:r w:rsidRPr="00235E5F">
              <w:rPr>
                <w:rFonts w:eastAsia="Times New Roman" w:cstheme="minorHAnsi"/>
                <w:color w:val="000000"/>
                <w:sz w:val="20"/>
                <w:szCs w:val="20"/>
                <w:lang w:eastAsia="de-DE"/>
              </w:rPr>
              <w:t xml:space="preserve"> (0.</w:t>
            </w:r>
            <w:r>
              <w:rPr>
                <w:rFonts w:eastAsia="Times New Roman" w:cstheme="minorHAnsi"/>
                <w:color w:val="000000"/>
                <w:sz w:val="20"/>
                <w:szCs w:val="20"/>
                <w:lang w:eastAsia="de-DE"/>
              </w:rPr>
              <w:t>10</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619452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0.47 (0.</w:t>
            </w:r>
            <w:r>
              <w:rPr>
                <w:rFonts w:eastAsia="Times New Roman" w:cstheme="minorHAnsi"/>
                <w:color w:val="000000"/>
                <w:sz w:val="20"/>
                <w:szCs w:val="20"/>
                <w:lang w:eastAsia="de-DE"/>
              </w:rPr>
              <w:t>10</w:t>
            </w:r>
            <w:r w:rsidRPr="00235E5F">
              <w:rPr>
                <w:rFonts w:eastAsia="Times New Roman" w:cstheme="minorHAnsi"/>
                <w:color w:val="000000"/>
                <w:sz w:val="20"/>
                <w:szCs w:val="20"/>
                <w:lang w:eastAsia="de-DE"/>
              </w:rPr>
              <w:t>)</w:t>
            </w:r>
          </w:p>
        </w:tc>
      </w:tr>
      <w:tr w:rsidR="00702F43" w:rsidRPr="00235E5F" w14:paraId="78FB0F44"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0B4A5168" w14:textId="77777777" w:rsidR="00702F43" w:rsidRPr="00235E5F" w:rsidRDefault="00702F43" w:rsidP="006679D1">
            <w:pPr>
              <w:rPr>
                <w:rFonts w:eastAsia="Times New Roman" w:cstheme="minorHAnsi"/>
                <w:b/>
                <w:bCs/>
                <w:color w:val="000000"/>
                <w:sz w:val="20"/>
                <w:szCs w:val="20"/>
                <w:lang w:val="en-US" w:eastAsia="de-DE"/>
              </w:rPr>
            </w:pPr>
            <w:r w:rsidRPr="00235E5F">
              <w:rPr>
                <w:rFonts w:eastAsia="Times New Roman" w:cstheme="minorHAnsi"/>
                <w:b/>
                <w:bCs/>
                <w:color w:val="000000"/>
                <w:sz w:val="20"/>
                <w:szCs w:val="20"/>
                <w:lang w:val="en-US" w:eastAsia="de-DE"/>
              </w:rPr>
              <w:t xml:space="preserve">Right nucleus </w:t>
            </w:r>
            <w:proofErr w:type="spellStart"/>
            <w:r w:rsidRPr="00235E5F">
              <w:rPr>
                <w:rFonts w:eastAsia="Times New Roman" w:cstheme="minorHAnsi"/>
                <w:b/>
                <w:bCs/>
                <w:color w:val="000000"/>
                <w:sz w:val="20"/>
                <w:szCs w:val="20"/>
                <w:lang w:val="en-US" w:eastAsia="de-DE"/>
              </w:rPr>
              <w:t>accumbens</w:t>
            </w:r>
            <w:proofErr w:type="spellEnd"/>
            <w:r w:rsidRPr="00A22A0D">
              <w:rPr>
                <w:rFonts w:eastAsia="Times New Roman" w:cstheme="minorHAnsi"/>
                <w:b/>
                <w:bCs/>
                <w:color w:val="000000"/>
                <w:sz w:val="20"/>
                <w:szCs w:val="20"/>
                <w:lang w:val="en-US"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3D21CB50"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0.41 (0.1</w:t>
            </w:r>
            <w:r>
              <w:rPr>
                <w:rFonts w:eastAsia="Times New Roman" w:cstheme="minorHAnsi"/>
                <w:color w:val="000000"/>
                <w:sz w:val="20"/>
                <w:szCs w:val="20"/>
                <w:lang w:eastAsia="de-DE"/>
              </w:rPr>
              <w:t>2</w:t>
            </w:r>
            <w:r w:rsidRPr="00235E5F">
              <w:rPr>
                <w:rFonts w:eastAsia="Times New Roman" w:cstheme="minorHAnsi"/>
                <w:color w:val="000000"/>
                <w:sz w:val="20"/>
                <w:szCs w:val="20"/>
                <w:lang w:eastAsia="de-DE"/>
              </w:rPr>
              <w:t>)</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4818F4F"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0.3</w:t>
            </w:r>
            <w:r>
              <w:rPr>
                <w:rFonts w:eastAsia="Times New Roman" w:cstheme="minorHAnsi"/>
                <w:color w:val="000000"/>
                <w:sz w:val="20"/>
                <w:szCs w:val="20"/>
                <w:lang w:eastAsia="de-DE"/>
              </w:rPr>
              <w:t>7</w:t>
            </w:r>
            <w:r w:rsidRPr="00235E5F">
              <w:rPr>
                <w:rFonts w:eastAsia="Times New Roman" w:cstheme="minorHAnsi"/>
                <w:color w:val="000000"/>
                <w:sz w:val="20"/>
                <w:szCs w:val="20"/>
                <w:lang w:eastAsia="de-DE"/>
              </w:rPr>
              <w:t xml:space="preserve"> (0.1</w:t>
            </w:r>
            <w:r>
              <w:rPr>
                <w:rFonts w:eastAsia="Times New Roman" w:cstheme="minorHAnsi"/>
                <w:color w:val="000000"/>
                <w:sz w:val="20"/>
                <w:szCs w:val="20"/>
                <w:lang w:eastAsia="de-DE"/>
              </w:rPr>
              <w:t>1</w:t>
            </w:r>
            <w:r w:rsidRPr="00235E5F">
              <w:rPr>
                <w:rFonts w:eastAsia="Times New Roman" w:cstheme="minorHAnsi"/>
                <w:color w:val="000000"/>
                <w:sz w:val="20"/>
                <w:szCs w:val="20"/>
                <w:lang w:eastAsia="de-DE"/>
              </w:rPr>
              <w:t>)</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09639BF9"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0.3</w:t>
            </w:r>
            <w:r>
              <w:rPr>
                <w:rFonts w:eastAsia="Times New Roman" w:cstheme="minorHAnsi"/>
                <w:color w:val="000000"/>
                <w:sz w:val="20"/>
                <w:szCs w:val="20"/>
                <w:lang w:eastAsia="de-DE"/>
              </w:rPr>
              <w:t>8</w:t>
            </w:r>
            <w:r w:rsidRPr="00235E5F">
              <w:rPr>
                <w:rFonts w:eastAsia="Times New Roman" w:cstheme="minorHAnsi"/>
                <w:color w:val="000000"/>
                <w:sz w:val="20"/>
                <w:szCs w:val="20"/>
                <w:lang w:eastAsia="de-DE"/>
              </w:rPr>
              <w:t xml:space="preserve"> (0.0</w:t>
            </w:r>
            <w:r>
              <w:rPr>
                <w:rFonts w:eastAsia="Times New Roman" w:cstheme="minorHAnsi"/>
                <w:color w:val="000000"/>
                <w:sz w:val="20"/>
                <w:szCs w:val="20"/>
                <w:lang w:eastAsia="de-DE"/>
              </w:rPr>
              <w:t>8</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4D6363DE"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0.38 (0.10)</w:t>
            </w:r>
          </w:p>
        </w:tc>
      </w:tr>
      <w:tr w:rsidR="00702F43" w:rsidRPr="00235E5F" w14:paraId="62A53C00" w14:textId="77777777" w:rsidTr="006679D1">
        <w:tc>
          <w:tcPr>
            <w:tcW w:w="2977" w:type="dxa"/>
            <w:tcBorders>
              <w:top w:val="nil"/>
              <w:left w:val="nil"/>
              <w:bottom w:val="nil"/>
              <w:right w:val="nil"/>
            </w:tcBorders>
            <w:shd w:val="clear" w:color="auto" w:fill="FFFFFF"/>
            <w:noWrap/>
            <w:tcMar>
              <w:top w:w="60" w:type="dxa"/>
              <w:left w:w="60" w:type="dxa"/>
              <w:bottom w:w="60" w:type="dxa"/>
              <w:right w:w="180" w:type="dxa"/>
            </w:tcMar>
            <w:vAlign w:val="center"/>
            <w:hideMark/>
          </w:tcPr>
          <w:p w14:paraId="528598D1" w14:textId="77777777" w:rsidR="00702F43" w:rsidRPr="00235E5F" w:rsidRDefault="00702F43" w:rsidP="006679D1">
            <w:pPr>
              <w:rPr>
                <w:rFonts w:eastAsia="Times New Roman" w:cstheme="minorHAnsi"/>
                <w:b/>
                <w:bCs/>
                <w:color w:val="000000"/>
                <w:sz w:val="20"/>
                <w:szCs w:val="20"/>
                <w:lang w:val="en-US" w:eastAsia="de-DE"/>
              </w:rPr>
            </w:pPr>
            <w:r w:rsidRPr="00235E5F">
              <w:rPr>
                <w:rFonts w:eastAsia="Times New Roman" w:cstheme="minorHAnsi"/>
                <w:b/>
                <w:bCs/>
                <w:color w:val="000000"/>
                <w:sz w:val="20"/>
                <w:szCs w:val="20"/>
                <w:lang w:val="en-US" w:eastAsia="de-DE"/>
              </w:rPr>
              <w:t xml:space="preserve">Nucleus </w:t>
            </w:r>
            <w:proofErr w:type="spellStart"/>
            <w:r w:rsidRPr="00235E5F">
              <w:rPr>
                <w:rFonts w:eastAsia="Times New Roman" w:cstheme="minorHAnsi"/>
                <w:b/>
                <w:bCs/>
                <w:color w:val="000000"/>
                <w:sz w:val="20"/>
                <w:szCs w:val="20"/>
                <w:lang w:val="en-US" w:eastAsia="de-DE"/>
              </w:rPr>
              <w:t>accumbens</w:t>
            </w:r>
            <w:proofErr w:type="spellEnd"/>
            <w:r w:rsidRPr="00235E5F">
              <w:rPr>
                <w:rFonts w:eastAsia="Times New Roman" w:cstheme="minorHAnsi"/>
                <w:b/>
                <w:bCs/>
                <w:color w:val="000000"/>
                <w:sz w:val="20"/>
                <w:szCs w:val="20"/>
                <w:lang w:val="en-US" w:eastAsia="de-DE"/>
              </w:rPr>
              <w:t xml:space="preserve"> total</w:t>
            </w:r>
            <w:r w:rsidRPr="00A22A0D">
              <w:rPr>
                <w:rFonts w:eastAsia="Times New Roman" w:cstheme="minorHAnsi"/>
                <w:b/>
                <w:bCs/>
                <w:color w:val="000000"/>
                <w:sz w:val="20"/>
                <w:szCs w:val="20"/>
                <w:lang w:val="en-US"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6A44602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0.89 (0.20)</w:t>
            </w:r>
          </w:p>
        </w:tc>
        <w:tc>
          <w:tcPr>
            <w:tcW w:w="1417"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C2A2E15"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0.83 (0.18)</w:t>
            </w:r>
          </w:p>
        </w:tc>
        <w:tc>
          <w:tcPr>
            <w:tcW w:w="1418"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5936BB03"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0.8</w:t>
            </w:r>
            <w:r>
              <w:rPr>
                <w:rFonts w:eastAsia="Times New Roman" w:cstheme="minorHAnsi"/>
                <w:color w:val="000000"/>
                <w:sz w:val="20"/>
                <w:szCs w:val="20"/>
                <w:lang w:eastAsia="de-DE"/>
              </w:rPr>
              <w:t>7</w:t>
            </w:r>
            <w:r w:rsidRPr="00235E5F">
              <w:rPr>
                <w:rFonts w:eastAsia="Times New Roman" w:cstheme="minorHAnsi"/>
                <w:color w:val="000000"/>
                <w:sz w:val="20"/>
                <w:szCs w:val="20"/>
                <w:lang w:eastAsia="de-DE"/>
              </w:rPr>
              <w:t xml:space="preserve"> (0.1</w:t>
            </w:r>
            <w:r>
              <w:rPr>
                <w:rFonts w:eastAsia="Times New Roman" w:cstheme="minorHAnsi"/>
                <w:color w:val="000000"/>
                <w:sz w:val="20"/>
                <w:szCs w:val="20"/>
                <w:lang w:eastAsia="de-DE"/>
              </w:rPr>
              <w:t>6</w:t>
            </w:r>
            <w:r w:rsidRPr="00235E5F">
              <w:rPr>
                <w:rFonts w:eastAsia="Times New Roman" w:cstheme="minorHAnsi"/>
                <w:color w:val="000000"/>
                <w:sz w:val="20"/>
                <w:szCs w:val="20"/>
                <w:lang w:eastAsia="de-DE"/>
              </w:rPr>
              <w:t>)</w:t>
            </w:r>
          </w:p>
        </w:tc>
        <w:tc>
          <w:tcPr>
            <w:tcW w:w="1444" w:type="dxa"/>
            <w:tcBorders>
              <w:top w:val="nil"/>
              <w:left w:val="nil"/>
              <w:bottom w:val="nil"/>
              <w:right w:val="nil"/>
            </w:tcBorders>
            <w:shd w:val="clear" w:color="auto" w:fill="FFFFFF"/>
            <w:noWrap/>
            <w:tcMar>
              <w:top w:w="60" w:type="dxa"/>
              <w:left w:w="180" w:type="dxa"/>
              <w:bottom w:w="60" w:type="dxa"/>
              <w:right w:w="180" w:type="dxa"/>
            </w:tcMar>
            <w:vAlign w:val="center"/>
            <w:hideMark/>
          </w:tcPr>
          <w:p w14:paraId="23B144B3"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0.85 (0.18)</w:t>
            </w:r>
          </w:p>
        </w:tc>
      </w:tr>
      <w:tr w:rsidR="00702F43" w:rsidRPr="00235E5F" w14:paraId="5F6EE222" w14:textId="77777777" w:rsidTr="006679D1">
        <w:tc>
          <w:tcPr>
            <w:tcW w:w="2977" w:type="dxa"/>
            <w:tcBorders>
              <w:top w:val="nil"/>
              <w:left w:val="nil"/>
              <w:right w:val="nil"/>
            </w:tcBorders>
            <w:shd w:val="clear" w:color="auto" w:fill="FFFFFF"/>
            <w:noWrap/>
            <w:tcMar>
              <w:top w:w="60" w:type="dxa"/>
              <w:left w:w="60" w:type="dxa"/>
              <w:bottom w:w="60" w:type="dxa"/>
              <w:right w:w="180" w:type="dxa"/>
            </w:tcMar>
            <w:vAlign w:val="center"/>
          </w:tcPr>
          <w:p w14:paraId="77FBB5F2" w14:textId="77777777" w:rsidR="00702F43" w:rsidRPr="00235E5F" w:rsidRDefault="00702F43" w:rsidP="006679D1">
            <w:pPr>
              <w:rPr>
                <w:rFonts w:eastAsia="Times New Roman" w:cstheme="minorHAnsi"/>
                <w:b/>
                <w:bCs/>
                <w:color w:val="000000"/>
                <w:sz w:val="20"/>
                <w:szCs w:val="20"/>
                <w:lang w:val="en-US" w:eastAsia="de-DE"/>
              </w:rPr>
            </w:pPr>
            <w:r w:rsidRPr="000A3E6F">
              <w:rPr>
                <w:rFonts w:eastAsia="Times New Roman" w:cstheme="minorHAnsi"/>
                <w:b/>
                <w:bCs/>
                <w:color w:val="000000"/>
                <w:sz w:val="20"/>
                <w:szCs w:val="20"/>
                <w:lang w:eastAsia="de-DE"/>
              </w:rPr>
              <w:t>DGM total</w:t>
            </w:r>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Pr>
                <w:rFonts w:eastAsia="Times New Roman" w:cstheme="minorHAnsi"/>
                <w:color w:val="000000"/>
                <w:sz w:val="20"/>
                <w:szCs w:val="20"/>
                <w:lang w:val="en-US" w:eastAsia="de-DE"/>
              </w:rPr>
              <w:t>)</w:t>
            </w:r>
          </w:p>
        </w:tc>
        <w:tc>
          <w:tcPr>
            <w:tcW w:w="1276" w:type="dxa"/>
            <w:tcBorders>
              <w:top w:val="nil"/>
              <w:left w:val="nil"/>
              <w:right w:val="nil"/>
            </w:tcBorders>
            <w:shd w:val="clear" w:color="auto" w:fill="FFFFFF"/>
            <w:noWrap/>
            <w:tcMar>
              <w:top w:w="60" w:type="dxa"/>
              <w:left w:w="180" w:type="dxa"/>
              <w:bottom w:w="60" w:type="dxa"/>
              <w:right w:w="180" w:type="dxa"/>
            </w:tcMar>
            <w:vAlign w:val="center"/>
          </w:tcPr>
          <w:p w14:paraId="0E7FFEFA" w14:textId="77777777" w:rsidR="00702F43" w:rsidRPr="000A3E6F" w:rsidRDefault="00702F43" w:rsidP="006679D1">
            <w:pPr>
              <w:jc w:val="center"/>
              <w:rPr>
                <w:rFonts w:eastAsia="Times New Roman" w:cstheme="minorHAnsi"/>
                <w:color w:val="000000"/>
                <w:sz w:val="20"/>
                <w:szCs w:val="20"/>
                <w:lang w:eastAsia="de-DE"/>
              </w:rPr>
            </w:pPr>
            <w:r w:rsidRPr="000A3E6F">
              <w:rPr>
                <w:rFonts w:cstheme="minorHAnsi"/>
                <w:color w:val="000000"/>
                <w:sz w:val="20"/>
                <w:szCs w:val="20"/>
                <w:shd w:val="clear" w:color="auto" w:fill="FFFFFF"/>
              </w:rPr>
              <w:t>67.7 (8.50)</w:t>
            </w:r>
          </w:p>
        </w:tc>
        <w:tc>
          <w:tcPr>
            <w:tcW w:w="1417" w:type="dxa"/>
            <w:tcBorders>
              <w:top w:val="nil"/>
              <w:left w:val="nil"/>
              <w:right w:val="nil"/>
            </w:tcBorders>
            <w:shd w:val="clear" w:color="auto" w:fill="FFFFFF"/>
            <w:noWrap/>
            <w:tcMar>
              <w:top w:w="60" w:type="dxa"/>
              <w:left w:w="180" w:type="dxa"/>
              <w:bottom w:w="60" w:type="dxa"/>
              <w:right w:w="180" w:type="dxa"/>
            </w:tcMar>
            <w:vAlign w:val="center"/>
          </w:tcPr>
          <w:p w14:paraId="5F656C40" w14:textId="77777777" w:rsidR="00702F43" w:rsidRPr="000A3E6F" w:rsidRDefault="00702F43" w:rsidP="006679D1">
            <w:pPr>
              <w:jc w:val="center"/>
              <w:rPr>
                <w:rFonts w:eastAsia="Times New Roman" w:cstheme="minorHAnsi"/>
                <w:color w:val="000000"/>
                <w:sz w:val="20"/>
                <w:szCs w:val="20"/>
                <w:lang w:eastAsia="de-DE"/>
              </w:rPr>
            </w:pPr>
            <w:r w:rsidRPr="000A3E6F">
              <w:rPr>
                <w:rFonts w:cstheme="minorHAnsi"/>
                <w:color w:val="000000"/>
                <w:sz w:val="20"/>
                <w:szCs w:val="20"/>
                <w:shd w:val="clear" w:color="auto" w:fill="FFFFFF"/>
              </w:rPr>
              <w:t>67.6 (5.50)</w:t>
            </w:r>
          </w:p>
        </w:tc>
        <w:tc>
          <w:tcPr>
            <w:tcW w:w="1418" w:type="dxa"/>
            <w:tcBorders>
              <w:top w:val="nil"/>
              <w:left w:val="nil"/>
              <w:right w:val="nil"/>
            </w:tcBorders>
            <w:shd w:val="clear" w:color="auto" w:fill="FFFFFF"/>
            <w:noWrap/>
            <w:tcMar>
              <w:top w:w="60" w:type="dxa"/>
              <w:left w:w="180" w:type="dxa"/>
              <w:bottom w:w="60" w:type="dxa"/>
              <w:right w:w="180" w:type="dxa"/>
            </w:tcMar>
            <w:vAlign w:val="center"/>
          </w:tcPr>
          <w:p w14:paraId="50F6AC44" w14:textId="77777777" w:rsidR="00702F43" w:rsidRPr="000A3E6F" w:rsidRDefault="00702F43" w:rsidP="006679D1">
            <w:pPr>
              <w:jc w:val="center"/>
              <w:rPr>
                <w:rFonts w:eastAsia="Times New Roman" w:cstheme="minorHAnsi"/>
                <w:color w:val="000000"/>
                <w:sz w:val="20"/>
                <w:szCs w:val="20"/>
                <w:lang w:eastAsia="de-DE"/>
              </w:rPr>
            </w:pPr>
            <w:r w:rsidRPr="000A3E6F">
              <w:rPr>
                <w:rFonts w:cstheme="minorHAnsi"/>
                <w:color w:val="000000"/>
                <w:sz w:val="20"/>
                <w:szCs w:val="20"/>
                <w:shd w:val="clear" w:color="auto" w:fill="FFFFFF"/>
              </w:rPr>
              <w:t>69.4 (5.89)</w:t>
            </w:r>
          </w:p>
        </w:tc>
        <w:tc>
          <w:tcPr>
            <w:tcW w:w="1444" w:type="dxa"/>
            <w:tcBorders>
              <w:top w:val="nil"/>
              <w:left w:val="nil"/>
              <w:right w:val="nil"/>
            </w:tcBorders>
            <w:shd w:val="clear" w:color="auto" w:fill="FFFFFF"/>
            <w:noWrap/>
            <w:tcMar>
              <w:top w:w="60" w:type="dxa"/>
              <w:left w:w="180" w:type="dxa"/>
              <w:bottom w:w="60" w:type="dxa"/>
              <w:right w:w="180" w:type="dxa"/>
            </w:tcMar>
            <w:vAlign w:val="center"/>
          </w:tcPr>
          <w:p w14:paraId="223B7E74" w14:textId="77777777" w:rsidR="00702F43" w:rsidRPr="000A3E6F" w:rsidRDefault="00702F43" w:rsidP="006679D1">
            <w:pPr>
              <w:jc w:val="center"/>
              <w:rPr>
                <w:rFonts w:eastAsia="Times New Roman" w:cstheme="minorHAnsi"/>
                <w:color w:val="000000"/>
                <w:sz w:val="20"/>
                <w:szCs w:val="20"/>
                <w:lang w:eastAsia="de-DE"/>
              </w:rPr>
            </w:pPr>
            <w:r w:rsidRPr="000A3E6F">
              <w:rPr>
                <w:rFonts w:cstheme="minorHAnsi"/>
                <w:color w:val="000000"/>
                <w:sz w:val="20"/>
                <w:szCs w:val="20"/>
                <w:shd w:val="clear" w:color="auto" w:fill="FFFFFF"/>
              </w:rPr>
              <w:t>68.0 (6.43)</w:t>
            </w:r>
          </w:p>
        </w:tc>
      </w:tr>
      <w:tr w:rsidR="00702F43" w:rsidRPr="00235E5F" w14:paraId="653A2830" w14:textId="77777777" w:rsidTr="006679D1">
        <w:tc>
          <w:tcPr>
            <w:tcW w:w="2977" w:type="dxa"/>
            <w:tcBorders>
              <w:top w:val="nil"/>
              <w:left w:val="nil"/>
              <w:bottom w:val="single" w:sz="4" w:space="0" w:color="auto"/>
              <w:right w:val="nil"/>
            </w:tcBorders>
            <w:shd w:val="clear" w:color="auto" w:fill="FFFFFF"/>
            <w:noWrap/>
            <w:tcMar>
              <w:top w:w="60" w:type="dxa"/>
              <w:left w:w="60" w:type="dxa"/>
              <w:bottom w:w="60" w:type="dxa"/>
              <w:right w:w="180" w:type="dxa"/>
            </w:tcMar>
            <w:vAlign w:val="center"/>
          </w:tcPr>
          <w:p w14:paraId="3BE622D2" w14:textId="77777777" w:rsidR="00702F43" w:rsidRPr="00235E5F" w:rsidRDefault="00702F43" w:rsidP="006679D1">
            <w:pPr>
              <w:rPr>
                <w:rFonts w:eastAsia="Times New Roman" w:cstheme="minorHAnsi"/>
                <w:b/>
                <w:bCs/>
                <w:color w:val="000000"/>
                <w:sz w:val="20"/>
                <w:szCs w:val="20"/>
                <w:lang w:eastAsia="de-DE"/>
              </w:rPr>
            </w:pPr>
            <w:proofErr w:type="spellStart"/>
            <w:r>
              <w:rPr>
                <w:rFonts w:eastAsia="Times New Roman" w:cstheme="minorHAnsi"/>
                <w:b/>
                <w:bCs/>
                <w:color w:val="000000"/>
                <w:sz w:val="20"/>
                <w:szCs w:val="20"/>
                <w:lang w:eastAsia="de-DE"/>
              </w:rPr>
              <w:t>Brainstem</w:t>
            </w:r>
            <w:proofErr w:type="spellEnd"/>
            <w:r>
              <w:rPr>
                <w:rFonts w:eastAsia="Times New Roman" w:cstheme="minorHAnsi"/>
                <w:b/>
                <w:bCs/>
                <w:color w:val="000000"/>
                <w:sz w:val="20"/>
                <w:szCs w:val="20"/>
                <w:lang w:eastAsia="de-DE"/>
              </w:rPr>
              <w:t xml:space="preserve"> </w:t>
            </w:r>
            <w:r w:rsidRPr="003265C1">
              <w:rPr>
                <w:rFonts w:eastAsia="Times New Roman" w:cstheme="minorHAnsi"/>
                <w:color w:val="000000"/>
                <w:sz w:val="20"/>
                <w:szCs w:val="20"/>
                <w:lang w:val="en-US" w:eastAsia="de-DE"/>
              </w:rPr>
              <w:t>mean (</w:t>
            </w:r>
            <w:proofErr w:type="spellStart"/>
            <w:r w:rsidRPr="003265C1">
              <w:rPr>
                <w:rFonts w:eastAsia="Times New Roman" w:cstheme="minorHAnsi"/>
                <w:color w:val="000000"/>
                <w:sz w:val="20"/>
                <w:szCs w:val="20"/>
                <w:lang w:val="en-US" w:eastAsia="de-DE"/>
              </w:rPr>
              <w:t>sd</w:t>
            </w:r>
            <w:proofErr w:type="spellEnd"/>
            <w:r w:rsidRPr="003265C1">
              <w:rPr>
                <w:rFonts w:eastAsia="Times New Roman" w:cstheme="minorHAnsi"/>
                <w:color w:val="000000"/>
                <w:sz w:val="20"/>
                <w:szCs w:val="20"/>
                <w:lang w:val="en-US" w:eastAsia="de-DE"/>
              </w:rPr>
              <w:t>)</w:t>
            </w:r>
          </w:p>
        </w:tc>
        <w:tc>
          <w:tcPr>
            <w:tcW w:w="1276" w:type="dxa"/>
            <w:tcBorders>
              <w:top w:val="nil"/>
              <w:left w:val="nil"/>
              <w:bottom w:val="single" w:sz="4" w:space="0" w:color="auto"/>
              <w:right w:val="nil"/>
            </w:tcBorders>
            <w:shd w:val="clear" w:color="auto" w:fill="FFFFFF"/>
            <w:noWrap/>
            <w:tcMar>
              <w:top w:w="60" w:type="dxa"/>
              <w:left w:w="180" w:type="dxa"/>
              <w:bottom w:w="60" w:type="dxa"/>
              <w:right w:w="180" w:type="dxa"/>
            </w:tcMar>
            <w:vAlign w:val="center"/>
          </w:tcPr>
          <w:p w14:paraId="06D29E6C"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21.5 (3.30)</w:t>
            </w:r>
          </w:p>
        </w:tc>
        <w:tc>
          <w:tcPr>
            <w:tcW w:w="1417" w:type="dxa"/>
            <w:tcBorders>
              <w:top w:val="nil"/>
              <w:left w:val="nil"/>
              <w:bottom w:val="single" w:sz="4" w:space="0" w:color="auto"/>
              <w:right w:val="nil"/>
            </w:tcBorders>
            <w:shd w:val="clear" w:color="auto" w:fill="FFFFFF"/>
            <w:noWrap/>
            <w:tcMar>
              <w:top w:w="60" w:type="dxa"/>
              <w:left w:w="180" w:type="dxa"/>
              <w:bottom w:w="60" w:type="dxa"/>
              <w:right w:w="180" w:type="dxa"/>
            </w:tcMar>
            <w:vAlign w:val="center"/>
          </w:tcPr>
          <w:p w14:paraId="59143753"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22.0 (2.42)</w:t>
            </w:r>
          </w:p>
        </w:tc>
        <w:tc>
          <w:tcPr>
            <w:tcW w:w="1418" w:type="dxa"/>
            <w:tcBorders>
              <w:top w:val="nil"/>
              <w:left w:val="nil"/>
              <w:bottom w:val="single" w:sz="4" w:space="0" w:color="auto"/>
              <w:right w:val="nil"/>
            </w:tcBorders>
            <w:shd w:val="clear" w:color="auto" w:fill="FFFFFF"/>
            <w:noWrap/>
            <w:tcMar>
              <w:top w:w="60" w:type="dxa"/>
              <w:left w:w="180" w:type="dxa"/>
              <w:bottom w:w="60" w:type="dxa"/>
              <w:right w:w="180" w:type="dxa"/>
            </w:tcMar>
            <w:vAlign w:val="center"/>
          </w:tcPr>
          <w:p w14:paraId="779B5DCA"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22.1 (2.36)</w:t>
            </w:r>
          </w:p>
        </w:tc>
        <w:tc>
          <w:tcPr>
            <w:tcW w:w="1444" w:type="dxa"/>
            <w:tcBorders>
              <w:top w:val="nil"/>
              <w:left w:val="nil"/>
              <w:bottom w:val="single" w:sz="4" w:space="0" w:color="auto"/>
              <w:right w:val="nil"/>
            </w:tcBorders>
            <w:shd w:val="clear" w:color="auto" w:fill="FFFFFF"/>
            <w:noWrap/>
            <w:tcMar>
              <w:top w:w="60" w:type="dxa"/>
              <w:left w:w="180" w:type="dxa"/>
              <w:bottom w:w="60" w:type="dxa"/>
              <w:right w:w="180" w:type="dxa"/>
            </w:tcMar>
            <w:vAlign w:val="center"/>
          </w:tcPr>
          <w:p w14:paraId="1E6A0B24" w14:textId="77777777" w:rsidR="00702F43" w:rsidRPr="00235E5F" w:rsidRDefault="00702F43" w:rsidP="006679D1">
            <w:pPr>
              <w:jc w:val="center"/>
              <w:rPr>
                <w:rFonts w:eastAsia="Times New Roman" w:cstheme="minorHAnsi"/>
                <w:color w:val="000000"/>
                <w:sz w:val="20"/>
                <w:szCs w:val="20"/>
                <w:lang w:eastAsia="de-DE"/>
              </w:rPr>
            </w:pPr>
            <w:r w:rsidRPr="00235E5F">
              <w:rPr>
                <w:rFonts w:eastAsia="Times New Roman" w:cstheme="minorHAnsi"/>
                <w:color w:val="000000"/>
                <w:sz w:val="20"/>
                <w:szCs w:val="20"/>
                <w:lang w:eastAsia="de-DE"/>
              </w:rPr>
              <w:t>21.9 (2.64)</w:t>
            </w:r>
          </w:p>
        </w:tc>
      </w:tr>
    </w:tbl>
    <w:p w14:paraId="4B00D39B" w14:textId="6E7789AA" w:rsidR="00572B6B" w:rsidRDefault="00702F43" w:rsidP="00045E36">
      <w:pPr>
        <w:rPr>
          <w:lang w:val="en-US"/>
        </w:rPr>
      </w:pPr>
      <w:r w:rsidRPr="000A3E6F">
        <w:rPr>
          <w:lang w:val="en-US"/>
        </w:rPr>
        <w:t xml:space="preserve">AQP4+NMOSD, aquaporin-4 </w:t>
      </w:r>
      <w:bookmarkStart w:id="3" w:name="_Hlk175584482"/>
      <w:r w:rsidRPr="000A3E6F">
        <w:rPr>
          <w:lang w:val="en-US"/>
        </w:rPr>
        <w:t xml:space="preserve">immunoglobulin G positive </w:t>
      </w:r>
      <w:bookmarkEnd w:id="3"/>
      <w:r w:rsidRPr="000A3E6F">
        <w:rPr>
          <w:lang w:val="en-US"/>
        </w:rPr>
        <w:t xml:space="preserve">neuromyelitis </w:t>
      </w:r>
      <w:proofErr w:type="spellStart"/>
      <w:r w:rsidRPr="000A3E6F">
        <w:rPr>
          <w:lang w:val="en-US"/>
        </w:rPr>
        <w:t>optica</w:t>
      </w:r>
      <w:proofErr w:type="spellEnd"/>
      <w:r w:rsidRPr="000A3E6F">
        <w:rPr>
          <w:lang w:val="en-US"/>
        </w:rPr>
        <w:t xml:space="preserve"> spectrum disorder (NMOSD); </w:t>
      </w:r>
      <w:proofErr w:type="spellStart"/>
      <w:r>
        <w:rPr>
          <w:lang w:val="en-US"/>
        </w:rPr>
        <w:t>seron</w:t>
      </w:r>
      <w:proofErr w:type="spellEnd"/>
      <w:r>
        <w:rPr>
          <w:lang w:val="en-US"/>
        </w:rPr>
        <w:t xml:space="preserve">. </w:t>
      </w:r>
      <w:r w:rsidRPr="000A3E6F">
        <w:rPr>
          <w:lang w:val="en-US"/>
        </w:rPr>
        <w:t xml:space="preserve">NMOSD, double seronegative NMOSD; MOGAD, myelin oligodendrocyte glycoprotein antibody-associated disease; n, number; SD, standard deviation; </w:t>
      </w:r>
      <w:r>
        <w:rPr>
          <w:lang w:val="en-US"/>
        </w:rPr>
        <w:t>DGM</w:t>
      </w:r>
      <w:r w:rsidR="006667A3">
        <w:rPr>
          <w:lang w:val="en-US"/>
        </w:rPr>
        <w:t xml:space="preserve"> total</w:t>
      </w:r>
      <w:r>
        <w:rPr>
          <w:lang w:val="en-US"/>
        </w:rPr>
        <w:t xml:space="preserve">, </w:t>
      </w:r>
      <w:r w:rsidR="008F7EF5">
        <w:rPr>
          <w:lang w:val="en-US"/>
        </w:rPr>
        <w:t xml:space="preserve">total </w:t>
      </w:r>
      <w:r>
        <w:rPr>
          <w:lang w:val="en-US"/>
        </w:rPr>
        <w:t xml:space="preserve">deep grey matter volume; </w:t>
      </w:r>
      <w:r w:rsidRPr="000A3E6F">
        <w:rPr>
          <w:lang w:val="en-US"/>
        </w:rPr>
        <w:t>Missing data</w:t>
      </w:r>
      <w:r>
        <w:rPr>
          <w:lang w:val="en-US"/>
        </w:rPr>
        <w:t xml:space="preserve"> were n=1(4.8%) in MOGAD and n=2(4.7%) in </w:t>
      </w:r>
      <w:r w:rsidRPr="000A3E6F">
        <w:rPr>
          <w:lang w:val="en-US"/>
        </w:rPr>
        <w:t>AQP4+NMOSD</w:t>
      </w:r>
      <w:r>
        <w:rPr>
          <w:lang w:val="en-US"/>
        </w:rPr>
        <w:t xml:space="preserve"> for all DGM volumes.</w:t>
      </w:r>
    </w:p>
    <w:p w14:paraId="3FBA8528" w14:textId="77777777" w:rsidR="00572B6B" w:rsidRDefault="00572B6B" w:rsidP="00045E36">
      <w:pPr>
        <w:rPr>
          <w:lang w:val="en-US"/>
        </w:rPr>
      </w:pPr>
    </w:p>
    <w:sectPr w:rsidR="00572B6B">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679E6" w14:textId="77777777" w:rsidR="003448F0" w:rsidRDefault="003448F0" w:rsidP="00256889">
      <w:r>
        <w:separator/>
      </w:r>
    </w:p>
  </w:endnote>
  <w:endnote w:type="continuationSeparator" w:id="0">
    <w:p w14:paraId="6D302008" w14:textId="77777777" w:rsidR="003448F0" w:rsidRDefault="003448F0" w:rsidP="0025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12968670"/>
      <w:docPartObj>
        <w:docPartGallery w:val="Page Numbers (Bottom of Page)"/>
        <w:docPartUnique/>
      </w:docPartObj>
    </w:sdtPr>
    <w:sdtEndPr>
      <w:rPr>
        <w:rStyle w:val="Seitenzahl"/>
      </w:rPr>
    </w:sdtEndPr>
    <w:sdtContent>
      <w:p w14:paraId="384FC2DA" w14:textId="0F82D83C" w:rsidR="00256889" w:rsidRDefault="00256889" w:rsidP="007E6A9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71C6B5E" w14:textId="77777777" w:rsidR="00256889" w:rsidRDefault="00256889" w:rsidP="007A519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53227832"/>
      <w:docPartObj>
        <w:docPartGallery w:val="Page Numbers (Bottom of Page)"/>
        <w:docPartUnique/>
      </w:docPartObj>
    </w:sdtPr>
    <w:sdtEndPr>
      <w:rPr>
        <w:rStyle w:val="Seitenzahl"/>
      </w:rPr>
    </w:sdtEndPr>
    <w:sdtContent>
      <w:p w14:paraId="36EC5472" w14:textId="018BD022" w:rsidR="00256889" w:rsidRDefault="00256889" w:rsidP="007E6A9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3A39DE0" w14:textId="77777777" w:rsidR="00256889" w:rsidRDefault="00256889" w:rsidP="007A519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E1D87" w14:textId="77777777" w:rsidR="003448F0" w:rsidRDefault="003448F0" w:rsidP="00256889">
      <w:r>
        <w:separator/>
      </w:r>
    </w:p>
  </w:footnote>
  <w:footnote w:type="continuationSeparator" w:id="0">
    <w:p w14:paraId="543D28BC" w14:textId="77777777" w:rsidR="003448F0" w:rsidRDefault="003448F0" w:rsidP="00256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134C"/>
    <w:multiLevelType w:val="hybridMultilevel"/>
    <w:tmpl w:val="FDD803C6"/>
    <w:lvl w:ilvl="0" w:tplc="0A20D51A">
      <w:start w:val="1"/>
      <w:numFmt w:val="bullet"/>
      <w:lvlText w:val="-"/>
      <w:lvlJc w:val="left"/>
      <w:pPr>
        <w:tabs>
          <w:tab w:val="num" w:pos="720"/>
        </w:tabs>
        <w:ind w:left="720" w:hanging="360"/>
      </w:pPr>
      <w:rPr>
        <w:rFonts w:ascii="Calibri" w:hAnsi="Calibri" w:hint="default"/>
      </w:rPr>
    </w:lvl>
    <w:lvl w:ilvl="1" w:tplc="DE4EDFE8" w:tentative="1">
      <w:start w:val="1"/>
      <w:numFmt w:val="bullet"/>
      <w:lvlText w:val="-"/>
      <w:lvlJc w:val="left"/>
      <w:pPr>
        <w:tabs>
          <w:tab w:val="num" w:pos="1440"/>
        </w:tabs>
        <w:ind w:left="1440" w:hanging="360"/>
      </w:pPr>
      <w:rPr>
        <w:rFonts w:ascii="Calibri" w:hAnsi="Calibri" w:hint="default"/>
      </w:rPr>
    </w:lvl>
    <w:lvl w:ilvl="2" w:tplc="79C26656" w:tentative="1">
      <w:start w:val="1"/>
      <w:numFmt w:val="bullet"/>
      <w:lvlText w:val="-"/>
      <w:lvlJc w:val="left"/>
      <w:pPr>
        <w:tabs>
          <w:tab w:val="num" w:pos="2160"/>
        </w:tabs>
        <w:ind w:left="2160" w:hanging="360"/>
      </w:pPr>
      <w:rPr>
        <w:rFonts w:ascii="Calibri" w:hAnsi="Calibri" w:hint="default"/>
      </w:rPr>
    </w:lvl>
    <w:lvl w:ilvl="3" w:tplc="556EF770" w:tentative="1">
      <w:start w:val="1"/>
      <w:numFmt w:val="bullet"/>
      <w:lvlText w:val="-"/>
      <w:lvlJc w:val="left"/>
      <w:pPr>
        <w:tabs>
          <w:tab w:val="num" w:pos="2880"/>
        </w:tabs>
        <w:ind w:left="2880" w:hanging="360"/>
      </w:pPr>
      <w:rPr>
        <w:rFonts w:ascii="Calibri" w:hAnsi="Calibri" w:hint="default"/>
      </w:rPr>
    </w:lvl>
    <w:lvl w:ilvl="4" w:tplc="3344043C" w:tentative="1">
      <w:start w:val="1"/>
      <w:numFmt w:val="bullet"/>
      <w:lvlText w:val="-"/>
      <w:lvlJc w:val="left"/>
      <w:pPr>
        <w:tabs>
          <w:tab w:val="num" w:pos="3600"/>
        </w:tabs>
        <w:ind w:left="3600" w:hanging="360"/>
      </w:pPr>
      <w:rPr>
        <w:rFonts w:ascii="Calibri" w:hAnsi="Calibri" w:hint="default"/>
      </w:rPr>
    </w:lvl>
    <w:lvl w:ilvl="5" w:tplc="B9BE4DE6" w:tentative="1">
      <w:start w:val="1"/>
      <w:numFmt w:val="bullet"/>
      <w:lvlText w:val="-"/>
      <w:lvlJc w:val="left"/>
      <w:pPr>
        <w:tabs>
          <w:tab w:val="num" w:pos="4320"/>
        </w:tabs>
        <w:ind w:left="4320" w:hanging="360"/>
      </w:pPr>
      <w:rPr>
        <w:rFonts w:ascii="Calibri" w:hAnsi="Calibri" w:hint="default"/>
      </w:rPr>
    </w:lvl>
    <w:lvl w:ilvl="6" w:tplc="0192A688" w:tentative="1">
      <w:start w:val="1"/>
      <w:numFmt w:val="bullet"/>
      <w:lvlText w:val="-"/>
      <w:lvlJc w:val="left"/>
      <w:pPr>
        <w:tabs>
          <w:tab w:val="num" w:pos="5040"/>
        </w:tabs>
        <w:ind w:left="5040" w:hanging="360"/>
      </w:pPr>
      <w:rPr>
        <w:rFonts w:ascii="Calibri" w:hAnsi="Calibri" w:hint="default"/>
      </w:rPr>
    </w:lvl>
    <w:lvl w:ilvl="7" w:tplc="5E14C35E" w:tentative="1">
      <w:start w:val="1"/>
      <w:numFmt w:val="bullet"/>
      <w:lvlText w:val="-"/>
      <w:lvlJc w:val="left"/>
      <w:pPr>
        <w:tabs>
          <w:tab w:val="num" w:pos="5760"/>
        </w:tabs>
        <w:ind w:left="5760" w:hanging="360"/>
      </w:pPr>
      <w:rPr>
        <w:rFonts w:ascii="Calibri" w:hAnsi="Calibri" w:hint="default"/>
      </w:rPr>
    </w:lvl>
    <w:lvl w:ilvl="8" w:tplc="85A0B6F0"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320A6A94"/>
    <w:multiLevelType w:val="hybridMultilevel"/>
    <w:tmpl w:val="66DC9D00"/>
    <w:lvl w:ilvl="0" w:tplc="821E3EC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E23101"/>
    <w:multiLevelType w:val="hybridMultilevel"/>
    <w:tmpl w:val="5D90DA8E"/>
    <w:lvl w:ilvl="0" w:tplc="F5E60E2C">
      <w:start w:val="1"/>
      <w:numFmt w:val="bullet"/>
      <w:lvlText w:val="-"/>
      <w:lvlJc w:val="left"/>
      <w:pPr>
        <w:tabs>
          <w:tab w:val="num" w:pos="720"/>
        </w:tabs>
        <w:ind w:left="720" w:hanging="360"/>
      </w:pPr>
      <w:rPr>
        <w:rFonts w:ascii="Calibri" w:hAnsi="Calibri" w:hint="default"/>
      </w:rPr>
    </w:lvl>
    <w:lvl w:ilvl="1" w:tplc="F3021736" w:tentative="1">
      <w:start w:val="1"/>
      <w:numFmt w:val="bullet"/>
      <w:lvlText w:val="-"/>
      <w:lvlJc w:val="left"/>
      <w:pPr>
        <w:tabs>
          <w:tab w:val="num" w:pos="1440"/>
        </w:tabs>
        <w:ind w:left="1440" w:hanging="360"/>
      </w:pPr>
      <w:rPr>
        <w:rFonts w:ascii="Calibri" w:hAnsi="Calibri" w:hint="default"/>
      </w:rPr>
    </w:lvl>
    <w:lvl w:ilvl="2" w:tplc="CCD83256" w:tentative="1">
      <w:start w:val="1"/>
      <w:numFmt w:val="bullet"/>
      <w:lvlText w:val="-"/>
      <w:lvlJc w:val="left"/>
      <w:pPr>
        <w:tabs>
          <w:tab w:val="num" w:pos="2160"/>
        </w:tabs>
        <w:ind w:left="2160" w:hanging="360"/>
      </w:pPr>
      <w:rPr>
        <w:rFonts w:ascii="Calibri" w:hAnsi="Calibri" w:hint="default"/>
      </w:rPr>
    </w:lvl>
    <w:lvl w:ilvl="3" w:tplc="786091D6" w:tentative="1">
      <w:start w:val="1"/>
      <w:numFmt w:val="bullet"/>
      <w:lvlText w:val="-"/>
      <w:lvlJc w:val="left"/>
      <w:pPr>
        <w:tabs>
          <w:tab w:val="num" w:pos="2880"/>
        </w:tabs>
        <w:ind w:left="2880" w:hanging="360"/>
      </w:pPr>
      <w:rPr>
        <w:rFonts w:ascii="Calibri" w:hAnsi="Calibri" w:hint="default"/>
      </w:rPr>
    </w:lvl>
    <w:lvl w:ilvl="4" w:tplc="4B5A4A28" w:tentative="1">
      <w:start w:val="1"/>
      <w:numFmt w:val="bullet"/>
      <w:lvlText w:val="-"/>
      <w:lvlJc w:val="left"/>
      <w:pPr>
        <w:tabs>
          <w:tab w:val="num" w:pos="3600"/>
        </w:tabs>
        <w:ind w:left="3600" w:hanging="360"/>
      </w:pPr>
      <w:rPr>
        <w:rFonts w:ascii="Calibri" w:hAnsi="Calibri" w:hint="default"/>
      </w:rPr>
    </w:lvl>
    <w:lvl w:ilvl="5" w:tplc="711477C6" w:tentative="1">
      <w:start w:val="1"/>
      <w:numFmt w:val="bullet"/>
      <w:lvlText w:val="-"/>
      <w:lvlJc w:val="left"/>
      <w:pPr>
        <w:tabs>
          <w:tab w:val="num" w:pos="4320"/>
        </w:tabs>
        <w:ind w:left="4320" w:hanging="360"/>
      </w:pPr>
      <w:rPr>
        <w:rFonts w:ascii="Calibri" w:hAnsi="Calibri" w:hint="default"/>
      </w:rPr>
    </w:lvl>
    <w:lvl w:ilvl="6" w:tplc="5B72B504" w:tentative="1">
      <w:start w:val="1"/>
      <w:numFmt w:val="bullet"/>
      <w:lvlText w:val="-"/>
      <w:lvlJc w:val="left"/>
      <w:pPr>
        <w:tabs>
          <w:tab w:val="num" w:pos="5040"/>
        </w:tabs>
        <w:ind w:left="5040" w:hanging="360"/>
      </w:pPr>
      <w:rPr>
        <w:rFonts w:ascii="Calibri" w:hAnsi="Calibri" w:hint="default"/>
      </w:rPr>
    </w:lvl>
    <w:lvl w:ilvl="7" w:tplc="0B54F584" w:tentative="1">
      <w:start w:val="1"/>
      <w:numFmt w:val="bullet"/>
      <w:lvlText w:val="-"/>
      <w:lvlJc w:val="left"/>
      <w:pPr>
        <w:tabs>
          <w:tab w:val="num" w:pos="5760"/>
        </w:tabs>
        <w:ind w:left="5760" w:hanging="360"/>
      </w:pPr>
      <w:rPr>
        <w:rFonts w:ascii="Calibri" w:hAnsi="Calibri" w:hint="default"/>
      </w:rPr>
    </w:lvl>
    <w:lvl w:ilvl="8" w:tplc="6AC0CE9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1EA5300"/>
    <w:multiLevelType w:val="hybridMultilevel"/>
    <w:tmpl w:val="D6D68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D79B8"/>
    <w:multiLevelType w:val="hybridMultilevel"/>
    <w:tmpl w:val="B0CE5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130C32"/>
    <w:multiLevelType w:val="hybridMultilevel"/>
    <w:tmpl w:val="FA2AAF30"/>
    <w:lvl w:ilvl="0" w:tplc="655E228E">
      <w:start w:val="1"/>
      <w:numFmt w:val="bullet"/>
      <w:lvlText w:val="-"/>
      <w:lvlJc w:val="left"/>
      <w:pPr>
        <w:tabs>
          <w:tab w:val="num" w:pos="720"/>
        </w:tabs>
        <w:ind w:left="720" w:hanging="360"/>
      </w:pPr>
      <w:rPr>
        <w:rFonts w:ascii="Calibri" w:hAnsi="Calibri" w:hint="default"/>
      </w:rPr>
    </w:lvl>
    <w:lvl w:ilvl="1" w:tplc="257424EC" w:tentative="1">
      <w:start w:val="1"/>
      <w:numFmt w:val="bullet"/>
      <w:lvlText w:val="-"/>
      <w:lvlJc w:val="left"/>
      <w:pPr>
        <w:tabs>
          <w:tab w:val="num" w:pos="1440"/>
        </w:tabs>
        <w:ind w:left="1440" w:hanging="360"/>
      </w:pPr>
      <w:rPr>
        <w:rFonts w:ascii="Calibri" w:hAnsi="Calibri" w:hint="default"/>
      </w:rPr>
    </w:lvl>
    <w:lvl w:ilvl="2" w:tplc="DC368EBC" w:tentative="1">
      <w:start w:val="1"/>
      <w:numFmt w:val="bullet"/>
      <w:lvlText w:val="-"/>
      <w:lvlJc w:val="left"/>
      <w:pPr>
        <w:tabs>
          <w:tab w:val="num" w:pos="2160"/>
        </w:tabs>
        <w:ind w:left="2160" w:hanging="360"/>
      </w:pPr>
      <w:rPr>
        <w:rFonts w:ascii="Calibri" w:hAnsi="Calibri" w:hint="default"/>
      </w:rPr>
    </w:lvl>
    <w:lvl w:ilvl="3" w:tplc="288E48BE" w:tentative="1">
      <w:start w:val="1"/>
      <w:numFmt w:val="bullet"/>
      <w:lvlText w:val="-"/>
      <w:lvlJc w:val="left"/>
      <w:pPr>
        <w:tabs>
          <w:tab w:val="num" w:pos="2880"/>
        </w:tabs>
        <w:ind w:left="2880" w:hanging="360"/>
      </w:pPr>
      <w:rPr>
        <w:rFonts w:ascii="Calibri" w:hAnsi="Calibri" w:hint="default"/>
      </w:rPr>
    </w:lvl>
    <w:lvl w:ilvl="4" w:tplc="02CCAB72" w:tentative="1">
      <w:start w:val="1"/>
      <w:numFmt w:val="bullet"/>
      <w:lvlText w:val="-"/>
      <w:lvlJc w:val="left"/>
      <w:pPr>
        <w:tabs>
          <w:tab w:val="num" w:pos="3600"/>
        </w:tabs>
        <w:ind w:left="3600" w:hanging="360"/>
      </w:pPr>
      <w:rPr>
        <w:rFonts w:ascii="Calibri" w:hAnsi="Calibri" w:hint="default"/>
      </w:rPr>
    </w:lvl>
    <w:lvl w:ilvl="5" w:tplc="E6E47FAA" w:tentative="1">
      <w:start w:val="1"/>
      <w:numFmt w:val="bullet"/>
      <w:lvlText w:val="-"/>
      <w:lvlJc w:val="left"/>
      <w:pPr>
        <w:tabs>
          <w:tab w:val="num" w:pos="4320"/>
        </w:tabs>
        <w:ind w:left="4320" w:hanging="360"/>
      </w:pPr>
      <w:rPr>
        <w:rFonts w:ascii="Calibri" w:hAnsi="Calibri" w:hint="default"/>
      </w:rPr>
    </w:lvl>
    <w:lvl w:ilvl="6" w:tplc="FD88E922" w:tentative="1">
      <w:start w:val="1"/>
      <w:numFmt w:val="bullet"/>
      <w:lvlText w:val="-"/>
      <w:lvlJc w:val="left"/>
      <w:pPr>
        <w:tabs>
          <w:tab w:val="num" w:pos="5040"/>
        </w:tabs>
        <w:ind w:left="5040" w:hanging="360"/>
      </w:pPr>
      <w:rPr>
        <w:rFonts w:ascii="Calibri" w:hAnsi="Calibri" w:hint="default"/>
      </w:rPr>
    </w:lvl>
    <w:lvl w:ilvl="7" w:tplc="831EBD54" w:tentative="1">
      <w:start w:val="1"/>
      <w:numFmt w:val="bullet"/>
      <w:lvlText w:val="-"/>
      <w:lvlJc w:val="left"/>
      <w:pPr>
        <w:tabs>
          <w:tab w:val="num" w:pos="5760"/>
        </w:tabs>
        <w:ind w:left="5760" w:hanging="360"/>
      </w:pPr>
      <w:rPr>
        <w:rFonts w:ascii="Calibri" w:hAnsi="Calibri" w:hint="default"/>
      </w:rPr>
    </w:lvl>
    <w:lvl w:ilvl="8" w:tplc="D46CC4C8"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A3"/>
    <w:rsid w:val="00001F91"/>
    <w:rsid w:val="00045E36"/>
    <w:rsid w:val="0008620E"/>
    <w:rsid w:val="000A0AFB"/>
    <w:rsid w:val="000A63DF"/>
    <w:rsid w:val="000D5ADF"/>
    <w:rsid w:val="000F5537"/>
    <w:rsid w:val="001052DD"/>
    <w:rsid w:val="001375CC"/>
    <w:rsid w:val="001600DF"/>
    <w:rsid w:val="00161EC1"/>
    <w:rsid w:val="00185DA3"/>
    <w:rsid w:val="001A5B98"/>
    <w:rsid w:val="001C652E"/>
    <w:rsid w:val="001D6C6A"/>
    <w:rsid w:val="001E7647"/>
    <w:rsid w:val="00253F0A"/>
    <w:rsid w:val="0025497C"/>
    <w:rsid w:val="00256889"/>
    <w:rsid w:val="002704F8"/>
    <w:rsid w:val="002854EA"/>
    <w:rsid w:val="002C67D6"/>
    <w:rsid w:val="002F5216"/>
    <w:rsid w:val="003120D5"/>
    <w:rsid w:val="003222C5"/>
    <w:rsid w:val="003448F0"/>
    <w:rsid w:val="00375040"/>
    <w:rsid w:val="003763FE"/>
    <w:rsid w:val="003A0816"/>
    <w:rsid w:val="003B4932"/>
    <w:rsid w:val="0043000A"/>
    <w:rsid w:val="00430CB1"/>
    <w:rsid w:val="00440B2E"/>
    <w:rsid w:val="00447BDC"/>
    <w:rsid w:val="004652CB"/>
    <w:rsid w:val="004736AC"/>
    <w:rsid w:val="00480E9F"/>
    <w:rsid w:val="00484430"/>
    <w:rsid w:val="004C5178"/>
    <w:rsid w:val="004E202F"/>
    <w:rsid w:val="004E375D"/>
    <w:rsid w:val="004E6360"/>
    <w:rsid w:val="00536643"/>
    <w:rsid w:val="00541B8A"/>
    <w:rsid w:val="00542EFB"/>
    <w:rsid w:val="005647D2"/>
    <w:rsid w:val="00572B6B"/>
    <w:rsid w:val="005B46B4"/>
    <w:rsid w:val="005C7505"/>
    <w:rsid w:val="00660E28"/>
    <w:rsid w:val="006667A3"/>
    <w:rsid w:val="006709F2"/>
    <w:rsid w:val="006A441D"/>
    <w:rsid w:val="006B1855"/>
    <w:rsid w:val="006E1A48"/>
    <w:rsid w:val="007002F7"/>
    <w:rsid w:val="00702F43"/>
    <w:rsid w:val="00711B53"/>
    <w:rsid w:val="00712E60"/>
    <w:rsid w:val="0072771D"/>
    <w:rsid w:val="00741A6E"/>
    <w:rsid w:val="0075752C"/>
    <w:rsid w:val="00776BE5"/>
    <w:rsid w:val="007A5190"/>
    <w:rsid w:val="007A6546"/>
    <w:rsid w:val="007C13E1"/>
    <w:rsid w:val="007F6627"/>
    <w:rsid w:val="00824ACC"/>
    <w:rsid w:val="008530DE"/>
    <w:rsid w:val="008C341A"/>
    <w:rsid w:val="008C755E"/>
    <w:rsid w:val="008F0265"/>
    <w:rsid w:val="008F7EF5"/>
    <w:rsid w:val="00934062"/>
    <w:rsid w:val="00983FDA"/>
    <w:rsid w:val="009B6060"/>
    <w:rsid w:val="009C5296"/>
    <w:rsid w:val="00A20329"/>
    <w:rsid w:val="00A30DAA"/>
    <w:rsid w:val="00A3656C"/>
    <w:rsid w:val="00A8247C"/>
    <w:rsid w:val="00AA2024"/>
    <w:rsid w:val="00AC54FC"/>
    <w:rsid w:val="00AF39BF"/>
    <w:rsid w:val="00B0185F"/>
    <w:rsid w:val="00B15C90"/>
    <w:rsid w:val="00B267F4"/>
    <w:rsid w:val="00B3543F"/>
    <w:rsid w:val="00B36251"/>
    <w:rsid w:val="00B50B3D"/>
    <w:rsid w:val="00B6159B"/>
    <w:rsid w:val="00BE1B3D"/>
    <w:rsid w:val="00C21870"/>
    <w:rsid w:val="00C31785"/>
    <w:rsid w:val="00C463A5"/>
    <w:rsid w:val="00C93D4C"/>
    <w:rsid w:val="00CC4BE6"/>
    <w:rsid w:val="00CF3C2E"/>
    <w:rsid w:val="00D50E10"/>
    <w:rsid w:val="00D516D7"/>
    <w:rsid w:val="00D600B8"/>
    <w:rsid w:val="00D6359C"/>
    <w:rsid w:val="00DA4047"/>
    <w:rsid w:val="00DB3F4C"/>
    <w:rsid w:val="00DD23EB"/>
    <w:rsid w:val="00E11B44"/>
    <w:rsid w:val="00E11B97"/>
    <w:rsid w:val="00E455E2"/>
    <w:rsid w:val="00E649DF"/>
    <w:rsid w:val="00E90AA4"/>
    <w:rsid w:val="00E9497D"/>
    <w:rsid w:val="00EA1A87"/>
    <w:rsid w:val="00EB227F"/>
    <w:rsid w:val="00F27507"/>
    <w:rsid w:val="00F359B5"/>
    <w:rsid w:val="00FA30A7"/>
    <w:rsid w:val="00FB0E4C"/>
    <w:rsid w:val="00FB1AA1"/>
    <w:rsid w:val="00FC68EF"/>
    <w:rsid w:val="00FE18D0"/>
    <w:rsid w:val="00FF0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26A3"/>
  <w15:chartTrackingRefBased/>
  <w15:docId w15:val="{144367D0-BA0D-5547-A018-EAF1AC0E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1AA1"/>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5DA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85DA3"/>
    <w:pPr>
      <w:ind w:left="720"/>
      <w:contextualSpacing/>
    </w:pPr>
  </w:style>
  <w:style w:type="character" w:styleId="Kommentarzeichen">
    <w:name w:val="annotation reference"/>
    <w:basedOn w:val="Absatz-Standardschriftart"/>
    <w:uiPriority w:val="99"/>
    <w:semiHidden/>
    <w:unhideWhenUsed/>
    <w:rsid w:val="0072771D"/>
    <w:rPr>
      <w:sz w:val="16"/>
      <w:szCs w:val="16"/>
    </w:rPr>
  </w:style>
  <w:style w:type="paragraph" w:styleId="Kommentartext">
    <w:name w:val="annotation text"/>
    <w:basedOn w:val="Standard"/>
    <w:link w:val="KommentartextZchn"/>
    <w:uiPriority w:val="99"/>
    <w:unhideWhenUsed/>
    <w:rsid w:val="0072771D"/>
    <w:pPr>
      <w:spacing w:after="160"/>
    </w:pPr>
    <w:rPr>
      <w:sz w:val="20"/>
      <w:szCs w:val="20"/>
    </w:rPr>
  </w:style>
  <w:style w:type="character" w:customStyle="1" w:styleId="KommentartextZchn">
    <w:name w:val="Kommentartext Zchn"/>
    <w:basedOn w:val="Absatz-Standardschriftart"/>
    <w:link w:val="Kommentartext"/>
    <w:uiPriority w:val="99"/>
    <w:rsid w:val="0072771D"/>
    <w:rPr>
      <w:kern w:val="0"/>
      <w:sz w:val="20"/>
      <w:szCs w:val="20"/>
      <w14:ligatures w14:val="none"/>
    </w:rPr>
  </w:style>
  <w:style w:type="paragraph" w:styleId="Sprechblasentext">
    <w:name w:val="Balloon Text"/>
    <w:basedOn w:val="Standard"/>
    <w:link w:val="SprechblasentextZchn"/>
    <w:uiPriority w:val="99"/>
    <w:semiHidden/>
    <w:unhideWhenUsed/>
    <w:rsid w:val="007277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771D"/>
    <w:rPr>
      <w:rFonts w:ascii="Segoe UI" w:hAnsi="Segoe UI" w:cs="Segoe UI"/>
      <w:kern w:val="0"/>
      <w:sz w:val="18"/>
      <w:szCs w:val="18"/>
      <w14:ligatures w14:val="none"/>
    </w:rPr>
  </w:style>
  <w:style w:type="paragraph" w:styleId="Kommentarthema">
    <w:name w:val="annotation subject"/>
    <w:basedOn w:val="Kommentartext"/>
    <w:next w:val="Kommentartext"/>
    <w:link w:val="KommentarthemaZchn"/>
    <w:uiPriority w:val="99"/>
    <w:semiHidden/>
    <w:unhideWhenUsed/>
    <w:rsid w:val="00C21870"/>
    <w:pPr>
      <w:spacing w:after="0"/>
    </w:pPr>
    <w:rPr>
      <w:b/>
      <w:bCs/>
    </w:rPr>
  </w:style>
  <w:style w:type="character" w:customStyle="1" w:styleId="KommentarthemaZchn">
    <w:name w:val="Kommentarthema Zchn"/>
    <w:basedOn w:val="KommentartextZchn"/>
    <w:link w:val="Kommentarthema"/>
    <w:uiPriority w:val="99"/>
    <w:semiHidden/>
    <w:rsid w:val="00C21870"/>
    <w:rPr>
      <w:b/>
      <w:bCs/>
      <w:kern w:val="0"/>
      <w:sz w:val="20"/>
      <w:szCs w:val="20"/>
      <w14:ligatures w14:val="none"/>
    </w:rPr>
  </w:style>
  <w:style w:type="paragraph" w:styleId="berarbeitung">
    <w:name w:val="Revision"/>
    <w:hidden/>
    <w:uiPriority w:val="99"/>
    <w:semiHidden/>
    <w:rsid w:val="006709F2"/>
    <w:rPr>
      <w:kern w:val="0"/>
      <w14:ligatures w14:val="none"/>
    </w:rPr>
  </w:style>
  <w:style w:type="paragraph" w:styleId="Fuzeile">
    <w:name w:val="footer"/>
    <w:basedOn w:val="Standard"/>
    <w:link w:val="FuzeileZchn"/>
    <w:uiPriority w:val="99"/>
    <w:unhideWhenUsed/>
    <w:rsid w:val="00256889"/>
    <w:pPr>
      <w:tabs>
        <w:tab w:val="center" w:pos="4536"/>
        <w:tab w:val="right" w:pos="9072"/>
      </w:tabs>
    </w:pPr>
  </w:style>
  <w:style w:type="character" w:customStyle="1" w:styleId="FuzeileZchn">
    <w:name w:val="Fußzeile Zchn"/>
    <w:basedOn w:val="Absatz-Standardschriftart"/>
    <w:link w:val="Fuzeile"/>
    <w:uiPriority w:val="99"/>
    <w:rsid w:val="00256889"/>
    <w:rPr>
      <w:kern w:val="0"/>
      <w14:ligatures w14:val="none"/>
    </w:rPr>
  </w:style>
  <w:style w:type="character" w:styleId="Seitenzahl">
    <w:name w:val="page number"/>
    <w:basedOn w:val="Absatz-Standardschriftart"/>
    <w:uiPriority w:val="99"/>
    <w:semiHidden/>
    <w:unhideWhenUsed/>
    <w:rsid w:val="00256889"/>
  </w:style>
  <w:style w:type="paragraph" w:styleId="StandardWeb">
    <w:name w:val="Normal (Web)"/>
    <w:basedOn w:val="Standard"/>
    <w:uiPriority w:val="99"/>
    <w:semiHidden/>
    <w:unhideWhenUsed/>
    <w:rsid w:val="00572B6B"/>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6356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Sophie Sperber</dc:creator>
  <cp:keywords/>
  <dc:description/>
  <cp:lastModifiedBy>Rust, Rebekka</cp:lastModifiedBy>
  <cp:revision>2</cp:revision>
  <dcterms:created xsi:type="dcterms:W3CDTF">2025-10-30T13:21:00Z</dcterms:created>
  <dcterms:modified xsi:type="dcterms:W3CDTF">2025-10-30T13:21:00Z</dcterms:modified>
</cp:coreProperties>
</file>