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Arial" w:eastAsia="Arial" w:hAnsi="Arial" w:cs="Arial"/>
          <w:b w:val="0"/>
          <w:bCs w:val="0"/>
          <w:color w:val="auto"/>
          <w:sz w:val="24"/>
          <w:szCs w:val="24"/>
          <w:lang w:eastAsia="fr-FR"/>
        </w:rPr>
        <w:id w:val="269277600"/>
        <w:docPartObj>
          <w:docPartGallery w:val="Table of Contents"/>
          <w:docPartUnique/>
        </w:docPartObj>
      </w:sdtPr>
      <w:sdtEndPr>
        <w:rPr>
          <w:noProof/>
        </w:rPr>
      </w:sdtEndPr>
      <w:sdtContent>
        <w:p w14:paraId="2A48EF9A" w14:textId="3D48C1EF" w:rsidR="00925E17" w:rsidRPr="00C428D5" w:rsidRDefault="00925E17" w:rsidP="00FB5CA1">
          <w:pPr>
            <w:pStyle w:val="TOCHeading"/>
            <w:jc w:val="center"/>
            <w:rPr>
              <w:i/>
              <w:iCs/>
              <w:color w:val="000000" w:themeColor="text1"/>
            </w:rPr>
          </w:pPr>
          <w:r w:rsidRPr="00C428D5">
            <w:rPr>
              <w:color w:val="000000" w:themeColor="text1"/>
            </w:rPr>
            <w:t xml:space="preserve">Supplementary information of manuscript </w:t>
          </w:r>
          <w:r w:rsidRPr="00C428D5">
            <w:rPr>
              <w:i/>
              <w:iCs/>
              <w:color w:val="000000" w:themeColor="text1"/>
            </w:rPr>
            <w:t>Prominent mediatory role of gut microbiome in the effect of lifestyle on host metabolic phenotypes</w:t>
          </w:r>
        </w:p>
        <w:p w14:paraId="37719223" w14:textId="1735B222" w:rsidR="00A16AE4" w:rsidRPr="00C428D5" w:rsidRDefault="00925E17">
          <w:pPr>
            <w:pStyle w:val="TOC1"/>
            <w:tabs>
              <w:tab w:val="right" w:leader="dot" w:pos="9016"/>
            </w:tabs>
            <w:rPr>
              <w:rFonts w:eastAsiaTheme="minorEastAsia" w:cstheme="minorBidi"/>
              <w:b w:val="0"/>
              <w:bCs w:val="0"/>
              <w:i w:val="0"/>
              <w:iCs w:val="0"/>
              <w:noProof/>
              <w:kern w:val="2"/>
              <w:lang w:eastAsia="en-GB"/>
              <w14:ligatures w14:val="standardContextual"/>
            </w:rPr>
          </w:pPr>
          <w:r w:rsidRPr="00C428D5">
            <w:rPr>
              <w:b w:val="0"/>
              <w:bCs w:val="0"/>
            </w:rPr>
            <w:fldChar w:fldCharType="begin"/>
          </w:r>
          <w:r w:rsidRPr="00C428D5">
            <w:instrText xml:space="preserve"> TOC \o "1-3" \h \z \u </w:instrText>
          </w:r>
          <w:r w:rsidRPr="00C428D5">
            <w:rPr>
              <w:b w:val="0"/>
              <w:bCs w:val="0"/>
            </w:rPr>
            <w:fldChar w:fldCharType="separate"/>
          </w:r>
          <w:hyperlink w:anchor="_Toc200535373" w:history="1">
            <w:r w:rsidR="00A16AE4" w:rsidRPr="00C428D5">
              <w:rPr>
                <w:rStyle w:val="Hyperlink"/>
                <w:rFonts w:ascii="Times New Roman" w:hAnsi="Times New Roman" w:cs="Times New Roman"/>
                <w:noProof/>
              </w:rPr>
              <w:t>Supplementary Figures</w:t>
            </w:r>
            <w:r w:rsidR="00A16AE4" w:rsidRPr="00C428D5">
              <w:rPr>
                <w:noProof/>
                <w:webHidden/>
              </w:rPr>
              <w:tab/>
            </w:r>
            <w:r w:rsidR="00A16AE4" w:rsidRPr="00C428D5">
              <w:rPr>
                <w:noProof/>
                <w:webHidden/>
              </w:rPr>
              <w:fldChar w:fldCharType="begin"/>
            </w:r>
            <w:r w:rsidR="00A16AE4" w:rsidRPr="00C428D5">
              <w:rPr>
                <w:noProof/>
                <w:webHidden/>
              </w:rPr>
              <w:instrText xml:space="preserve"> PAGEREF _Toc200535373 \h </w:instrText>
            </w:r>
            <w:r w:rsidR="00A16AE4" w:rsidRPr="00C428D5">
              <w:rPr>
                <w:noProof/>
                <w:webHidden/>
              </w:rPr>
            </w:r>
            <w:r w:rsidR="00A16AE4" w:rsidRPr="00C428D5">
              <w:rPr>
                <w:noProof/>
                <w:webHidden/>
              </w:rPr>
              <w:fldChar w:fldCharType="separate"/>
            </w:r>
            <w:r w:rsidR="00A16AE4" w:rsidRPr="00C428D5">
              <w:rPr>
                <w:noProof/>
                <w:webHidden/>
              </w:rPr>
              <w:t>1</w:t>
            </w:r>
            <w:r w:rsidR="00A16AE4" w:rsidRPr="00C428D5">
              <w:rPr>
                <w:noProof/>
                <w:webHidden/>
              </w:rPr>
              <w:fldChar w:fldCharType="end"/>
            </w:r>
          </w:hyperlink>
        </w:p>
        <w:p w14:paraId="1B000E2D" w14:textId="6695F157" w:rsidR="00A16AE4" w:rsidRPr="00C428D5" w:rsidRDefault="00A16AE4">
          <w:pPr>
            <w:pStyle w:val="TOC1"/>
            <w:tabs>
              <w:tab w:val="right" w:leader="dot" w:pos="9016"/>
            </w:tabs>
            <w:rPr>
              <w:rFonts w:eastAsiaTheme="minorEastAsia" w:cstheme="minorBidi"/>
              <w:b w:val="0"/>
              <w:bCs w:val="0"/>
              <w:i w:val="0"/>
              <w:iCs w:val="0"/>
              <w:noProof/>
              <w:kern w:val="2"/>
              <w:lang w:eastAsia="en-GB"/>
              <w14:ligatures w14:val="standardContextual"/>
            </w:rPr>
          </w:pPr>
          <w:hyperlink w:anchor="_Toc200535374" w:history="1">
            <w:r w:rsidRPr="00C428D5">
              <w:rPr>
                <w:rStyle w:val="Hyperlink"/>
                <w:rFonts w:ascii="Times New Roman" w:hAnsi="Times New Roman" w:cs="Times New Roman"/>
                <w:noProof/>
              </w:rPr>
              <w:t>Supplementary Results</w:t>
            </w:r>
            <w:r w:rsidRPr="00C428D5">
              <w:rPr>
                <w:noProof/>
                <w:webHidden/>
              </w:rPr>
              <w:tab/>
            </w:r>
            <w:r w:rsidRPr="00C428D5">
              <w:rPr>
                <w:noProof/>
                <w:webHidden/>
              </w:rPr>
              <w:fldChar w:fldCharType="begin"/>
            </w:r>
            <w:r w:rsidRPr="00C428D5">
              <w:rPr>
                <w:noProof/>
                <w:webHidden/>
              </w:rPr>
              <w:instrText xml:space="preserve"> PAGEREF _Toc200535374 \h </w:instrText>
            </w:r>
            <w:r w:rsidRPr="00C428D5">
              <w:rPr>
                <w:noProof/>
                <w:webHidden/>
              </w:rPr>
            </w:r>
            <w:r w:rsidRPr="00C428D5">
              <w:rPr>
                <w:noProof/>
                <w:webHidden/>
              </w:rPr>
              <w:fldChar w:fldCharType="separate"/>
            </w:r>
            <w:r w:rsidRPr="00C428D5">
              <w:rPr>
                <w:noProof/>
                <w:webHidden/>
              </w:rPr>
              <w:t>9</w:t>
            </w:r>
            <w:r w:rsidRPr="00C428D5">
              <w:rPr>
                <w:noProof/>
                <w:webHidden/>
              </w:rPr>
              <w:fldChar w:fldCharType="end"/>
            </w:r>
          </w:hyperlink>
        </w:p>
        <w:p w14:paraId="4B1CBE03" w14:textId="6C2C966F" w:rsidR="00925E17" w:rsidRPr="00C428D5" w:rsidRDefault="00925E17">
          <w:r w:rsidRPr="00C428D5">
            <w:rPr>
              <w:b/>
              <w:bCs/>
              <w:noProof/>
            </w:rPr>
            <w:fldChar w:fldCharType="end"/>
          </w:r>
        </w:p>
      </w:sdtContent>
    </w:sdt>
    <w:p w14:paraId="2B309631" w14:textId="40694629" w:rsidR="00925E17" w:rsidRPr="00C428D5" w:rsidRDefault="00925E17" w:rsidP="00925E17">
      <w:pPr>
        <w:pStyle w:val="Heading1"/>
        <w:spacing w:line="360" w:lineRule="auto"/>
        <w:jc w:val="both"/>
        <w:rPr>
          <w:rFonts w:ascii="Times New Roman" w:hAnsi="Times New Roman" w:cs="Times New Roman"/>
          <w:sz w:val="20"/>
          <w:szCs w:val="20"/>
        </w:rPr>
      </w:pPr>
      <w:bookmarkStart w:id="0" w:name="_Toc200535373"/>
      <w:r w:rsidRPr="00C428D5">
        <w:rPr>
          <w:rFonts w:ascii="Times New Roman" w:hAnsi="Times New Roman" w:cs="Times New Roman"/>
          <w:sz w:val="20"/>
          <w:szCs w:val="20"/>
        </w:rPr>
        <w:t>Supplementary Figures</w:t>
      </w:r>
      <w:bookmarkEnd w:id="0"/>
    </w:p>
    <w:p w14:paraId="348D678B" w14:textId="77777777" w:rsidR="00F65CA7" w:rsidRPr="00C428D5" w:rsidRDefault="00F65CA7" w:rsidP="00F65CA7">
      <w:pPr>
        <w:rPr>
          <w:b/>
          <w:bCs/>
          <w:sz w:val="20"/>
          <w:szCs w:val="20"/>
        </w:rPr>
      </w:pPr>
    </w:p>
    <w:p w14:paraId="2FCA075B" w14:textId="50AD8748" w:rsidR="00F65CA7" w:rsidRPr="00C428D5" w:rsidRDefault="00644227" w:rsidP="00F65CA7">
      <w:pPr>
        <w:ind w:firstLine="0"/>
        <w:rPr>
          <w:b/>
          <w:bCs/>
          <w:sz w:val="20"/>
          <w:szCs w:val="20"/>
        </w:rPr>
      </w:pPr>
      <w:r w:rsidRPr="00C428D5">
        <w:rPr>
          <w:b/>
          <w:bCs/>
          <w:noProof/>
          <w:sz w:val="20"/>
          <w:szCs w:val="20"/>
          <w14:ligatures w14:val="standardContextual"/>
        </w:rPr>
        <w:drawing>
          <wp:inline distT="0" distB="0" distL="0" distR="0" wp14:anchorId="2C2BBC42" wp14:editId="0E436CBD">
            <wp:extent cx="5041900" cy="5295900"/>
            <wp:effectExtent l="0" t="0" r="0" b="0"/>
            <wp:docPr id="65334940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349403" name="Picture 653349403"/>
                    <pic:cNvPicPr/>
                  </pic:nvPicPr>
                  <pic:blipFill>
                    <a:blip r:embed="rId5"/>
                    <a:stretch>
                      <a:fillRect/>
                    </a:stretch>
                  </pic:blipFill>
                  <pic:spPr>
                    <a:xfrm>
                      <a:off x="0" y="0"/>
                      <a:ext cx="5041900" cy="5295900"/>
                    </a:xfrm>
                    <a:prstGeom prst="rect">
                      <a:avLst/>
                    </a:prstGeom>
                  </pic:spPr>
                </pic:pic>
              </a:graphicData>
            </a:graphic>
          </wp:inline>
        </w:drawing>
      </w:r>
    </w:p>
    <w:p w14:paraId="7A64B3B6" w14:textId="6985E910" w:rsidR="00925E17" w:rsidRPr="00C428D5" w:rsidRDefault="00F65CA7" w:rsidP="00925E17">
      <w:pPr>
        <w:ind w:firstLine="0"/>
        <w:rPr>
          <w:b/>
          <w:bCs/>
          <w:sz w:val="20"/>
          <w:szCs w:val="20"/>
        </w:rPr>
      </w:pPr>
      <w:r w:rsidRPr="00C428D5">
        <w:rPr>
          <w:b/>
          <w:bCs/>
          <w:sz w:val="20"/>
          <w:szCs w:val="20"/>
        </w:rPr>
        <w:t xml:space="preserve">Suppl. Figure 1: Flowchart of study design based on </w:t>
      </w:r>
      <w:proofErr w:type="spellStart"/>
      <w:r w:rsidRPr="00C428D5">
        <w:rPr>
          <w:b/>
          <w:bCs/>
          <w:sz w:val="20"/>
          <w:szCs w:val="20"/>
        </w:rPr>
        <w:t>Metacardis</w:t>
      </w:r>
      <w:proofErr w:type="spellEnd"/>
      <w:r w:rsidRPr="00C428D5">
        <w:rPr>
          <w:b/>
          <w:bCs/>
          <w:sz w:val="20"/>
          <w:szCs w:val="20"/>
        </w:rPr>
        <w:t xml:space="preserve"> population</w:t>
      </w:r>
    </w:p>
    <w:p w14:paraId="0B4D458A" w14:textId="668448C6" w:rsidR="00925E17" w:rsidRPr="00C428D5" w:rsidRDefault="00925E17" w:rsidP="00925E17">
      <w:pPr>
        <w:ind w:firstLine="0"/>
        <w:jc w:val="left"/>
        <w:rPr>
          <w:sz w:val="20"/>
          <w:szCs w:val="20"/>
        </w:rPr>
      </w:pPr>
    </w:p>
    <w:p w14:paraId="06BC91F5" w14:textId="21738CF7" w:rsidR="00644227" w:rsidRPr="00C428D5" w:rsidRDefault="00644227" w:rsidP="00925E17">
      <w:pPr>
        <w:ind w:firstLine="0"/>
        <w:jc w:val="left"/>
        <w:rPr>
          <w:sz w:val="20"/>
          <w:szCs w:val="20"/>
        </w:rPr>
      </w:pPr>
      <w:r w:rsidRPr="00C428D5">
        <w:rPr>
          <w:noProof/>
          <w:sz w:val="20"/>
          <w:szCs w:val="20"/>
          <w14:ligatures w14:val="standardContextual"/>
        </w:rPr>
        <w:lastRenderedPageBreak/>
        <w:drawing>
          <wp:inline distT="0" distB="0" distL="0" distR="0" wp14:anchorId="68F3B43F" wp14:editId="2D15AD0F">
            <wp:extent cx="5731510" cy="4330700"/>
            <wp:effectExtent l="0" t="0" r="0" b="0"/>
            <wp:docPr id="61010886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108863" name="Picture 610108863"/>
                    <pic:cNvPicPr/>
                  </pic:nvPicPr>
                  <pic:blipFill>
                    <a:blip r:embed="rId6"/>
                    <a:stretch>
                      <a:fillRect/>
                    </a:stretch>
                  </pic:blipFill>
                  <pic:spPr>
                    <a:xfrm>
                      <a:off x="0" y="0"/>
                      <a:ext cx="5731510" cy="4330700"/>
                    </a:xfrm>
                    <a:prstGeom prst="rect">
                      <a:avLst/>
                    </a:prstGeom>
                  </pic:spPr>
                </pic:pic>
              </a:graphicData>
            </a:graphic>
          </wp:inline>
        </w:drawing>
      </w:r>
    </w:p>
    <w:p w14:paraId="2E718677" w14:textId="1BBD8C33" w:rsidR="00925E17" w:rsidRPr="00C428D5" w:rsidRDefault="00925E17" w:rsidP="00925E17">
      <w:pPr>
        <w:pStyle w:val="NormalWeb"/>
        <w:spacing w:line="360" w:lineRule="auto"/>
        <w:jc w:val="both"/>
        <w:rPr>
          <w:sz w:val="20"/>
          <w:szCs w:val="20"/>
          <w:lang w:val="en-US"/>
        </w:rPr>
      </w:pPr>
      <w:r w:rsidRPr="00C428D5">
        <w:rPr>
          <w:b/>
          <w:bCs/>
          <w:sz w:val="20"/>
          <w:szCs w:val="20"/>
          <w:lang w:val="en-US"/>
        </w:rPr>
        <w:t xml:space="preserve">Supplementary Figure </w:t>
      </w:r>
      <w:r w:rsidR="00F65CA7" w:rsidRPr="00C428D5">
        <w:rPr>
          <w:b/>
          <w:bCs/>
          <w:sz w:val="20"/>
          <w:szCs w:val="20"/>
          <w:lang w:val="en-US"/>
        </w:rPr>
        <w:t>2</w:t>
      </w:r>
      <w:r w:rsidRPr="00C428D5">
        <w:rPr>
          <w:b/>
          <w:bCs/>
          <w:sz w:val="20"/>
          <w:szCs w:val="20"/>
          <w:lang w:val="en-US"/>
        </w:rPr>
        <w:t xml:space="preserve">: Sensitivity Analysis of Dietary and Physical Activity Factors, Diet Variety, and Diversity Scores Associated with Gut Microbiota Gene Richness (GMGR) in the </w:t>
      </w:r>
      <w:proofErr w:type="spellStart"/>
      <w:r w:rsidRPr="00C428D5">
        <w:rPr>
          <w:b/>
          <w:bCs/>
          <w:sz w:val="20"/>
          <w:szCs w:val="20"/>
          <w:lang w:val="en-US"/>
        </w:rPr>
        <w:t>MetaCardis</w:t>
      </w:r>
      <w:proofErr w:type="spellEnd"/>
      <w:r w:rsidRPr="00C428D5">
        <w:rPr>
          <w:b/>
          <w:bCs/>
          <w:sz w:val="20"/>
          <w:szCs w:val="20"/>
          <w:lang w:val="en-US"/>
        </w:rPr>
        <w:t xml:space="preserve"> Population</w:t>
      </w:r>
      <w:r w:rsidRPr="00C428D5">
        <w:rPr>
          <w:sz w:val="20"/>
          <w:szCs w:val="20"/>
          <w:lang w:val="en-US"/>
        </w:rPr>
        <w:t xml:space="preserve"> </w:t>
      </w:r>
      <w:r w:rsidRPr="00C428D5">
        <w:rPr>
          <w:b/>
          <w:bCs/>
          <w:sz w:val="20"/>
          <w:szCs w:val="20"/>
          <w:lang w:val="en-US"/>
        </w:rPr>
        <w:t>(A)</w:t>
      </w:r>
      <w:r w:rsidRPr="00C428D5">
        <w:rPr>
          <w:sz w:val="20"/>
          <w:szCs w:val="20"/>
          <w:lang w:val="en-US"/>
        </w:rPr>
        <w:t xml:space="preserve"> Heatmap showing the coefficients of partial Spearman correlations between GMGR and various nutritional and lifestyle factors (y-axis) across the entire </w:t>
      </w:r>
      <w:proofErr w:type="spellStart"/>
      <w:r w:rsidRPr="00C428D5">
        <w:rPr>
          <w:sz w:val="20"/>
          <w:szCs w:val="20"/>
          <w:lang w:val="en-US"/>
        </w:rPr>
        <w:t>MetaCardis</w:t>
      </w:r>
      <w:proofErr w:type="spellEnd"/>
      <w:r w:rsidRPr="00C428D5">
        <w:rPr>
          <w:sz w:val="20"/>
          <w:szCs w:val="20"/>
          <w:lang w:val="en-US"/>
        </w:rPr>
        <w:t xml:space="preserve"> cohort (all levels on the x-axis, corresponding to results in Figure 1A) and within individual clinical subgroups (additional x-axis levels). </w:t>
      </w:r>
      <w:r w:rsidRPr="00C428D5">
        <w:rPr>
          <w:b/>
          <w:bCs/>
          <w:sz w:val="20"/>
          <w:szCs w:val="20"/>
          <w:lang w:val="en-US"/>
        </w:rPr>
        <w:t>(B)</w:t>
      </w:r>
      <w:r w:rsidRPr="00C428D5">
        <w:rPr>
          <w:sz w:val="20"/>
          <w:szCs w:val="20"/>
          <w:lang w:val="en-US"/>
        </w:rPr>
        <w:t xml:space="preserve"> Heatmap displaying the coefficients of partial Spearman correlations between GMGR and dietary indices (y-axis) in the full </w:t>
      </w:r>
      <w:proofErr w:type="spellStart"/>
      <w:r w:rsidRPr="00C428D5">
        <w:rPr>
          <w:sz w:val="20"/>
          <w:szCs w:val="20"/>
          <w:lang w:val="en-US"/>
        </w:rPr>
        <w:t>MetaCardis</w:t>
      </w:r>
      <w:proofErr w:type="spellEnd"/>
      <w:r w:rsidRPr="00C428D5">
        <w:rPr>
          <w:sz w:val="20"/>
          <w:szCs w:val="20"/>
          <w:lang w:val="en-US"/>
        </w:rPr>
        <w:t xml:space="preserve"> cohort (all levels on the x-axis, corresponding to results in Figure 1C) and across clinical subgroups (additional x-axis levels). Symbols indicate significance: # = FDR &lt; 0.05; * = p &lt; 0.05, FDR &gt; 0.05. Correlations are adjusted for age, recruitment center, energy intake (kcal), antibiotic treatments (number in the past five years), and use of metformin, statins, and PPIs. </w:t>
      </w:r>
      <w:r w:rsidRPr="00C428D5">
        <w:rPr>
          <w:b/>
          <w:bCs/>
          <w:sz w:val="20"/>
          <w:szCs w:val="20"/>
          <w:lang w:val="en-US"/>
        </w:rPr>
        <w:t>(C)</w:t>
      </w:r>
      <w:r w:rsidRPr="00C428D5">
        <w:rPr>
          <w:sz w:val="20"/>
          <w:szCs w:val="20"/>
          <w:lang w:val="en-US"/>
        </w:rPr>
        <w:t xml:space="preserve"> Estimated marginal means of GMGR across tertile levels of total physical activity, as well as different levels of smoking status, derived from linear regression models adjusted for age, recruitment center, energy intake (kcal), antibiotic treatments, use of metformin, statins, PPIs, and BMI. </w:t>
      </w:r>
      <w:r w:rsidRPr="00C428D5">
        <w:rPr>
          <w:b/>
          <w:bCs/>
          <w:sz w:val="20"/>
          <w:szCs w:val="20"/>
          <w:lang w:val="en-US"/>
        </w:rPr>
        <w:t>(D)</w:t>
      </w:r>
      <w:r w:rsidRPr="00C428D5">
        <w:rPr>
          <w:sz w:val="20"/>
          <w:szCs w:val="20"/>
          <w:lang w:val="en-US"/>
        </w:rPr>
        <w:t> Same as panel (C) but additionally adjusted for clinical group. Symbols denote significance: ** = FDR &lt; 0.05; * = p &lt; 0.05, FDR &gt; 0.05, based on ANOVA tests on linear regression models.</w:t>
      </w:r>
    </w:p>
    <w:p w14:paraId="072CE5BB" w14:textId="2D03250F" w:rsidR="00581FD5" w:rsidRPr="00C428D5" w:rsidRDefault="00644227" w:rsidP="00925E17">
      <w:pPr>
        <w:pStyle w:val="NormalWeb"/>
        <w:spacing w:line="360" w:lineRule="auto"/>
        <w:jc w:val="both"/>
        <w:rPr>
          <w:sz w:val="20"/>
          <w:szCs w:val="20"/>
          <w:lang w:val="en-US"/>
        </w:rPr>
      </w:pPr>
      <w:r w:rsidRPr="00C428D5">
        <w:rPr>
          <w:noProof/>
          <w:sz w:val="20"/>
          <w:szCs w:val="20"/>
          <w:lang w:val="en-US"/>
          <w14:ligatures w14:val="standardContextual"/>
        </w:rPr>
        <w:lastRenderedPageBreak/>
        <w:drawing>
          <wp:inline distT="0" distB="0" distL="0" distR="0" wp14:anchorId="6CB17AB3" wp14:editId="6EAB94F1">
            <wp:extent cx="5731510" cy="6477635"/>
            <wp:effectExtent l="0" t="0" r="0" b="0"/>
            <wp:docPr id="129784667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846676" name="Picture 1297846676"/>
                    <pic:cNvPicPr/>
                  </pic:nvPicPr>
                  <pic:blipFill>
                    <a:blip r:embed="rId7"/>
                    <a:stretch>
                      <a:fillRect/>
                    </a:stretch>
                  </pic:blipFill>
                  <pic:spPr>
                    <a:xfrm>
                      <a:off x="0" y="0"/>
                      <a:ext cx="5731510" cy="6477635"/>
                    </a:xfrm>
                    <a:prstGeom prst="rect">
                      <a:avLst/>
                    </a:prstGeom>
                  </pic:spPr>
                </pic:pic>
              </a:graphicData>
            </a:graphic>
          </wp:inline>
        </w:drawing>
      </w:r>
    </w:p>
    <w:p w14:paraId="571EE9D9" w14:textId="6011BC97" w:rsidR="00581FD5" w:rsidRPr="00C428D5" w:rsidRDefault="00581FD5" w:rsidP="00925E17">
      <w:pPr>
        <w:pStyle w:val="NormalWeb"/>
        <w:spacing w:line="360" w:lineRule="auto"/>
        <w:jc w:val="both"/>
        <w:rPr>
          <w:sz w:val="20"/>
          <w:szCs w:val="20"/>
          <w:lang w:val="en-US"/>
        </w:rPr>
      </w:pPr>
      <w:r w:rsidRPr="00C428D5">
        <w:rPr>
          <w:b/>
          <w:bCs/>
          <w:sz w:val="20"/>
          <w:szCs w:val="20"/>
          <w:lang w:val="en-US"/>
        </w:rPr>
        <w:t xml:space="preserve">Supplementary Figure 3: Extended associations of QASD score and its individual components with BMI, HbA1C and HOMA-IR in </w:t>
      </w:r>
      <w:proofErr w:type="spellStart"/>
      <w:r w:rsidRPr="00C428D5">
        <w:rPr>
          <w:b/>
          <w:bCs/>
          <w:sz w:val="20"/>
          <w:szCs w:val="20"/>
          <w:lang w:val="en-US"/>
        </w:rPr>
        <w:t>Meta</w:t>
      </w:r>
      <w:r w:rsidR="00644227" w:rsidRPr="00C428D5">
        <w:rPr>
          <w:b/>
          <w:bCs/>
          <w:sz w:val="20"/>
          <w:szCs w:val="20"/>
          <w:lang w:val="en-US"/>
        </w:rPr>
        <w:t>C</w:t>
      </w:r>
      <w:r w:rsidRPr="00C428D5">
        <w:rPr>
          <w:b/>
          <w:bCs/>
          <w:sz w:val="20"/>
          <w:szCs w:val="20"/>
          <w:lang w:val="en-US"/>
        </w:rPr>
        <w:t>ardis</w:t>
      </w:r>
      <w:proofErr w:type="spellEnd"/>
      <w:r w:rsidRPr="00C428D5">
        <w:rPr>
          <w:b/>
          <w:bCs/>
          <w:sz w:val="20"/>
          <w:szCs w:val="20"/>
          <w:lang w:val="en-US"/>
        </w:rPr>
        <w:t xml:space="preserve"> (panel A) and </w:t>
      </w:r>
      <w:proofErr w:type="spellStart"/>
      <w:r w:rsidRPr="00C428D5">
        <w:rPr>
          <w:b/>
          <w:bCs/>
          <w:sz w:val="20"/>
          <w:szCs w:val="20"/>
          <w:lang w:val="en-US"/>
        </w:rPr>
        <w:t>GutInside</w:t>
      </w:r>
      <w:proofErr w:type="spellEnd"/>
      <w:r w:rsidRPr="00C428D5">
        <w:rPr>
          <w:b/>
          <w:bCs/>
          <w:sz w:val="20"/>
          <w:szCs w:val="20"/>
          <w:lang w:val="en-US"/>
        </w:rPr>
        <w:t xml:space="preserve"> (Panel B) cohorts. </w:t>
      </w:r>
      <w:r w:rsidRPr="00C428D5">
        <w:rPr>
          <w:sz w:val="20"/>
          <w:szCs w:val="20"/>
          <w:lang w:val="en-US"/>
        </w:rPr>
        <w:t xml:space="preserve">Top </w:t>
      </w:r>
      <w:proofErr w:type="spellStart"/>
      <w:r w:rsidRPr="00C428D5">
        <w:rPr>
          <w:sz w:val="20"/>
          <w:szCs w:val="20"/>
          <w:lang w:val="en-US"/>
        </w:rPr>
        <w:t>barplots</w:t>
      </w:r>
      <w:proofErr w:type="spellEnd"/>
      <w:r w:rsidRPr="00C428D5">
        <w:rPr>
          <w:sz w:val="20"/>
          <w:szCs w:val="20"/>
          <w:lang w:val="en-US"/>
        </w:rPr>
        <w:t xml:space="preserve"> represents the effect sizes (F-values) derived from Anova Type III test on linear regression models where each clinical variable (dependent variable; top vertical facet) is regressed against the QASD score and its individual components (y-axis, 1 regression model x independent variable) under different adjustment frameworks (Ref. adjustment: age + recruitment center + energy intake (kcal) + antibiotic treatments, and use of metformin + statins + PPIs; group=</w:t>
      </w:r>
      <w:proofErr w:type="spellStart"/>
      <w:r w:rsidRPr="00C428D5">
        <w:rPr>
          <w:sz w:val="20"/>
          <w:szCs w:val="20"/>
          <w:lang w:val="en-US"/>
        </w:rPr>
        <w:t>Meta</w:t>
      </w:r>
      <w:r w:rsidR="00644227" w:rsidRPr="00C428D5">
        <w:rPr>
          <w:sz w:val="20"/>
          <w:szCs w:val="20"/>
          <w:lang w:val="en-US"/>
        </w:rPr>
        <w:t>C</w:t>
      </w:r>
      <w:r w:rsidRPr="00C428D5">
        <w:rPr>
          <w:sz w:val="20"/>
          <w:szCs w:val="20"/>
          <w:lang w:val="en-US"/>
        </w:rPr>
        <w:t>ardis</w:t>
      </w:r>
      <w:proofErr w:type="spellEnd"/>
      <w:r w:rsidRPr="00C428D5">
        <w:rPr>
          <w:sz w:val="20"/>
          <w:szCs w:val="20"/>
          <w:lang w:val="en-US"/>
        </w:rPr>
        <w:t xml:space="preserve"> clinical groups). Bottom panels represent the estimated marginal means of each clinical variable across QASD score levels and quintiles of the distribution of QASD score individual components derived from the same linear regression models (**: FDR&lt;0.05, *=P-value&lt;0.05 &amp; FDR&gt;0.05, NS=Non-significant; Anova Type III test).</w:t>
      </w:r>
    </w:p>
    <w:p w14:paraId="10815E62" w14:textId="05B6491B" w:rsidR="00925E17" w:rsidRPr="00C428D5" w:rsidRDefault="00644227" w:rsidP="00925E17">
      <w:pPr>
        <w:ind w:firstLine="0"/>
        <w:rPr>
          <w:sz w:val="20"/>
          <w:szCs w:val="20"/>
        </w:rPr>
      </w:pPr>
      <w:r w:rsidRPr="00C428D5">
        <w:rPr>
          <w:noProof/>
          <w:sz w:val="20"/>
          <w:szCs w:val="20"/>
          <w14:ligatures w14:val="standardContextual"/>
        </w:rPr>
        <w:lastRenderedPageBreak/>
        <w:drawing>
          <wp:inline distT="0" distB="0" distL="0" distR="0" wp14:anchorId="3D1F4CFA" wp14:editId="27E1F0A0">
            <wp:extent cx="5731510" cy="2430780"/>
            <wp:effectExtent l="0" t="0" r="0" b="0"/>
            <wp:docPr id="109384983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849836" name="Picture 1093849836"/>
                    <pic:cNvPicPr/>
                  </pic:nvPicPr>
                  <pic:blipFill>
                    <a:blip r:embed="rId8"/>
                    <a:stretch>
                      <a:fillRect/>
                    </a:stretch>
                  </pic:blipFill>
                  <pic:spPr>
                    <a:xfrm>
                      <a:off x="0" y="0"/>
                      <a:ext cx="5731510" cy="2430780"/>
                    </a:xfrm>
                    <a:prstGeom prst="rect">
                      <a:avLst/>
                    </a:prstGeom>
                  </pic:spPr>
                </pic:pic>
              </a:graphicData>
            </a:graphic>
          </wp:inline>
        </w:drawing>
      </w:r>
    </w:p>
    <w:p w14:paraId="4E0E94D7" w14:textId="3E988822" w:rsidR="00925E17" w:rsidRPr="00C428D5" w:rsidRDefault="00925E17" w:rsidP="00925E17">
      <w:pPr>
        <w:pStyle w:val="NormalWeb"/>
        <w:spacing w:line="360" w:lineRule="auto"/>
        <w:jc w:val="both"/>
        <w:rPr>
          <w:b/>
          <w:bCs/>
          <w:sz w:val="20"/>
          <w:szCs w:val="20"/>
          <w:lang w:val="en-US"/>
        </w:rPr>
      </w:pPr>
      <w:r w:rsidRPr="00C428D5">
        <w:rPr>
          <w:b/>
          <w:bCs/>
          <w:sz w:val="20"/>
          <w:szCs w:val="20"/>
          <w:lang w:val="en-US"/>
        </w:rPr>
        <w:t xml:space="preserve">Supplementary Figure </w:t>
      </w:r>
      <w:r w:rsidR="00581FD5" w:rsidRPr="00C428D5">
        <w:rPr>
          <w:b/>
          <w:bCs/>
          <w:sz w:val="20"/>
          <w:szCs w:val="20"/>
          <w:lang w:val="en-US"/>
        </w:rPr>
        <w:t>4</w:t>
      </w:r>
      <w:r w:rsidRPr="00C428D5">
        <w:rPr>
          <w:b/>
          <w:bCs/>
          <w:sz w:val="20"/>
          <w:szCs w:val="20"/>
          <w:lang w:val="en-US"/>
        </w:rPr>
        <w:t xml:space="preserve">: Nutritional Variables Significantly Associated with Enterotype Status in the </w:t>
      </w:r>
      <w:proofErr w:type="spellStart"/>
      <w:r w:rsidRPr="00C428D5">
        <w:rPr>
          <w:b/>
          <w:bCs/>
          <w:sz w:val="20"/>
          <w:szCs w:val="20"/>
          <w:lang w:val="en-US"/>
        </w:rPr>
        <w:t>MetaCardis</w:t>
      </w:r>
      <w:proofErr w:type="spellEnd"/>
      <w:r w:rsidRPr="00C428D5">
        <w:rPr>
          <w:b/>
          <w:bCs/>
          <w:sz w:val="20"/>
          <w:szCs w:val="20"/>
          <w:lang w:val="en-US"/>
        </w:rPr>
        <w:t xml:space="preserve"> Cohort</w:t>
      </w:r>
    </w:p>
    <w:p w14:paraId="2070E1A3" w14:textId="77777777" w:rsidR="00925E17" w:rsidRPr="00C428D5" w:rsidRDefault="00925E17" w:rsidP="00925E17">
      <w:pPr>
        <w:pStyle w:val="NormalWeb"/>
        <w:spacing w:line="360" w:lineRule="auto"/>
        <w:jc w:val="both"/>
        <w:rPr>
          <w:sz w:val="20"/>
          <w:szCs w:val="20"/>
          <w:lang w:val="en-US"/>
        </w:rPr>
      </w:pPr>
      <w:r w:rsidRPr="00C428D5">
        <w:rPr>
          <w:sz w:val="20"/>
          <w:szCs w:val="20"/>
          <w:lang w:val="en-US"/>
        </w:rPr>
        <w:t>Logistic regression models were fitted for each enterotype (</w:t>
      </w:r>
      <w:r w:rsidRPr="00C428D5">
        <w:rPr>
          <w:i/>
          <w:iCs/>
          <w:sz w:val="20"/>
          <w:szCs w:val="20"/>
          <w:lang w:val="en-US"/>
        </w:rPr>
        <w:t xml:space="preserve">Bacteroides 2, Bacteroides 1, </w:t>
      </w:r>
      <w:proofErr w:type="spellStart"/>
      <w:r w:rsidRPr="00C428D5">
        <w:rPr>
          <w:i/>
          <w:iCs/>
          <w:sz w:val="20"/>
          <w:szCs w:val="20"/>
          <w:lang w:val="en-US"/>
        </w:rPr>
        <w:t>Ruminococcus</w:t>
      </w:r>
      <w:proofErr w:type="spellEnd"/>
      <w:r w:rsidRPr="00C428D5">
        <w:rPr>
          <w:i/>
          <w:iCs/>
          <w:sz w:val="20"/>
          <w:szCs w:val="20"/>
          <w:lang w:val="en-US"/>
        </w:rPr>
        <w:t>,</w:t>
      </w:r>
      <w:r w:rsidRPr="00C428D5">
        <w:rPr>
          <w:sz w:val="20"/>
          <w:szCs w:val="20"/>
          <w:lang w:val="en-US"/>
        </w:rPr>
        <w:t> and </w:t>
      </w:r>
      <w:proofErr w:type="spellStart"/>
      <w:r w:rsidRPr="00C428D5">
        <w:rPr>
          <w:i/>
          <w:iCs/>
          <w:sz w:val="20"/>
          <w:szCs w:val="20"/>
          <w:lang w:val="en-US"/>
        </w:rPr>
        <w:t>Prevotella</w:t>
      </w:r>
      <w:proofErr w:type="spellEnd"/>
      <w:r w:rsidRPr="00C428D5">
        <w:rPr>
          <w:sz w:val="20"/>
          <w:szCs w:val="20"/>
          <w:lang w:val="en-US"/>
        </w:rPr>
        <w:t xml:space="preserve">) against 47 nutritional variables identified in </w:t>
      </w:r>
      <w:proofErr w:type="spellStart"/>
      <w:r w:rsidRPr="00C428D5">
        <w:rPr>
          <w:sz w:val="20"/>
          <w:szCs w:val="20"/>
          <w:lang w:val="en-US"/>
        </w:rPr>
        <w:t>dbRDA</w:t>
      </w:r>
      <w:proofErr w:type="spellEnd"/>
      <w:r w:rsidRPr="00C428D5">
        <w:rPr>
          <w:sz w:val="20"/>
          <w:szCs w:val="20"/>
          <w:lang w:val="en-US"/>
        </w:rPr>
        <w:t xml:space="preserve"> analyses, adjusted for age, sex, BMI, recruitment center, and use of metformin, statins, and PPIs. Eight variables showed significant associations with at least one enterotype, represented as predicted probabilities based on the logistic regression models (*=</w:t>
      </w:r>
      <w:r w:rsidRPr="00C428D5">
        <w:rPr>
          <w:i/>
          <w:iCs/>
          <w:sz w:val="20"/>
          <w:szCs w:val="20"/>
          <w:lang w:val="en-US"/>
        </w:rPr>
        <w:t>p</w:t>
      </w:r>
      <w:r w:rsidRPr="00C428D5">
        <w:rPr>
          <w:sz w:val="20"/>
          <w:szCs w:val="20"/>
          <w:lang w:val="en-US"/>
        </w:rPr>
        <w:t> &lt; 0.05 on logistic regression of target enterotype status (0,1) vs. nutritional variable). (</w:t>
      </w:r>
      <w:r w:rsidRPr="00C428D5">
        <w:rPr>
          <w:b/>
          <w:sz w:val="20"/>
          <w:lang w:val="en-US"/>
        </w:rPr>
        <w:t>A</w:t>
      </w:r>
      <w:r w:rsidRPr="00C428D5">
        <w:rPr>
          <w:sz w:val="20"/>
          <w:szCs w:val="20"/>
          <w:lang w:val="en-US"/>
        </w:rPr>
        <w:t>) Higher QASD score levels (5, 6-7) were associated with a significantly lower probability of the </w:t>
      </w:r>
      <w:r w:rsidRPr="00C428D5">
        <w:rPr>
          <w:i/>
          <w:iCs/>
          <w:sz w:val="20"/>
          <w:szCs w:val="20"/>
          <w:lang w:val="en-US"/>
        </w:rPr>
        <w:t>Bacteroides 2</w:t>
      </w:r>
      <w:r w:rsidRPr="00C428D5">
        <w:rPr>
          <w:sz w:val="20"/>
          <w:szCs w:val="20"/>
          <w:lang w:val="en-US"/>
        </w:rPr>
        <w:t> (Bact2) enterotype. Additionally, Bact2 status was negatively associated with five other nutritional variables (</w:t>
      </w:r>
      <w:r w:rsidRPr="00C428D5">
        <w:rPr>
          <w:b/>
          <w:sz w:val="20"/>
          <w:lang w:val="en-US"/>
        </w:rPr>
        <w:t>B-F</w:t>
      </w:r>
      <w:r w:rsidRPr="00C428D5">
        <w:rPr>
          <w:sz w:val="20"/>
          <w:szCs w:val="20"/>
          <w:lang w:val="en-US"/>
        </w:rPr>
        <w:t>), including “Variety count of Meat, Fish, and Eggs,” intake of various vitamins (biotin, vitamin D), consumption of “Cookies and Pastries,” and offal intake—where higher values of these variables were significantly linked to a lower probability of being in the Bact2 enterotype. (</w:t>
      </w:r>
      <w:r w:rsidRPr="00C428D5">
        <w:rPr>
          <w:b/>
          <w:sz w:val="20"/>
          <w:lang w:val="en-US"/>
        </w:rPr>
        <w:t>G-H</w:t>
      </w:r>
      <w:r w:rsidRPr="00C428D5">
        <w:rPr>
          <w:sz w:val="20"/>
          <w:szCs w:val="20"/>
          <w:lang w:val="en-US"/>
        </w:rPr>
        <w:t>) The </w:t>
      </w:r>
      <w:proofErr w:type="spellStart"/>
      <w:r w:rsidRPr="00C428D5">
        <w:rPr>
          <w:i/>
          <w:iCs/>
          <w:sz w:val="20"/>
          <w:szCs w:val="20"/>
          <w:lang w:val="en-US"/>
        </w:rPr>
        <w:t>Prevotella</w:t>
      </w:r>
      <w:proofErr w:type="spellEnd"/>
      <w:r w:rsidRPr="00C428D5">
        <w:rPr>
          <w:sz w:val="20"/>
          <w:szCs w:val="20"/>
          <w:lang w:val="en-US"/>
        </w:rPr>
        <w:t> enterotype was positively associated with the intake of dairy products (Simpson diversity of dairy products) and vitamin A, as well as with offal consumption (</w:t>
      </w:r>
      <w:r w:rsidRPr="00C428D5">
        <w:rPr>
          <w:b/>
          <w:sz w:val="20"/>
          <w:lang w:val="en-US"/>
        </w:rPr>
        <w:t>D</w:t>
      </w:r>
      <w:r w:rsidRPr="00C428D5">
        <w:rPr>
          <w:sz w:val="20"/>
          <w:szCs w:val="20"/>
          <w:lang w:val="en-US"/>
        </w:rPr>
        <w:t>) and biotin intake (</w:t>
      </w:r>
      <w:r w:rsidRPr="00C428D5">
        <w:rPr>
          <w:b/>
          <w:sz w:val="20"/>
          <w:lang w:val="en-US"/>
        </w:rPr>
        <w:t>E</w:t>
      </w:r>
      <w:r w:rsidRPr="00C428D5">
        <w:rPr>
          <w:sz w:val="20"/>
          <w:szCs w:val="20"/>
          <w:lang w:val="en-US"/>
        </w:rPr>
        <w:t>), which were also associated with a decreased probability of the Bact2 status.</w:t>
      </w:r>
    </w:p>
    <w:p w14:paraId="258CE26A" w14:textId="31A67244" w:rsidR="00925E17" w:rsidRPr="00C428D5" w:rsidRDefault="00644227" w:rsidP="00925E17">
      <w:pPr>
        <w:ind w:firstLine="0"/>
        <w:rPr>
          <w:sz w:val="20"/>
          <w:szCs w:val="20"/>
        </w:rPr>
      </w:pPr>
      <w:r w:rsidRPr="00C428D5">
        <w:rPr>
          <w:noProof/>
          <w:sz w:val="20"/>
          <w:szCs w:val="20"/>
          <w14:ligatures w14:val="standardContextual"/>
        </w:rPr>
        <w:lastRenderedPageBreak/>
        <w:drawing>
          <wp:inline distT="0" distB="0" distL="0" distR="0" wp14:anchorId="597A6016" wp14:editId="6E07811C">
            <wp:extent cx="5731510" cy="5492750"/>
            <wp:effectExtent l="0" t="0" r="0" b="0"/>
            <wp:docPr id="8861870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187089" name="Picture 886187089"/>
                    <pic:cNvPicPr/>
                  </pic:nvPicPr>
                  <pic:blipFill>
                    <a:blip r:embed="rId9"/>
                    <a:stretch>
                      <a:fillRect/>
                    </a:stretch>
                  </pic:blipFill>
                  <pic:spPr>
                    <a:xfrm>
                      <a:off x="0" y="0"/>
                      <a:ext cx="5731510" cy="5492750"/>
                    </a:xfrm>
                    <a:prstGeom prst="rect">
                      <a:avLst/>
                    </a:prstGeom>
                  </pic:spPr>
                </pic:pic>
              </a:graphicData>
            </a:graphic>
          </wp:inline>
        </w:drawing>
      </w:r>
    </w:p>
    <w:p w14:paraId="28D6B8D4" w14:textId="1603F8E4" w:rsidR="00925E17" w:rsidRPr="00C428D5" w:rsidRDefault="00925E17" w:rsidP="00925E17">
      <w:pPr>
        <w:pStyle w:val="NormalWeb"/>
        <w:spacing w:line="360" w:lineRule="auto"/>
        <w:jc w:val="both"/>
        <w:rPr>
          <w:color w:val="000000"/>
          <w:sz w:val="20"/>
          <w:szCs w:val="20"/>
          <w:lang w:val="en-US"/>
        </w:rPr>
      </w:pPr>
      <w:r w:rsidRPr="00C428D5">
        <w:rPr>
          <w:rStyle w:val="Strong"/>
          <w:rFonts w:eastAsia="Arial"/>
          <w:color w:val="000000"/>
          <w:sz w:val="20"/>
          <w:szCs w:val="20"/>
          <w:lang w:val="en-US"/>
        </w:rPr>
        <w:t xml:space="preserve">Supplementary Figure </w:t>
      </w:r>
      <w:r w:rsidR="00581FD5" w:rsidRPr="00C428D5">
        <w:rPr>
          <w:rStyle w:val="Strong"/>
          <w:rFonts w:eastAsia="Arial"/>
          <w:color w:val="000000"/>
          <w:sz w:val="20"/>
          <w:szCs w:val="20"/>
          <w:lang w:val="en-US"/>
        </w:rPr>
        <w:t>5</w:t>
      </w:r>
      <w:r w:rsidRPr="00C428D5">
        <w:rPr>
          <w:rStyle w:val="Strong"/>
          <w:rFonts w:eastAsia="Arial"/>
          <w:color w:val="000000"/>
          <w:sz w:val="20"/>
          <w:szCs w:val="20"/>
          <w:lang w:val="en-US"/>
        </w:rPr>
        <w:t xml:space="preserve">: Impact of </w:t>
      </w:r>
      <w:r w:rsidR="00581FD5" w:rsidRPr="00C428D5">
        <w:rPr>
          <w:rStyle w:val="Strong"/>
          <w:rFonts w:eastAsia="Arial"/>
          <w:color w:val="000000"/>
          <w:sz w:val="20"/>
          <w:szCs w:val="20"/>
          <w:lang w:val="en-US"/>
        </w:rPr>
        <w:t xml:space="preserve">Enterotypes, </w:t>
      </w:r>
      <w:r w:rsidRPr="00C428D5">
        <w:rPr>
          <w:rStyle w:val="Strong"/>
          <w:rFonts w:eastAsia="Arial"/>
          <w:color w:val="000000"/>
          <w:sz w:val="20"/>
          <w:szCs w:val="20"/>
          <w:lang w:val="en-US"/>
        </w:rPr>
        <w:t xml:space="preserve">Nutritional and </w:t>
      </w:r>
      <w:proofErr w:type="spellStart"/>
      <w:r w:rsidRPr="00C428D5">
        <w:rPr>
          <w:rStyle w:val="Strong"/>
          <w:rFonts w:eastAsia="Arial"/>
          <w:color w:val="000000"/>
          <w:sz w:val="20"/>
          <w:szCs w:val="20"/>
          <w:lang w:val="en-US"/>
        </w:rPr>
        <w:t>Bioclinical</w:t>
      </w:r>
      <w:proofErr w:type="spellEnd"/>
      <w:r w:rsidRPr="00C428D5">
        <w:rPr>
          <w:rStyle w:val="Strong"/>
          <w:rFonts w:eastAsia="Arial"/>
          <w:color w:val="000000"/>
          <w:sz w:val="20"/>
          <w:szCs w:val="20"/>
          <w:lang w:val="en-US"/>
        </w:rPr>
        <w:t xml:space="preserve"> Variables on Microbiome Composition in the </w:t>
      </w:r>
      <w:proofErr w:type="spellStart"/>
      <w:r w:rsidRPr="00C428D5">
        <w:rPr>
          <w:rStyle w:val="Strong"/>
          <w:rFonts w:eastAsia="Arial"/>
          <w:color w:val="000000"/>
          <w:sz w:val="20"/>
          <w:szCs w:val="20"/>
          <w:lang w:val="en-US"/>
        </w:rPr>
        <w:t>MetaCardis</w:t>
      </w:r>
      <w:proofErr w:type="spellEnd"/>
      <w:r w:rsidRPr="00C428D5">
        <w:rPr>
          <w:rStyle w:val="Strong"/>
          <w:rFonts w:eastAsia="Arial"/>
          <w:color w:val="000000"/>
          <w:sz w:val="20"/>
          <w:szCs w:val="20"/>
          <w:lang w:val="en-US"/>
        </w:rPr>
        <w:t xml:space="preserve"> Cohort</w:t>
      </w:r>
    </w:p>
    <w:p w14:paraId="3DBC8373" w14:textId="3D5F005B" w:rsidR="00925E17" w:rsidRPr="00C428D5" w:rsidRDefault="00925E17" w:rsidP="00644227">
      <w:pPr>
        <w:pStyle w:val="NormalWeb"/>
        <w:spacing w:line="360" w:lineRule="auto"/>
        <w:jc w:val="both"/>
        <w:rPr>
          <w:sz w:val="20"/>
          <w:szCs w:val="20"/>
          <w:lang w:val="en-US"/>
        </w:rPr>
      </w:pPr>
      <w:r w:rsidRPr="00C428D5">
        <w:rPr>
          <w:rStyle w:val="Strong"/>
          <w:rFonts w:eastAsia="Arial"/>
          <w:color w:val="000000"/>
          <w:sz w:val="20"/>
          <w:szCs w:val="20"/>
          <w:lang w:val="en-US"/>
        </w:rPr>
        <w:t>(A)</w:t>
      </w:r>
      <w:r w:rsidRPr="00C428D5">
        <w:rPr>
          <w:rStyle w:val="apple-converted-space"/>
          <w:rFonts w:eastAsia="Arial"/>
          <w:color w:val="000000"/>
          <w:sz w:val="20"/>
          <w:szCs w:val="20"/>
          <w:lang w:val="en-US"/>
        </w:rPr>
        <w:t> </w:t>
      </w:r>
      <w:r w:rsidRPr="00C428D5">
        <w:rPr>
          <w:color w:val="000000"/>
          <w:sz w:val="20"/>
          <w:szCs w:val="20"/>
          <w:lang w:val="en-US"/>
        </w:rPr>
        <w:t>Bar plot showing the effect sizes of</w:t>
      </w:r>
      <w:r w:rsidR="00581FD5" w:rsidRPr="00C428D5">
        <w:rPr>
          <w:color w:val="000000"/>
          <w:sz w:val="20"/>
          <w:szCs w:val="20"/>
          <w:lang w:val="en-US"/>
        </w:rPr>
        <w:t xml:space="preserve"> enterotype stratification and</w:t>
      </w:r>
      <w:r w:rsidRPr="00C428D5">
        <w:rPr>
          <w:color w:val="000000"/>
          <w:sz w:val="20"/>
          <w:szCs w:val="20"/>
          <w:lang w:val="en-US"/>
        </w:rPr>
        <w:t xml:space="preserve"> 73 covariates (nutritional and clinical) with a significant impact on microbiome composition in individuals from the </w:t>
      </w:r>
      <w:proofErr w:type="spellStart"/>
      <w:r w:rsidRPr="00C428D5">
        <w:rPr>
          <w:color w:val="000000"/>
          <w:sz w:val="20"/>
          <w:szCs w:val="20"/>
          <w:lang w:val="en-US"/>
        </w:rPr>
        <w:t>MetaCardis</w:t>
      </w:r>
      <w:proofErr w:type="spellEnd"/>
      <w:r w:rsidRPr="00C428D5">
        <w:rPr>
          <w:color w:val="000000"/>
          <w:sz w:val="20"/>
          <w:szCs w:val="20"/>
          <w:lang w:val="en-US"/>
        </w:rPr>
        <w:t xml:space="preserve"> cohort (n = 1,643), as determined by distance-based redundancy analysis (</w:t>
      </w:r>
      <w:proofErr w:type="spellStart"/>
      <w:r w:rsidRPr="00C428D5">
        <w:rPr>
          <w:color w:val="000000"/>
          <w:sz w:val="20"/>
          <w:szCs w:val="20"/>
          <w:lang w:val="en-US"/>
        </w:rPr>
        <w:t>dbRDA</w:t>
      </w:r>
      <w:proofErr w:type="spellEnd"/>
      <w:r w:rsidRPr="00C428D5">
        <w:rPr>
          <w:color w:val="000000"/>
          <w:sz w:val="20"/>
          <w:szCs w:val="20"/>
          <w:lang w:val="en-US"/>
        </w:rPr>
        <w:t xml:space="preserve">) using Bray-Curtis dissimilarity from MGS abundance data (FDR &lt; 0.01). </w:t>
      </w:r>
      <w:r w:rsidRPr="00C428D5">
        <w:rPr>
          <w:rStyle w:val="Strong"/>
          <w:rFonts w:eastAsia="Arial"/>
          <w:color w:val="000000"/>
          <w:sz w:val="20"/>
          <w:szCs w:val="20"/>
          <w:lang w:val="en-US"/>
        </w:rPr>
        <w:t>(B)</w:t>
      </w:r>
      <w:r w:rsidRPr="00C428D5">
        <w:rPr>
          <w:rStyle w:val="apple-converted-space"/>
          <w:rFonts w:eastAsia="Arial"/>
          <w:color w:val="000000"/>
          <w:sz w:val="20"/>
          <w:szCs w:val="20"/>
          <w:lang w:val="en-US"/>
        </w:rPr>
        <w:t> </w:t>
      </w:r>
      <w:r w:rsidRPr="00C428D5">
        <w:rPr>
          <w:color w:val="000000"/>
          <w:sz w:val="20"/>
          <w:szCs w:val="20"/>
          <w:lang w:val="en-US"/>
        </w:rPr>
        <w:t xml:space="preserve">Bar plot of the 30 clinical and nutritional covariates with the highest significant impact on microbiome composition in the </w:t>
      </w:r>
      <w:proofErr w:type="spellStart"/>
      <w:r w:rsidRPr="00C428D5">
        <w:rPr>
          <w:color w:val="000000"/>
          <w:sz w:val="20"/>
          <w:szCs w:val="20"/>
          <w:lang w:val="en-US"/>
        </w:rPr>
        <w:t>MetaCardis</w:t>
      </w:r>
      <w:proofErr w:type="spellEnd"/>
      <w:r w:rsidRPr="00C428D5">
        <w:rPr>
          <w:color w:val="000000"/>
          <w:sz w:val="20"/>
          <w:szCs w:val="20"/>
          <w:lang w:val="en-US"/>
        </w:rPr>
        <w:t xml:space="preserve"> cohort (n = 1,643). Effect sizes are presented either independently (univariate effect sizes in black; FDR &lt; 0.01 in </w:t>
      </w:r>
      <w:proofErr w:type="spellStart"/>
      <w:r w:rsidRPr="00C428D5">
        <w:rPr>
          <w:color w:val="000000"/>
          <w:sz w:val="20"/>
          <w:szCs w:val="20"/>
          <w:lang w:val="en-US"/>
        </w:rPr>
        <w:t>dbRDA</w:t>
      </w:r>
      <w:proofErr w:type="spellEnd"/>
      <w:r w:rsidRPr="00C428D5">
        <w:rPr>
          <w:color w:val="000000"/>
          <w:sz w:val="20"/>
          <w:szCs w:val="20"/>
          <w:lang w:val="en-US"/>
        </w:rPr>
        <w:t xml:space="preserve">) or within a multivariate model (cumulative effect sizes in gray). The red line indicates the cut-off for significant non-redundant contribution to the multivariate model (p &lt; 0.05 in stepwise model building). Full results are provided in Supplementary Table S7. </w:t>
      </w:r>
      <w:r w:rsidRPr="00C428D5">
        <w:rPr>
          <w:rStyle w:val="Strong"/>
          <w:rFonts w:eastAsia="Arial"/>
          <w:color w:val="000000"/>
          <w:sz w:val="20"/>
          <w:szCs w:val="20"/>
          <w:lang w:val="en-US"/>
        </w:rPr>
        <w:t>(C)</w:t>
      </w:r>
      <w:r w:rsidRPr="00C428D5">
        <w:rPr>
          <w:rStyle w:val="apple-converted-space"/>
          <w:rFonts w:eastAsia="Arial"/>
          <w:color w:val="000000"/>
          <w:sz w:val="20"/>
          <w:szCs w:val="20"/>
          <w:lang w:val="en-US"/>
        </w:rPr>
        <w:t> </w:t>
      </w:r>
      <w:r w:rsidRPr="00C428D5">
        <w:rPr>
          <w:color w:val="000000"/>
          <w:sz w:val="20"/>
          <w:szCs w:val="20"/>
          <w:lang w:val="en-US"/>
        </w:rPr>
        <w:t>Bar plot representing the effect sizes of the QASD score on microbiome composition (n = 1,643) using different adjustment frameworks, as assessed by distance-based redundancy analysis (</w:t>
      </w:r>
      <w:proofErr w:type="spellStart"/>
      <w:r w:rsidRPr="00C428D5">
        <w:rPr>
          <w:color w:val="000000"/>
          <w:sz w:val="20"/>
          <w:szCs w:val="20"/>
          <w:lang w:val="en-US"/>
        </w:rPr>
        <w:t>dbRDA</w:t>
      </w:r>
      <w:proofErr w:type="spellEnd"/>
      <w:r w:rsidRPr="00C428D5">
        <w:rPr>
          <w:color w:val="000000"/>
          <w:sz w:val="20"/>
          <w:szCs w:val="20"/>
          <w:lang w:val="en-US"/>
        </w:rPr>
        <w:t xml:space="preserve">) with Bray-Curtis dissimilarity from </w:t>
      </w:r>
      <w:r w:rsidRPr="00C428D5">
        <w:rPr>
          <w:color w:val="000000"/>
          <w:sz w:val="20"/>
          <w:szCs w:val="20"/>
          <w:lang w:val="en-US"/>
        </w:rPr>
        <w:lastRenderedPageBreak/>
        <w:t xml:space="preserve">MGS abundance data. All adjustments confirm a significant impact of the QASD score on microbiome composition within the adjusted </w:t>
      </w:r>
      <w:proofErr w:type="spellStart"/>
      <w:r w:rsidRPr="00C428D5">
        <w:rPr>
          <w:color w:val="000000"/>
          <w:sz w:val="20"/>
          <w:szCs w:val="20"/>
          <w:lang w:val="en-US"/>
        </w:rPr>
        <w:t>dbRDA</w:t>
      </w:r>
      <w:proofErr w:type="spellEnd"/>
      <w:r w:rsidRPr="00C428D5">
        <w:rPr>
          <w:color w:val="000000"/>
          <w:sz w:val="20"/>
          <w:szCs w:val="20"/>
          <w:lang w:val="en-US"/>
        </w:rPr>
        <w:t xml:space="preserve"> framework (FDR level).</w:t>
      </w:r>
    </w:p>
    <w:p w14:paraId="4DC4C843" w14:textId="4C4AD139" w:rsidR="00925E17" w:rsidRPr="00C428D5" w:rsidRDefault="00644227" w:rsidP="00925E17">
      <w:pPr>
        <w:ind w:firstLine="0"/>
        <w:rPr>
          <w:sz w:val="20"/>
          <w:szCs w:val="20"/>
        </w:rPr>
      </w:pPr>
      <w:r w:rsidRPr="00C428D5">
        <w:rPr>
          <w:noProof/>
          <w:sz w:val="20"/>
          <w:szCs w:val="20"/>
          <w14:ligatures w14:val="standardContextual"/>
        </w:rPr>
        <w:drawing>
          <wp:inline distT="0" distB="0" distL="0" distR="0" wp14:anchorId="6D494ACD" wp14:editId="1BF37ECA">
            <wp:extent cx="5731510" cy="4050665"/>
            <wp:effectExtent l="0" t="0" r="0" b="635"/>
            <wp:docPr id="4810304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030417" name="Picture 481030417"/>
                    <pic:cNvPicPr/>
                  </pic:nvPicPr>
                  <pic:blipFill>
                    <a:blip r:embed="rId10"/>
                    <a:stretch>
                      <a:fillRect/>
                    </a:stretch>
                  </pic:blipFill>
                  <pic:spPr>
                    <a:xfrm>
                      <a:off x="0" y="0"/>
                      <a:ext cx="5731510" cy="4050665"/>
                    </a:xfrm>
                    <a:prstGeom prst="rect">
                      <a:avLst/>
                    </a:prstGeom>
                  </pic:spPr>
                </pic:pic>
              </a:graphicData>
            </a:graphic>
          </wp:inline>
        </w:drawing>
      </w:r>
    </w:p>
    <w:p w14:paraId="11438A16" w14:textId="5B815344" w:rsidR="00925E17" w:rsidRPr="00C428D5" w:rsidRDefault="00925E17" w:rsidP="00925E17">
      <w:pPr>
        <w:pStyle w:val="NormalWeb"/>
        <w:spacing w:line="360" w:lineRule="auto"/>
        <w:jc w:val="both"/>
        <w:rPr>
          <w:color w:val="000000"/>
          <w:sz w:val="20"/>
          <w:szCs w:val="20"/>
          <w:lang w:val="en-US"/>
        </w:rPr>
      </w:pPr>
      <w:r w:rsidRPr="00C428D5">
        <w:rPr>
          <w:rStyle w:val="Strong"/>
          <w:rFonts w:eastAsia="Arial"/>
          <w:color w:val="000000"/>
          <w:sz w:val="20"/>
          <w:szCs w:val="20"/>
          <w:lang w:val="en-US"/>
        </w:rPr>
        <w:t xml:space="preserve">Supplementary Figure </w:t>
      </w:r>
      <w:r w:rsidR="00581FD5" w:rsidRPr="00C428D5">
        <w:rPr>
          <w:rStyle w:val="Strong"/>
          <w:rFonts w:eastAsia="Arial"/>
          <w:color w:val="000000"/>
          <w:sz w:val="20"/>
          <w:szCs w:val="20"/>
          <w:lang w:val="en-US"/>
        </w:rPr>
        <w:t>6</w:t>
      </w:r>
      <w:r w:rsidRPr="00C428D5">
        <w:rPr>
          <w:rStyle w:val="Strong"/>
          <w:rFonts w:eastAsia="Arial"/>
          <w:color w:val="000000"/>
          <w:sz w:val="20"/>
          <w:szCs w:val="20"/>
          <w:lang w:val="en-US"/>
        </w:rPr>
        <w:t>: Summary of Microbiome and Metabolome Alterations Across Pairwise Levels of the QASD Score</w:t>
      </w:r>
    </w:p>
    <w:p w14:paraId="67151600" w14:textId="77777777" w:rsidR="00925E17" w:rsidRPr="00C428D5" w:rsidRDefault="00925E17" w:rsidP="00925E17">
      <w:pPr>
        <w:pStyle w:val="NormalWeb"/>
        <w:spacing w:line="360" w:lineRule="auto"/>
        <w:jc w:val="both"/>
        <w:rPr>
          <w:color w:val="000000"/>
          <w:sz w:val="20"/>
          <w:szCs w:val="20"/>
          <w:lang w:val="en-US"/>
        </w:rPr>
      </w:pPr>
      <w:r w:rsidRPr="00C428D5">
        <w:rPr>
          <w:color w:val="000000"/>
          <w:sz w:val="20"/>
          <w:szCs w:val="20"/>
          <w:lang w:val="en-US"/>
        </w:rPr>
        <w:t xml:space="preserve">Number of microbiome and metabolome features (y-axis) from different OMICs spaces (x-axis) showing significant variations across different pairwise levels of the QASD score, as determined by </w:t>
      </w:r>
      <w:proofErr w:type="spellStart"/>
      <w:r w:rsidRPr="00C428D5">
        <w:rPr>
          <w:color w:val="000000"/>
          <w:sz w:val="20"/>
          <w:szCs w:val="20"/>
          <w:lang w:val="en-US"/>
        </w:rPr>
        <w:t>metadeconfoundR</w:t>
      </w:r>
      <w:proofErr w:type="spellEnd"/>
      <w:r w:rsidRPr="00C428D5">
        <w:rPr>
          <w:color w:val="000000"/>
          <w:sz w:val="20"/>
          <w:szCs w:val="20"/>
          <w:lang w:val="en-US"/>
        </w:rPr>
        <w:t xml:space="preserve"> analyses. Features are color-coded based on the status of the association:</w:t>
      </w:r>
      <w:r w:rsidRPr="00C428D5">
        <w:rPr>
          <w:rStyle w:val="apple-converted-space"/>
          <w:rFonts w:eastAsia="Arial"/>
          <w:color w:val="000000"/>
          <w:sz w:val="20"/>
          <w:szCs w:val="20"/>
          <w:lang w:val="en-US"/>
        </w:rPr>
        <w:t> </w:t>
      </w:r>
      <w:r w:rsidRPr="00C428D5">
        <w:rPr>
          <w:rStyle w:val="Strong"/>
          <w:rFonts w:eastAsia="Arial"/>
          <w:color w:val="000000"/>
          <w:sz w:val="20"/>
          <w:szCs w:val="20"/>
          <w:lang w:val="en-US"/>
        </w:rPr>
        <w:t>AD</w:t>
      </w:r>
      <w:r w:rsidRPr="00C428D5">
        <w:rPr>
          <w:rStyle w:val="apple-converted-space"/>
          <w:rFonts w:eastAsia="Arial"/>
          <w:color w:val="000000"/>
          <w:sz w:val="20"/>
          <w:szCs w:val="20"/>
          <w:lang w:val="en-US"/>
        </w:rPr>
        <w:t> </w:t>
      </w:r>
      <w:r w:rsidRPr="00C428D5">
        <w:rPr>
          <w:color w:val="000000"/>
          <w:sz w:val="20"/>
          <w:szCs w:val="20"/>
          <w:lang w:val="en-US"/>
        </w:rPr>
        <w:t xml:space="preserve">(Ambiguously </w:t>
      </w:r>
      <w:proofErr w:type="spellStart"/>
      <w:r w:rsidRPr="00C428D5">
        <w:rPr>
          <w:color w:val="000000"/>
          <w:sz w:val="20"/>
          <w:szCs w:val="20"/>
          <w:lang w:val="en-US"/>
        </w:rPr>
        <w:t>deconfounded</w:t>
      </w:r>
      <w:proofErr w:type="spellEnd"/>
      <w:r w:rsidRPr="00C428D5">
        <w:rPr>
          <w:color w:val="000000"/>
          <w:sz w:val="20"/>
          <w:szCs w:val="20"/>
          <w:lang w:val="en-US"/>
        </w:rPr>
        <w:t>),</w:t>
      </w:r>
      <w:r w:rsidRPr="00C428D5">
        <w:rPr>
          <w:rStyle w:val="apple-converted-space"/>
          <w:rFonts w:eastAsia="Arial"/>
          <w:color w:val="000000"/>
          <w:sz w:val="20"/>
          <w:szCs w:val="20"/>
          <w:lang w:val="en-US"/>
        </w:rPr>
        <w:t> </w:t>
      </w:r>
      <w:r w:rsidRPr="00C428D5">
        <w:rPr>
          <w:rStyle w:val="Strong"/>
          <w:rFonts w:eastAsia="Arial"/>
          <w:color w:val="000000"/>
          <w:sz w:val="20"/>
          <w:szCs w:val="20"/>
          <w:lang w:val="en-US"/>
        </w:rPr>
        <w:t>C</w:t>
      </w:r>
      <w:r w:rsidRPr="00C428D5">
        <w:rPr>
          <w:rStyle w:val="apple-converted-space"/>
          <w:rFonts w:eastAsia="Arial"/>
          <w:color w:val="000000"/>
          <w:sz w:val="20"/>
          <w:szCs w:val="20"/>
          <w:lang w:val="en-US"/>
        </w:rPr>
        <w:t> </w:t>
      </w:r>
      <w:r w:rsidRPr="00C428D5">
        <w:rPr>
          <w:color w:val="000000"/>
          <w:sz w:val="20"/>
          <w:szCs w:val="20"/>
          <w:lang w:val="en-US"/>
        </w:rPr>
        <w:t>(Confounded by corresponding variables),</w:t>
      </w:r>
      <w:r w:rsidRPr="00C428D5">
        <w:rPr>
          <w:rStyle w:val="apple-converted-space"/>
          <w:rFonts w:eastAsia="Arial"/>
          <w:color w:val="000000"/>
          <w:sz w:val="20"/>
          <w:szCs w:val="20"/>
          <w:lang w:val="en-US"/>
        </w:rPr>
        <w:t> </w:t>
      </w:r>
      <w:proofErr w:type="spellStart"/>
      <w:r w:rsidRPr="00C428D5">
        <w:rPr>
          <w:rStyle w:val="Strong"/>
          <w:rFonts w:eastAsia="Arial"/>
          <w:color w:val="000000"/>
          <w:sz w:val="20"/>
          <w:szCs w:val="20"/>
          <w:lang w:val="en-US"/>
        </w:rPr>
        <w:t>OK_nc</w:t>
      </w:r>
      <w:proofErr w:type="spellEnd"/>
      <w:r w:rsidRPr="00C428D5">
        <w:rPr>
          <w:rStyle w:val="apple-converted-space"/>
          <w:rFonts w:eastAsia="Arial"/>
          <w:color w:val="000000"/>
          <w:sz w:val="20"/>
          <w:szCs w:val="20"/>
          <w:lang w:val="en-US"/>
        </w:rPr>
        <w:t> </w:t>
      </w:r>
      <w:r w:rsidRPr="00C428D5">
        <w:rPr>
          <w:color w:val="000000"/>
          <w:sz w:val="20"/>
          <w:szCs w:val="20"/>
          <w:lang w:val="en-US"/>
        </w:rPr>
        <w:t>(No other covariates), and</w:t>
      </w:r>
      <w:r w:rsidRPr="00C428D5">
        <w:rPr>
          <w:rStyle w:val="apple-converted-space"/>
          <w:rFonts w:eastAsia="Arial"/>
          <w:color w:val="000000"/>
          <w:sz w:val="20"/>
          <w:szCs w:val="20"/>
          <w:lang w:val="en-US"/>
        </w:rPr>
        <w:t> </w:t>
      </w:r>
      <w:proofErr w:type="spellStart"/>
      <w:r w:rsidRPr="00C428D5">
        <w:rPr>
          <w:rStyle w:val="Strong"/>
          <w:rFonts w:eastAsia="Arial"/>
          <w:color w:val="000000"/>
          <w:sz w:val="20"/>
          <w:szCs w:val="20"/>
          <w:lang w:val="en-US"/>
        </w:rPr>
        <w:t>OK_sd</w:t>
      </w:r>
      <w:proofErr w:type="spellEnd"/>
      <w:r w:rsidRPr="00C428D5">
        <w:rPr>
          <w:rStyle w:val="apple-converted-space"/>
          <w:rFonts w:eastAsia="Arial"/>
          <w:color w:val="000000"/>
          <w:sz w:val="20"/>
          <w:szCs w:val="20"/>
          <w:lang w:val="en-US"/>
        </w:rPr>
        <w:t> </w:t>
      </w:r>
      <w:r w:rsidRPr="00C428D5">
        <w:rPr>
          <w:color w:val="000000"/>
          <w:sz w:val="20"/>
          <w:szCs w:val="20"/>
          <w:lang w:val="en-US"/>
        </w:rPr>
        <w:t xml:space="preserve">(Strictly </w:t>
      </w:r>
      <w:proofErr w:type="spellStart"/>
      <w:r w:rsidRPr="00C428D5">
        <w:rPr>
          <w:color w:val="000000"/>
          <w:sz w:val="20"/>
          <w:szCs w:val="20"/>
          <w:lang w:val="en-US"/>
        </w:rPr>
        <w:t>deconfounded</w:t>
      </w:r>
      <w:proofErr w:type="spellEnd"/>
      <w:r w:rsidRPr="00C428D5">
        <w:rPr>
          <w:color w:val="000000"/>
          <w:sz w:val="20"/>
          <w:szCs w:val="20"/>
          <w:lang w:val="en-US"/>
        </w:rPr>
        <w:t>, the most stringent label, indicating that although another covariate is associated with the feature, the signal can still be attributed to the pairwise level of the lifestyle scores). PATHGROUPFINAL=</w:t>
      </w:r>
      <w:proofErr w:type="spellStart"/>
      <w:r w:rsidRPr="00C428D5">
        <w:rPr>
          <w:color w:val="000000"/>
          <w:sz w:val="20"/>
          <w:szCs w:val="20"/>
          <w:lang w:val="en-US"/>
        </w:rPr>
        <w:t>Metacardis</w:t>
      </w:r>
      <w:proofErr w:type="spellEnd"/>
      <w:r w:rsidRPr="00C428D5">
        <w:rPr>
          <w:color w:val="000000"/>
          <w:sz w:val="20"/>
          <w:szCs w:val="20"/>
          <w:lang w:val="en-US"/>
        </w:rPr>
        <w:t xml:space="preserve"> clinical groups variable.</w:t>
      </w:r>
    </w:p>
    <w:p w14:paraId="2EF9FE0E" w14:textId="2E057F7A" w:rsidR="00925E17" w:rsidRPr="00C428D5" w:rsidRDefault="00644227" w:rsidP="00925E17">
      <w:pPr>
        <w:ind w:firstLine="0"/>
        <w:rPr>
          <w:sz w:val="20"/>
          <w:szCs w:val="20"/>
        </w:rPr>
      </w:pPr>
      <w:r w:rsidRPr="00C428D5">
        <w:rPr>
          <w:noProof/>
          <w:sz w:val="20"/>
          <w:szCs w:val="20"/>
          <w14:ligatures w14:val="standardContextual"/>
        </w:rPr>
        <w:lastRenderedPageBreak/>
        <w:drawing>
          <wp:inline distT="0" distB="0" distL="0" distR="0" wp14:anchorId="23F8361A" wp14:editId="55EEA4A5">
            <wp:extent cx="5731510" cy="5933440"/>
            <wp:effectExtent l="0" t="0" r="0" b="0"/>
            <wp:docPr id="14782208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22088" name="Picture 147822088"/>
                    <pic:cNvPicPr/>
                  </pic:nvPicPr>
                  <pic:blipFill>
                    <a:blip r:embed="rId11"/>
                    <a:stretch>
                      <a:fillRect/>
                    </a:stretch>
                  </pic:blipFill>
                  <pic:spPr>
                    <a:xfrm>
                      <a:off x="0" y="0"/>
                      <a:ext cx="5731510" cy="5933440"/>
                    </a:xfrm>
                    <a:prstGeom prst="rect">
                      <a:avLst/>
                    </a:prstGeom>
                  </pic:spPr>
                </pic:pic>
              </a:graphicData>
            </a:graphic>
          </wp:inline>
        </w:drawing>
      </w:r>
    </w:p>
    <w:p w14:paraId="479422D2" w14:textId="6732BAA6" w:rsidR="00925E17" w:rsidRPr="00C428D5" w:rsidRDefault="00925E17" w:rsidP="00925E17">
      <w:pPr>
        <w:pStyle w:val="NormalWeb"/>
        <w:spacing w:line="360" w:lineRule="auto"/>
        <w:jc w:val="both"/>
        <w:rPr>
          <w:color w:val="000000"/>
          <w:sz w:val="20"/>
          <w:szCs w:val="20"/>
          <w:lang w:val="en-US"/>
        </w:rPr>
      </w:pPr>
      <w:r w:rsidRPr="00C428D5">
        <w:rPr>
          <w:rStyle w:val="Strong"/>
          <w:rFonts w:eastAsia="Arial"/>
          <w:color w:val="000000"/>
          <w:sz w:val="20"/>
          <w:szCs w:val="20"/>
          <w:lang w:val="en-US"/>
        </w:rPr>
        <w:t xml:space="preserve">Supplementary Figure </w:t>
      </w:r>
      <w:r w:rsidR="00581FD5" w:rsidRPr="00C428D5">
        <w:rPr>
          <w:rStyle w:val="Strong"/>
          <w:rFonts w:eastAsia="Arial"/>
          <w:color w:val="000000"/>
          <w:sz w:val="20"/>
          <w:szCs w:val="20"/>
          <w:lang w:val="en-US"/>
        </w:rPr>
        <w:t>7</w:t>
      </w:r>
      <w:r w:rsidRPr="00C428D5">
        <w:rPr>
          <w:rStyle w:val="Strong"/>
          <w:rFonts w:eastAsia="Arial"/>
          <w:color w:val="000000"/>
          <w:sz w:val="20"/>
          <w:szCs w:val="20"/>
          <w:lang w:val="en-US"/>
        </w:rPr>
        <w:t xml:space="preserve">: </w:t>
      </w:r>
      <w:proofErr w:type="spellStart"/>
      <w:r w:rsidRPr="00C428D5">
        <w:rPr>
          <w:rStyle w:val="Strong"/>
          <w:rFonts w:eastAsia="Arial"/>
          <w:color w:val="000000"/>
          <w:sz w:val="20"/>
          <w:szCs w:val="20"/>
          <w:lang w:val="en-US"/>
        </w:rPr>
        <w:t>MetaDeconfoundR</w:t>
      </w:r>
      <w:proofErr w:type="spellEnd"/>
      <w:r w:rsidRPr="00C428D5">
        <w:rPr>
          <w:rStyle w:val="Strong"/>
          <w:rFonts w:eastAsia="Arial"/>
          <w:color w:val="000000"/>
          <w:sz w:val="20"/>
          <w:szCs w:val="20"/>
          <w:lang w:val="en-US"/>
        </w:rPr>
        <w:t xml:space="preserve"> Analysis of MGS and Serum Metabolites Across Individual Components of the QASD Score</w:t>
      </w:r>
    </w:p>
    <w:p w14:paraId="1908B3EC" w14:textId="77777777" w:rsidR="00925E17" w:rsidRPr="00C428D5" w:rsidRDefault="00925E17" w:rsidP="00925E17">
      <w:pPr>
        <w:pStyle w:val="NormalWeb"/>
        <w:spacing w:line="360" w:lineRule="auto"/>
        <w:jc w:val="both"/>
        <w:rPr>
          <w:color w:val="000000"/>
          <w:sz w:val="20"/>
          <w:szCs w:val="20"/>
          <w:lang w:val="en-US"/>
        </w:rPr>
      </w:pPr>
      <w:r w:rsidRPr="00C428D5">
        <w:rPr>
          <w:rStyle w:val="Strong"/>
          <w:rFonts w:eastAsia="Arial"/>
          <w:color w:val="000000"/>
          <w:sz w:val="20"/>
          <w:szCs w:val="20"/>
          <w:lang w:val="en-US"/>
        </w:rPr>
        <w:t>(A)</w:t>
      </w:r>
      <w:r w:rsidRPr="00C428D5">
        <w:rPr>
          <w:rStyle w:val="apple-converted-space"/>
          <w:rFonts w:eastAsia="Arial"/>
          <w:color w:val="000000"/>
          <w:sz w:val="20"/>
          <w:szCs w:val="20"/>
          <w:lang w:val="en-US"/>
        </w:rPr>
        <w:t> </w:t>
      </w:r>
      <w:r w:rsidRPr="00C428D5">
        <w:rPr>
          <w:color w:val="000000"/>
          <w:sz w:val="20"/>
          <w:szCs w:val="20"/>
          <w:lang w:val="en-US"/>
        </w:rPr>
        <w:t xml:space="preserve">Venn diagram showing overlaps among 141 metagenomic species (MGS) with strictly </w:t>
      </w:r>
      <w:proofErr w:type="spellStart"/>
      <w:r w:rsidRPr="00C428D5">
        <w:rPr>
          <w:color w:val="000000"/>
          <w:sz w:val="20"/>
          <w:szCs w:val="20"/>
          <w:lang w:val="en-US"/>
        </w:rPr>
        <w:t>deconfounded</w:t>
      </w:r>
      <w:proofErr w:type="spellEnd"/>
      <w:r w:rsidRPr="00C428D5">
        <w:rPr>
          <w:color w:val="000000"/>
          <w:sz w:val="20"/>
          <w:szCs w:val="20"/>
          <w:lang w:val="en-US"/>
        </w:rPr>
        <w:t xml:space="preserve"> status (</w:t>
      </w:r>
      <w:proofErr w:type="spellStart"/>
      <w:r w:rsidRPr="00C428D5">
        <w:rPr>
          <w:color w:val="000000"/>
          <w:sz w:val="20"/>
          <w:szCs w:val="20"/>
          <w:lang w:val="en-US"/>
        </w:rPr>
        <w:t>OK_sd</w:t>
      </w:r>
      <w:proofErr w:type="spellEnd"/>
      <w:r w:rsidRPr="00C428D5">
        <w:rPr>
          <w:color w:val="000000"/>
          <w:sz w:val="20"/>
          <w:szCs w:val="20"/>
          <w:lang w:val="en-US"/>
        </w:rPr>
        <w:t xml:space="preserve">) based on intake of metformin, statin, PPI, and </w:t>
      </w:r>
      <w:proofErr w:type="spellStart"/>
      <w:r w:rsidRPr="00C428D5">
        <w:rPr>
          <w:color w:val="000000"/>
          <w:sz w:val="20"/>
          <w:szCs w:val="20"/>
          <w:lang w:val="en-US"/>
        </w:rPr>
        <w:t>MetaCardis</w:t>
      </w:r>
      <w:proofErr w:type="spellEnd"/>
      <w:r w:rsidRPr="00C428D5">
        <w:rPr>
          <w:color w:val="000000"/>
          <w:sz w:val="20"/>
          <w:szCs w:val="20"/>
          <w:lang w:val="en-US"/>
        </w:rPr>
        <w:t xml:space="preserve"> clinical groups according to </w:t>
      </w:r>
      <w:proofErr w:type="spellStart"/>
      <w:r w:rsidRPr="00C428D5">
        <w:rPr>
          <w:color w:val="000000"/>
          <w:sz w:val="20"/>
          <w:szCs w:val="20"/>
          <w:lang w:val="en-US"/>
        </w:rPr>
        <w:t>metadeconfoundR</w:t>
      </w:r>
      <w:proofErr w:type="spellEnd"/>
      <w:r w:rsidRPr="00C428D5">
        <w:rPr>
          <w:color w:val="000000"/>
          <w:sz w:val="20"/>
          <w:szCs w:val="20"/>
          <w:lang w:val="en-US"/>
        </w:rPr>
        <w:t xml:space="preserve"> results, comparing the extremes of the QASD score (high vs. low) and its individual components (FDR &lt; 0.1, Cliff’s delta effect sizes &gt; 0.1).</w:t>
      </w:r>
    </w:p>
    <w:p w14:paraId="7DEB3235" w14:textId="77777777" w:rsidR="00925E17" w:rsidRPr="00C428D5" w:rsidRDefault="00925E17" w:rsidP="00925E17">
      <w:pPr>
        <w:pStyle w:val="NormalWeb"/>
        <w:spacing w:line="360" w:lineRule="auto"/>
        <w:jc w:val="both"/>
        <w:rPr>
          <w:color w:val="000000"/>
          <w:sz w:val="20"/>
          <w:szCs w:val="20"/>
          <w:lang w:val="en-US"/>
        </w:rPr>
      </w:pPr>
      <w:r w:rsidRPr="00C428D5">
        <w:rPr>
          <w:rStyle w:val="Strong"/>
          <w:rFonts w:eastAsia="Arial"/>
          <w:color w:val="000000"/>
          <w:sz w:val="20"/>
          <w:szCs w:val="20"/>
          <w:lang w:val="en-US"/>
        </w:rPr>
        <w:t>(B)</w:t>
      </w:r>
      <w:r w:rsidRPr="00C428D5">
        <w:rPr>
          <w:rStyle w:val="apple-converted-space"/>
          <w:rFonts w:eastAsia="Arial"/>
          <w:color w:val="000000"/>
          <w:sz w:val="20"/>
          <w:szCs w:val="20"/>
          <w:lang w:val="en-US"/>
        </w:rPr>
        <w:t> </w:t>
      </w:r>
      <w:r w:rsidRPr="00C428D5">
        <w:rPr>
          <w:color w:val="000000"/>
          <w:sz w:val="20"/>
          <w:szCs w:val="20"/>
          <w:lang w:val="en-US"/>
        </w:rPr>
        <w:t xml:space="preserve">Venn diagram showing overlaps among 19 MGS with strictly </w:t>
      </w:r>
      <w:proofErr w:type="spellStart"/>
      <w:r w:rsidRPr="00C428D5">
        <w:rPr>
          <w:color w:val="000000"/>
          <w:sz w:val="20"/>
          <w:szCs w:val="20"/>
          <w:lang w:val="en-US"/>
        </w:rPr>
        <w:t>deconfounded</w:t>
      </w:r>
      <w:proofErr w:type="spellEnd"/>
      <w:r w:rsidRPr="00C428D5">
        <w:rPr>
          <w:color w:val="000000"/>
          <w:sz w:val="20"/>
          <w:szCs w:val="20"/>
          <w:lang w:val="en-US"/>
        </w:rPr>
        <w:t xml:space="preserve"> status (</w:t>
      </w:r>
      <w:proofErr w:type="spellStart"/>
      <w:r w:rsidRPr="00C428D5">
        <w:rPr>
          <w:color w:val="000000"/>
          <w:sz w:val="20"/>
          <w:szCs w:val="20"/>
          <w:lang w:val="en-US"/>
        </w:rPr>
        <w:t>OK_sd</w:t>
      </w:r>
      <w:proofErr w:type="spellEnd"/>
      <w:r w:rsidRPr="00C428D5">
        <w:rPr>
          <w:color w:val="000000"/>
          <w:sz w:val="20"/>
          <w:szCs w:val="20"/>
          <w:lang w:val="en-US"/>
        </w:rPr>
        <w:t>) under the same conditions as in (A), with Cliff’s delta effect sizes &lt; -0.1.</w:t>
      </w:r>
      <w:r w:rsidRPr="00C428D5">
        <w:rPr>
          <w:rStyle w:val="Strong"/>
          <w:rFonts w:eastAsia="Arial"/>
          <w:color w:val="000000"/>
          <w:sz w:val="20"/>
          <w:szCs w:val="20"/>
          <w:lang w:val="en-US"/>
        </w:rPr>
        <w:t xml:space="preserve"> (C)</w:t>
      </w:r>
      <w:r w:rsidRPr="00C428D5">
        <w:rPr>
          <w:rStyle w:val="apple-converted-space"/>
          <w:rFonts w:eastAsia="Arial"/>
          <w:color w:val="000000"/>
          <w:sz w:val="20"/>
          <w:szCs w:val="20"/>
          <w:lang w:val="en-US"/>
        </w:rPr>
        <w:t> </w:t>
      </w:r>
      <w:r w:rsidRPr="00C428D5">
        <w:rPr>
          <w:color w:val="000000"/>
          <w:sz w:val="20"/>
          <w:szCs w:val="20"/>
          <w:lang w:val="en-US"/>
        </w:rPr>
        <w:t>Violin plots depicting the distribution of Cliff’s delta effect sizes for MGS in panels (A) and (B) across tested variables (x-axis). Numbers in brackets represent p-values from pairwise Wilcoxon rank-sum tests comparing the QASD score against its individual components.</w:t>
      </w:r>
      <w:r w:rsidRPr="00C428D5">
        <w:rPr>
          <w:rStyle w:val="Strong"/>
          <w:rFonts w:eastAsia="Arial"/>
          <w:color w:val="000000"/>
          <w:sz w:val="20"/>
          <w:szCs w:val="20"/>
          <w:lang w:val="en-US"/>
        </w:rPr>
        <w:t xml:space="preserve"> </w:t>
      </w:r>
      <w:r w:rsidRPr="00C428D5">
        <w:rPr>
          <w:rStyle w:val="Strong"/>
          <w:rFonts w:eastAsia="Arial"/>
          <w:color w:val="000000"/>
          <w:sz w:val="20"/>
          <w:szCs w:val="20"/>
          <w:lang w:val="en-US"/>
        </w:rPr>
        <w:lastRenderedPageBreak/>
        <w:t>(D-G)</w:t>
      </w:r>
      <w:r w:rsidRPr="00C428D5">
        <w:rPr>
          <w:rStyle w:val="apple-converted-space"/>
          <w:rFonts w:eastAsia="Arial"/>
          <w:color w:val="000000"/>
          <w:sz w:val="20"/>
          <w:szCs w:val="20"/>
          <w:lang w:val="en-US"/>
        </w:rPr>
        <w:t> </w:t>
      </w:r>
      <w:r w:rsidRPr="00C428D5">
        <w:rPr>
          <w:color w:val="000000"/>
          <w:sz w:val="20"/>
          <w:szCs w:val="20"/>
          <w:lang w:val="en-US"/>
        </w:rPr>
        <w:t>Scatterplots of Cliff’s delta effect sizes for MGS in panels (A) and (B), comparing the QASD score (high vs. low; x-axis) with each of its individual components (y-axis).</w:t>
      </w:r>
      <w:r w:rsidRPr="00C428D5">
        <w:rPr>
          <w:rStyle w:val="Strong"/>
          <w:rFonts w:eastAsia="Arial"/>
          <w:color w:val="000000"/>
          <w:sz w:val="20"/>
          <w:szCs w:val="20"/>
          <w:lang w:val="en-US"/>
        </w:rPr>
        <w:t xml:space="preserve"> (H)</w:t>
      </w:r>
      <w:r w:rsidRPr="00C428D5">
        <w:rPr>
          <w:rStyle w:val="apple-converted-space"/>
          <w:rFonts w:eastAsia="Arial"/>
          <w:color w:val="000000"/>
          <w:sz w:val="20"/>
          <w:szCs w:val="20"/>
          <w:lang w:val="en-US"/>
        </w:rPr>
        <w:t> </w:t>
      </w:r>
      <w:r w:rsidRPr="00C428D5">
        <w:rPr>
          <w:color w:val="000000"/>
          <w:sz w:val="20"/>
          <w:szCs w:val="20"/>
          <w:lang w:val="en-US"/>
        </w:rPr>
        <w:t xml:space="preserve">Venn diagram showing overlaps among 371 serum metabolites with strictly </w:t>
      </w:r>
      <w:proofErr w:type="spellStart"/>
      <w:r w:rsidRPr="00C428D5">
        <w:rPr>
          <w:color w:val="000000"/>
          <w:sz w:val="20"/>
          <w:szCs w:val="20"/>
          <w:lang w:val="en-US"/>
        </w:rPr>
        <w:t>deconfounded</w:t>
      </w:r>
      <w:proofErr w:type="spellEnd"/>
      <w:r w:rsidRPr="00C428D5">
        <w:rPr>
          <w:color w:val="000000"/>
          <w:sz w:val="20"/>
          <w:szCs w:val="20"/>
          <w:lang w:val="en-US"/>
        </w:rPr>
        <w:t xml:space="preserve"> status (</w:t>
      </w:r>
      <w:proofErr w:type="spellStart"/>
      <w:r w:rsidRPr="00C428D5">
        <w:rPr>
          <w:color w:val="000000"/>
          <w:sz w:val="20"/>
          <w:szCs w:val="20"/>
          <w:lang w:val="en-US"/>
        </w:rPr>
        <w:t>OK_sd</w:t>
      </w:r>
      <w:proofErr w:type="spellEnd"/>
      <w:r w:rsidRPr="00C428D5">
        <w:rPr>
          <w:color w:val="000000"/>
          <w:sz w:val="20"/>
          <w:szCs w:val="20"/>
          <w:lang w:val="en-US"/>
        </w:rPr>
        <w:t xml:space="preserve">) based on intake of metformin, statin, PPI, and </w:t>
      </w:r>
      <w:proofErr w:type="spellStart"/>
      <w:r w:rsidRPr="00C428D5">
        <w:rPr>
          <w:color w:val="000000"/>
          <w:sz w:val="20"/>
          <w:szCs w:val="20"/>
          <w:lang w:val="en-US"/>
        </w:rPr>
        <w:t>MetaCardis</w:t>
      </w:r>
      <w:proofErr w:type="spellEnd"/>
      <w:r w:rsidRPr="00C428D5">
        <w:rPr>
          <w:color w:val="000000"/>
          <w:sz w:val="20"/>
          <w:szCs w:val="20"/>
          <w:lang w:val="en-US"/>
        </w:rPr>
        <w:t xml:space="preserve"> clinical groups, comparing the extremes of the QASD score or its individual components (FDR &lt; 0.1, Cliff’s delta effect sizes &gt; 0.1).</w:t>
      </w:r>
      <w:r w:rsidRPr="00C428D5">
        <w:rPr>
          <w:rStyle w:val="Strong"/>
          <w:rFonts w:eastAsia="Arial"/>
          <w:color w:val="000000"/>
          <w:sz w:val="20"/>
          <w:szCs w:val="20"/>
          <w:lang w:val="en-US"/>
        </w:rPr>
        <w:t xml:space="preserve"> (I)</w:t>
      </w:r>
      <w:r w:rsidRPr="00C428D5">
        <w:rPr>
          <w:rStyle w:val="apple-converted-space"/>
          <w:rFonts w:eastAsia="Arial"/>
          <w:color w:val="000000"/>
          <w:sz w:val="20"/>
          <w:szCs w:val="20"/>
          <w:lang w:val="en-US"/>
        </w:rPr>
        <w:t> </w:t>
      </w:r>
      <w:r w:rsidRPr="00C428D5">
        <w:rPr>
          <w:color w:val="000000"/>
          <w:sz w:val="20"/>
          <w:szCs w:val="20"/>
          <w:lang w:val="en-US"/>
        </w:rPr>
        <w:t xml:space="preserve">Venn diagram showing overlaps among 315 serum metabolites with strictly </w:t>
      </w:r>
      <w:proofErr w:type="spellStart"/>
      <w:r w:rsidRPr="00C428D5">
        <w:rPr>
          <w:color w:val="000000"/>
          <w:sz w:val="20"/>
          <w:szCs w:val="20"/>
          <w:lang w:val="en-US"/>
        </w:rPr>
        <w:t>deconfounded</w:t>
      </w:r>
      <w:proofErr w:type="spellEnd"/>
      <w:r w:rsidRPr="00C428D5">
        <w:rPr>
          <w:color w:val="000000"/>
          <w:sz w:val="20"/>
          <w:szCs w:val="20"/>
          <w:lang w:val="en-US"/>
        </w:rPr>
        <w:t xml:space="preserve"> status (</w:t>
      </w:r>
      <w:proofErr w:type="spellStart"/>
      <w:r w:rsidRPr="00C428D5">
        <w:rPr>
          <w:color w:val="000000"/>
          <w:sz w:val="20"/>
          <w:szCs w:val="20"/>
          <w:lang w:val="en-US"/>
        </w:rPr>
        <w:t>OK_sd</w:t>
      </w:r>
      <w:proofErr w:type="spellEnd"/>
      <w:r w:rsidRPr="00C428D5">
        <w:rPr>
          <w:color w:val="000000"/>
          <w:sz w:val="20"/>
          <w:szCs w:val="20"/>
          <w:lang w:val="en-US"/>
        </w:rPr>
        <w:t>) under the same conditions as in (H), with Cliff’s delta effect sizes &lt; -0.1.</w:t>
      </w:r>
      <w:r w:rsidRPr="00C428D5">
        <w:rPr>
          <w:rStyle w:val="Strong"/>
          <w:rFonts w:eastAsia="Arial"/>
          <w:color w:val="000000"/>
          <w:sz w:val="20"/>
          <w:szCs w:val="20"/>
          <w:lang w:val="en-US"/>
        </w:rPr>
        <w:t xml:space="preserve"> (J)</w:t>
      </w:r>
      <w:r w:rsidRPr="00C428D5">
        <w:rPr>
          <w:rStyle w:val="apple-converted-space"/>
          <w:rFonts w:eastAsia="Arial"/>
          <w:color w:val="000000"/>
          <w:sz w:val="20"/>
          <w:szCs w:val="20"/>
          <w:lang w:val="en-US"/>
        </w:rPr>
        <w:t> </w:t>
      </w:r>
      <w:r w:rsidRPr="00C428D5">
        <w:rPr>
          <w:color w:val="000000"/>
          <w:sz w:val="20"/>
          <w:szCs w:val="20"/>
          <w:lang w:val="en-US"/>
        </w:rPr>
        <w:t>Violin plots showing the distribution of Cliff’s delta effect sizes for serum metabolites in panels (H) and (I) across tested variables (x-axis). Numbers in brackets correspond to p-values from pairwise Wilcoxon rank-sum tests (QASD score vs. its individual components).</w:t>
      </w:r>
      <w:r w:rsidRPr="00C428D5">
        <w:rPr>
          <w:rStyle w:val="Strong"/>
          <w:rFonts w:eastAsia="Arial"/>
          <w:color w:val="000000"/>
          <w:sz w:val="20"/>
          <w:szCs w:val="20"/>
          <w:lang w:val="en-US"/>
        </w:rPr>
        <w:t xml:space="preserve"> (K-N)</w:t>
      </w:r>
      <w:r w:rsidRPr="00C428D5">
        <w:rPr>
          <w:rStyle w:val="apple-converted-space"/>
          <w:rFonts w:eastAsia="Arial"/>
          <w:color w:val="000000"/>
          <w:sz w:val="20"/>
          <w:szCs w:val="20"/>
          <w:lang w:val="en-US"/>
        </w:rPr>
        <w:t> </w:t>
      </w:r>
      <w:r w:rsidRPr="00C428D5">
        <w:rPr>
          <w:color w:val="000000"/>
          <w:sz w:val="20"/>
          <w:szCs w:val="20"/>
          <w:lang w:val="en-US"/>
        </w:rPr>
        <w:t>Scatterplots of Cliff’s delta effect sizes for serum metabolites in panels (H) and (I), comparing the QASD score (high vs. low; x-axis) with its individual components (y-axis).</w:t>
      </w:r>
    </w:p>
    <w:p w14:paraId="42F2146A" w14:textId="77777777" w:rsidR="00925E17" w:rsidRPr="00C428D5" w:rsidRDefault="00925E17" w:rsidP="00925E17">
      <w:pPr>
        <w:pStyle w:val="NormalWeb"/>
        <w:spacing w:line="360" w:lineRule="auto"/>
        <w:jc w:val="both"/>
        <w:rPr>
          <w:color w:val="000000"/>
          <w:sz w:val="20"/>
          <w:szCs w:val="20"/>
          <w:lang w:val="en-US"/>
        </w:rPr>
      </w:pPr>
      <w:r w:rsidRPr="00C428D5">
        <w:rPr>
          <w:color w:val="000000"/>
          <w:sz w:val="20"/>
          <w:szCs w:val="20"/>
          <w:lang w:val="en-US"/>
        </w:rPr>
        <w:t xml:space="preserve">Positive Cliff’s delta values in Venn diagrams and scatterplots indicate MGS or serum metabolites enriched in individuals in the third tertile of the numerical variables included in the QASD score (e.g., AHEI, Diversity Simpson for all diet without beverages, total physical activity), in non-smokers, or in those with a high QASD score. Negative Cliff’s delta values indicate enrichment in individuals in the first tertile, in smokers, or in those with a low QASD score. Spearman's rho and the corresponding p-values are provided for each scatterplot, along with the fitted regression line. Points are colored according to the feature status in each </w:t>
      </w:r>
      <w:proofErr w:type="spellStart"/>
      <w:r w:rsidRPr="00C428D5">
        <w:rPr>
          <w:color w:val="000000"/>
          <w:sz w:val="20"/>
          <w:szCs w:val="20"/>
          <w:lang w:val="en-US"/>
        </w:rPr>
        <w:t>metadeconfoundR</w:t>
      </w:r>
      <w:proofErr w:type="spellEnd"/>
      <w:r w:rsidRPr="00C428D5">
        <w:rPr>
          <w:color w:val="000000"/>
          <w:sz w:val="20"/>
          <w:szCs w:val="20"/>
          <w:lang w:val="en-US"/>
        </w:rPr>
        <w:t xml:space="preserve"> analysis (</w:t>
      </w:r>
      <w:proofErr w:type="spellStart"/>
      <w:r w:rsidRPr="00C428D5">
        <w:rPr>
          <w:color w:val="000000"/>
          <w:sz w:val="20"/>
          <w:szCs w:val="20"/>
          <w:lang w:val="en-US"/>
        </w:rPr>
        <w:t>OK_sd</w:t>
      </w:r>
      <w:proofErr w:type="spellEnd"/>
      <w:r w:rsidRPr="00C428D5">
        <w:rPr>
          <w:color w:val="000000"/>
          <w:sz w:val="20"/>
          <w:szCs w:val="20"/>
          <w:lang w:val="en-US"/>
        </w:rPr>
        <w:t xml:space="preserve">: Strictly </w:t>
      </w:r>
      <w:proofErr w:type="spellStart"/>
      <w:r w:rsidRPr="00C428D5">
        <w:rPr>
          <w:color w:val="000000"/>
          <w:sz w:val="20"/>
          <w:szCs w:val="20"/>
          <w:lang w:val="en-US"/>
        </w:rPr>
        <w:t>deconfounded</w:t>
      </w:r>
      <w:proofErr w:type="spellEnd"/>
      <w:r w:rsidRPr="00C428D5">
        <w:rPr>
          <w:color w:val="000000"/>
          <w:sz w:val="20"/>
          <w:szCs w:val="20"/>
          <w:lang w:val="en-US"/>
        </w:rPr>
        <w:t xml:space="preserve"> status, FDR &lt; 0.01, absolute Cliff’s delta effect size &gt; 0.1). Full results are available in Supplementary Table S8.</w:t>
      </w:r>
    </w:p>
    <w:p w14:paraId="5C05F568" w14:textId="77777777" w:rsidR="00925E17" w:rsidRPr="00C428D5" w:rsidRDefault="00925E17" w:rsidP="00925E17">
      <w:pPr>
        <w:pStyle w:val="NormalWeb"/>
        <w:spacing w:line="360" w:lineRule="auto"/>
        <w:jc w:val="both"/>
        <w:rPr>
          <w:sz w:val="20"/>
          <w:szCs w:val="20"/>
          <w:lang w:val="en-US"/>
        </w:rPr>
      </w:pPr>
    </w:p>
    <w:p w14:paraId="6BA47AE2" w14:textId="1A5BC4BB" w:rsidR="00925E17" w:rsidRPr="00C428D5" w:rsidRDefault="00644227" w:rsidP="00925E17">
      <w:pPr>
        <w:ind w:firstLine="0"/>
        <w:rPr>
          <w:sz w:val="22"/>
          <w:szCs w:val="22"/>
        </w:rPr>
      </w:pPr>
      <w:r w:rsidRPr="00C428D5">
        <w:rPr>
          <w:noProof/>
          <w:sz w:val="22"/>
          <w:szCs w:val="22"/>
          <w14:ligatures w14:val="standardContextual"/>
        </w:rPr>
        <w:lastRenderedPageBreak/>
        <w:drawing>
          <wp:inline distT="0" distB="0" distL="0" distR="0" wp14:anchorId="4D96EED5" wp14:editId="1BCEDA82">
            <wp:extent cx="5731510" cy="5299075"/>
            <wp:effectExtent l="0" t="0" r="0" b="0"/>
            <wp:docPr id="26867010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670101" name="Picture 268670101"/>
                    <pic:cNvPicPr/>
                  </pic:nvPicPr>
                  <pic:blipFill>
                    <a:blip r:embed="rId12"/>
                    <a:stretch>
                      <a:fillRect/>
                    </a:stretch>
                  </pic:blipFill>
                  <pic:spPr>
                    <a:xfrm>
                      <a:off x="0" y="0"/>
                      <a:ext cx="5731510" cy="5299075"/>
                    </a:xfrm>
                    <a:prstGeom prst="rect">
                      <a:avLst/>
                    </a:prstGeom>
                  </pic:spPr>
                </pic:pic>
              </a:graphicData>
            </a:graphic>
          </wp:inline>
        </w:drawing>
      </w:r>
    </w:p>
    <w:p w14:paraId="200B23B8" w14:textId="2CC1425B" w:rsidR="00925E17" w:rsidRPr="00C428D5" w:rsidRDefault="00925E17" w:rsidP="00925E17">
      <w:pPr>
        <w:pStyle w:val="NormalWeb"/>
        <w:spacing w:line="360" w:lineRule="auto"/>
        <w:jc w:val="both"/>
        <w:rPr>
          <w:color w:val="000000"/>
          <w:sz w:val="20"/>
          <w:szCs w:val="20"/>
          <w:lang w:val="en-US"/>
        </w:rPr>
      </w:pPr>
      <w:r w:rsidRPr="00C428D5">
        <w:rPr>
          <w:rStyle w:val="Strong"/>
          <w:rFonts w:eastAsia="Arial"/>
          <w:color w:val="000000"/>
          <w:sz w:val="20"/>
          <w:szCs w:val="20"/>
          <w:lang w:val="en-US"/>
        </w:rPr>
        <w:t xml:space="preserve">Supplementary Figure </w:t>
      </w:r>
      <w:r w:rsidR="00581FD5" w:rsidRPr="00C428D5">
        <w:rPr>
          <w:rStyle w:val="Strong"/>
          <w:rFonts w:eastAsia="Arial"/>
          <w:color w:val="000000"/>
          <w:sz w:val="20"/>
          <w:szCs w:val="20"/>
          <w:lang w:val="en-US"/>
        </w:rPr>
        <w:t>8</w:t>
      </w:r>
      <w:r w:rsidRPr="00C428D5">
        <w:rPr>
          <w:rStyle w:val="Strong"/>
          <w:rFonts w:eastAsia="Arial"/>
          <w:color w:val="000000"/>
          <w:sz w:val="20"/>
          <w:szCs w:val="20"/>
          <w:lang w:val="en-US"/>
        </w:rPr>
        <w:t>: Summary of Significant Causal Mediation Relationships Between MGS and Serum Metabolites Across Extremes of the QASD Score</w:t>
      </w:r>
    </w:p>
    <w:p w14:paraId="666607CF" w14:textId="2615A944" w:rsidR="00925E17" w:rsidRPr="00C428D5" w:rsidRDefault="00925E17" w:rsidP="00925E17">
      <w:pPr>
        <w:pStyle w:val="NormalWeb"/>
        <w:spacing w:line="360" w:lineRule="auto"/>
        <w:jc w:val="both"/>
        <w:rPr>
          <w:color w:val="000000"/>
          <w:sz w:val="20"/>
          <w:szCs w:val="20"/>
          <w:lang w:val="en-US"/>
        </w:rPr>
      </w:pPr>
      <w:r w:rsidRPr="00C428D5">
        <w:rPr>
          <w:color w:val="000000"/>
          <w:sz w:val="20"/>
          <w:szCs w:val="20"/>
          <w:lang w:val="en-US"/>
        </w:rPr>
        <w:t xml:space="preserve">Alluvial diagram illustrating the </w:t>
      </w:r>
      <w:r w:rsidR="00581FD5" w:rsidRPr="00C428D5">
        <w:rPr>
          <w:color w:val="000000"/>
          <w:sz w:val="20"/>
          <w:szCs w:val="20"/>
          <w:lang w:val="en-US"/>
        </w:rPr>
        <w:t>3457</w:t>
      </w:r>
      <w:r w:rsidRPr="00C428D5">
        <w:rPr>
          <w:color w:val="000000"/>
          <w:sz w:val="20"/>
          <w:szCs w:val="20"/>
          <w:lang w:val="en-US"/>
        </w:rPr>
        <w:t xml:space="preserve"> significant causal mediation relationships between the extremes of the QASD score (high vs. low; FDR &lt; 0.05 for Average Causal Mediation Effect (ACME), Average Direct Effect (ADE), and Total effect) under same adjustment framework) as summarized in main Figure 6B. The diagram decomposes these relationships by the sign of the beta coefficients in three components: the QASD component of the ACME, the mediator component of the ACME, and the total effect of the QASD score on the dependent variable.</w:t>
      </w:r>
    </w:p>
    <w:p w14:paraId="7346725A" w14:textId="77777777" w:rsidR="00925E17" w:rsidRPr="00C428D5" w:rsidRDefault="00925E17" w:rsidP="00925E17">
      <w:pPr>
        <w:pStyle w:val="NormalWeb"/>
        <w:spacing w:line="360" w:lineRule="auto"/>
        <w:jc w:val="both"/>
        <w:rPr>
          <w:color w:val="000000"/>
          <w:sz w:val="20"/>
          <w:szCs w:val="20"/>
          <w:lang w:val="en-US"/>
        </w:rPr>
      </w:pPr>
      <w:r w:rsidRPr="00C428D5">
        <w:rPr>
          <w:color w:val="000000"/>
          <w:sz w:val="20"/>
          <w:szCs w:val="20"/>
          <w:lang w:val="en-US"/>
        </w:rPr>
        <w:t>Positive mediations are defined as those where the sign of the mediator component of the ACME is positive (indicating a positive association between serum metabolites and MGS), while negative mediations have a negative mediator component (indicating a negative association between serum metabolites and MGS). Mediations are further stratified by the proportion of the mediation effect.</w:t>
      </w:r>
    </w:p>
    <w:p w14:paraId="709DE4F2" w14:textId="77777777" w:rsidR="00925E17" w:rsidRPr="00C428D5" w:rsidRDefault="00925E17" w:rsidP="00925E17">
      <w:pPr>
        <w:pStyle w:val="NormalWeb"/>
        <w:spacing w:line="360" w:lineRule="auto"/>
        <w:jc w:val="both"/>
        <w:rPr>
          <w:color w:val="000000"/>
          <w:sz w:val="20"/>
          <w:szCs w:val="20"/>
          <w:lang w:val="en-US"/>
        </w:rPr>
      </w:pPr>
      <w:r w:rsidRPr="00C428D5">
        <w:rPr>
          <w:rStyle w:val="Strong"/>
          <w:rFonts w:eastAsia="Arial"/>
          <w:color w:val="000000"/>
          <w:sz w:val="20"/>
          <w:szCs w:val="20"/>
          <w:lang w:val="en-US"/>
        </w:rPr>
        <w:lastRenderedPageBreak/>
        <w:t>Panels A and B</w:t>
      </w:r>
      <w:r w:rsidRPr="00C428D5">
        <w:rPr>
          <w:rStyle w:val="apple-converted-space"/>
          <w:rFonts w:eastAsia="Arial"/>
          <w:color w:val="000000"/>
          <w:sz w:val="20"/>
          <w:szCs w:val="20"/>
          <w:lang w:val="en-US"/>
        </w:rPr>
        <w:t> </w:t>
      </w:r>
      <w:r w:rsidRPr="00C428D5">
        <w:rPr>
          <w:color w:val="000000"/>
          <w:sz w:val="20"/>
          <w:szCs w:val="20"/>
          <w:lang w:val="en-US"/>
        </w:rPr>
        <w:t>represent specific pairs of MGS and serum metabolites with significant mediation relationships in</w:t>
      </w:r>
      <w:r w:rsidRPr="00C428D5">
        <w:rPr>
          <w:rStyle w:val="apple-converted-space"/>
          <w:rFonts w:eastAsia="Arial"/>
          <w:color w:val="000000"/>
          <w:sz w:val="20"/>
          <w:szCs w:val="20"/>
          <w:lang w:val="en-US"/>
        </w:rPr>
        <w:t> </w:t>
      </w:r>
      <w:r w:rsidRPr="00C428D5">
        <w:rPr>
          <w:rStyle w:val="Strong"/>
          <w:rFonts w:eastAsia="Arial"/>
          <w:color w:val="000000"/>
          <w:sz w:val="20"/>
          <w:szCs w:val="20"/>
          <w:lang w:val="en-US"/>
        </w:rPr>
        <w:t>Direction 1</w:t>
      </w:r>
      <w:r w:rsidRPr="00C428D5">
        <w:rPr>
          <w:rStyle w:val="apple-converted-space"/>
          <w:rFonts w:eastAsia="Arial"/>
          <w:color w:val="000000"/>
          <w:sz w:val="20"/>
          <w:szCs w:val="20"/>
          <w:lang w:val="en-US"/>
        </w:rPr>
        <w:t> </w:t>
      </w:r>
      <w:r w:rsidRPr="00C428D5">
        <w:rPr>
          <w:color w:val="000000"/>
          <w:sz w:val="20"/>
          <w:szCs w:val="20"/>
          <w:lang w:val="en-US"/>
        </w:rPr>
        <w:t>(MGS as mediator, serum metabolite as the dependent variable) and</w:t>
      </w:r>
      <w:r w:rsidRPr="00C428D5">
        <w:rPr>
          <w:rStyle w:val="apple-converted-space"/>
          <w:rFonts w:eastAsia="Arial"/>
          <w:color w:val="000000"/>
          <w:sz w:val="20"/>
          <w:szCs w:val="20"/>
          <w:lang w:val="en-US"/>
        </w:rPr>
        <w:t> </w:t>
      </w:r>
      <w:r w:rsidRPr="00C428D5">
        <w:rPr>
          <w:rStyle w:val="Strong"/>
          <w:rFonts w:eastAsia="Arial"/>
          <w:color w:val="000000"/>
          <w:sz w:val="20"/>
          <w:szCs w:val="20"/>
          <w:lang w:val="en-US"/>
        </w:rPr>
        <w:t>Direction 2</w:t>
      </w:r>
      <w:r w:rsidRPr="00C428D5">
        <w:rPr>
          <w:rStyle w:val="apple-converted-space"/>
          <w:rFonts w:eastAsia="Arial"/>
          <w:color w:val="000000"/>
          <w:sz w:val="20"/>
          <w:szCs w:val="20"/>
          <w:lang w:val="en-US"/>
        </w:rPr>
        <w:t> </w:t>
      </w:r>
      <w:r w:rsidRPr="00C428D5">
        <w:rPr>
          <w:color w:val="000000"/>
          <w:sz w:val="20"/>
          <w:szCs w:val="20"/>
          <w:lang w:val="en-US"/>
        </w:rPr>
        <w:t>(serum metabolite as mediator, MGS as the dependent variable), respectively.</w:t>
      </w:r>
      <w:r w:rsidRPr="00C428D5">
        <w:rPr>
          <w:color w:val="000000"/>
          <w:sz w:val="20"/>
          <w:szCs w:val="20"/>
          <w:lang w:val="en-US"/>
        </w:rPr>
        <w:br/>
      </w:r>
      <w:r w:rsidRPr="00C428D5">
        <w:rPr>
          <w:rStyle w:val="Strong"/>
          <w:rFonts w:eastAsia="Arial"/>
          <w:color w:val="000000"/>
          <w:sz w:val="20"/>
          <w:szCs w:val="20"/>
          <w:lang w:val="en-US"/>
        </w:rPr>
        <w:t>Panels C and D</w:t>
      </w:r>
      <w:r w:rsidRPr="00C428D5">
        <w:rPr>
          <w:rStyle w:val="apple-converted-space"/>
          <w:rFonts w:eastAsia="Arial"/>
          <w:color w:val="000000"/>
          <w:sz w:val="20"/>
          <w:szCs w:val="20"/>
          <w:lang w:val="en-US"/>
        </w:rPr>
        <w:t> </w:t>
      </w:r>
      <w:r w:rsidRPr="00C428D5">
        <w:rPr>
          <w:color w:val="000000"/>
          <w:sz w:val="20"/>
          <w:szCs w:val="20"/>
          <w:lang w:val="en-US"/>
        </w:rPr>
        <w:t>display shared pairs of MGS and serum metabolites with significant mediation relationships in both directions.</w:t>
      </w:r>
    </w:p>
    <w:p w14:paraId="54E6CF6F" w14:textId="11DE02DB" w:rsidR="00D1061D" w:rsidRPr="00C428D5" w:rsidRDefault="00D1061D" w:rsidP="00D1061D">
      <w:pPr>
        <w:pStyle w:val="Heading1"/>
        <w:spacing w:line="360" w:lineRule="auto"/>
        <w:jc w:val="both"/>
        <w:rPr>
          <w:rFonts w:ascii="Times New Roman" w:hAnsi="Times New Roman" w:cs="Times New Roman"/>
          <w:sz w:val="20"/>
          <w:szCs w:val="20"/>
        </w:rPr>
      </w:pPr>
      <w:bookmarkStart w:id="1" w:name="_Toc200535374"/>
      <w:r w:rsidRPr="00C428D5">
        <w:rPr>
          <w:rFonts w:ascii="Times New Roman" w:hAnsi="Times New Roman" w:cs="Times New Roman"/>
          <w:sz w:val="20"/>
          <w:szCs w:val="20"/>
        </w:rPr>
        <w:t xml:space="preserve">Supplementary </w:t>
      </w:r>
      <w:r w:rsidR="009B4204" w:rsidRPr="00C428D5">
        <w:rPr>
          <w:rFonts w:ascii="Times New Roman" w:hAnsi="Times New Roman" w:cs="Times New Roman"/>
          <w:sz w:val="20"/>
          <w:szCs w:val="20"/>
        </w:rPr>
        <w:t>R</w:t>
      </w:r>
      <w:r w:rsidRPr="00C428D5">
        <w:rPr>
          <w:rFonts w:ascii="Times New Roman" w:hAnsi="Times New Roman" w:cs="Times New Roman"/>
          <w:sz w:val="20"/>
          <w:szCs w:val="20"/>
        </w:rPr>
        <w:t>esults</w:t>
      </w:r>
      <w:bookmarkEnd w:id="1"/>
    </w:p>
    <w:p w14:paraId="35B0CAAA" w14:textId="77777777" w:rsidR="00D1061D" w:rsidRPr="00C428D5" w:rsidRDefault="00D1061D" w:rsidP="00D1061D">
      <w:pPr>
        <w:ind w:firstLine="0"/>
        <w:rPr>
          <w:rFonts w:ascii="Times New Roman" w:hAnsi="Times New Roman" w:cs="Times New Roman"/>
          <w:b/>
          <w:bCs/>
          <w:sz w:val="20"/>
          <w:szCs w:val="20"/>
        </w:rPr>
      </w:pPr>
      <w:r w:rsidRPr="00C428D5">
        <w:rPr>
          <w:rFonts w:ascii="Times New Roman" w:hAnsi="Times New Roman" w:cs="Times New Roman"/>
          <w:b/>
          <w:bCs/>
          <w:sz w:val="20"/>
          <w:szCs w:val="20"/>
        </w:rPr>
        <w:t>Supplemental results on links between diet and enterotypes</w:t>
      </w:r>
    </w:p>
    <w:p w14:paraId="5A5BA077" w14:textId="6DA1D881" w:rsidR="00D1061D" w:rsidRPr="00C428D5" w:rsidRDefault="00D1061D" w:rsidP="00D1061D">
      <w:pPr>
        <w:ind w:firstLine="0"/>
        <w:rPr>
          <w:rFonts w:ascii="Times New Roman" w:hAnsi="Times New Roman" w:cs="Times New Roman"/>
          <w:sz w:val="20"/>
          <w:szCs w:val="20"/>
        </w:rPr>
      </w:pPr>
      <w:r w:rsidRPr="00C428D5">
        <w:rPr>
          <w:rFonts w:ascii="Times New Roman" w:hAnsi="Times New Roman" w:cs="Times New Roman"/>
          <w:sz w:val="20"/>
          <w:szCs w:val="20"/>
        </w:rPr>
        <w:t xml:space="preserve">Supplementary analyses confirmed and </w:t>
      </w:r>
      <w:r w:rsidR="00957502" w:rsidRPr="00C428D5">
        <w:rPr>
          <w:rFonts w:ascii="Times New Roman" w:hAnsi="Times New Roman" w:cs="Times New Roman"/>
          <w:sz w:val="20"/>
          <w:szCs w:val="20"/>
        </w:rPr>
        <w:t xml:space="preserve">specified </w:t>
      </w:r>
      <w:r w:rsidRPr="00C428D5">
        <w:rPr>
          <w:rFonts w:ascii="Times New Roman" w:hAnsi="Times New Roman" w:cs="Times New Roman"/>
          <w:sz w:val="20"/>
          <w:szCs w:val="20"/>
        </w:rPr>
        <w:t>the links between diet and</w:t>
      </w:r>
      <w:r w:rsidRPr="00C428D5">
        <w:rPr>
          <w:rFonts w:ascii="Times New Roman" w:hAnsi="Times New Roman" w:cs="Times New Roman"/>
          <w:color w:val="000000" w:themeColor="text1"/>
          <w:sz w:val="20"/>
          <w:szCs w:val="20"/>
        </w:rPr>
        <w:t xml:space="preserve"> </w:t>
      </w:r>
      <w:r w:rsidR="00906AFE" w:rsidRPr="00C428D5">
        <w:rPr>
          <w:rFonts w:ascii="Times New Roman" w:hAnsi="Times New Roman" w:cs="Times New Roman"/>
          <w:color w:val="000000" w:themeColor="text1"/>
          <w:sz w:val="20"/>
          <w:szCs w:val="20"/>
        </w:rPr>
        <w:t xml:space="preserve">the prevalence of </w:t>
      </w:r>
      <w:r w:rsidRPr="00C428D5">
        <w:rPr>
          <w:rFonts w:ascii="Times New Roman" w:hAnsi="Times New Roman" w:cs="Times New Roman"/>
          <w:color w:val="000000" w:themeColor="text1"/>
          <w:sz w:val="20"/>
          <w:szCs w:val="20"/>
        </w:rPr>
        <w:t>enterotype</w:t>
      </w:r>
      <w:r w:rsidR="00906AFE" w:rsidRPr="00C428D5">
        <w:rPr>
          <w:rFonts w:ascii="Times New Roman" w:hAnsi="Times New Roman" w:cs="Times New Roman"/>
          <w:color w:val="000000" w:themeColor="text1"/>
          <w:sz w:val="20"/>
          <w:szCs w:val="20"/>
        </w:rPr>
        <w:t>s</w:t>
      </w:r>
      <w:r w:rsidRPr="00C428D5">
        <w:rPr>
          <w:rFonts w:ascii="Times New Roman" w:hAnsi="Times New Roman" w:cs="Times New Roman"/>
          <w:color w:val="000000" w:themeColor="text1"/>
          <w:sz w:val="20"/>
          <w:szCs w:val="20"/>
        </w:rPr>
        <w:t xml:space="preserve">. </w:t>
      </w:r>
      <w:r w:rsidRPr="00C428D5">
        <w:rPr>
          <w:rFonts w:ascii="Times New Roman" w:hAnsi="Times New Roman" w:cs="Times New Roman"/>
          <w:sz w:val="20"/>
          <w:szCs w:val="20"/>
        </w:rPr>
        <w:t>Adjusted logistic regression models by age, gender, BMI</w:t>
      </w:r>
      <w:r w:rsidR="00FD17E6" w:rsidRPr="00C428D5">
        <w:rPr>
          <w:rFonts w:ascii="Times New Roman" w:hAnsi="Times New Roman" w:cs="Times New Roman"/>
          <w:sz w:val="20"/>
          <w:szCs w:val="20"/>
        </w:rPr>
        <w:t>,</w:t>
      </w:r>
      <w:r w:rsidRPr="00C428D5">
        <w:rPr>
          <w:rFonts w:ascii="Times New Roman" w:hAnsi="Times New Roman" w:cs="Times New Roman"/>
          <w:sz w:val="20"/>
          <w:szCs w:val="20"/>
        </w:rPr>
        <w:t xml:space="preserve"> </w:t>
      </w:r>
      <w:sdt>
        <w:sdtPr>
          <w:rPr>
            <w:rFonts w:ascii="Times New Roman" w:hAnsi="Times New Roman" w:cs="Times New Roman"/>
            <w:sz w:val="20"/>
            <w:szCs w:val="20"/>
          </w:rPr>
          <w:tag w:val="goog_rdk_206"/>
          <w:id w:val="-1534346108"/>
          <w:placeholder>
            <w:docPart w:val="8409498847475F4AA3711BF5C9913F68"/>
          </w:placeholder>
          <w:showingPlcHdr/>
        </w:sdtPr>
        <w:sdtContent/>
      </w:sdt>
      <w:r w:rsidRPr="00C428D5">
        <w:rPr>
          <w:rFonts w:ascii="Times New Roman" w:hAnsi="Times New Roman" w:cs="Times New Roman"/>
          <w:sz w:val="20"/>
          <w:szCs w:val="20"/>
        </w:rPr>
        <w:t xml:space="preserve">center of recruitment, metformin, statin, and PPI intake showed significant </w:t>
      </w:r>
      <w:r w:rsidR="00754990" w:rsidRPr="00C428D5">
        <w:rPr>
          <w:rFonts w:ascii="Times New Roman" w:hAnsi="Times New Roman" w:cs="Times New Roman"/>
          <w:color w:val="000000" w:themeColor="text1"/>
          <w:sz w:val="20"/>
          <w:szCs w:val="20"/>
        </w:rPr>
        <w:t>associations</w:t>
      </w:r>
      <w:r w:rsidRPr="00C428D5">
        <w:rPr>
          <w:rFonts w:ascii="Times New Roman" w:hAnsi="Times New Roman" w:cs="Times New Roman"/>
          <w:color w:val="000000" w:themeColor="text1"/>
          <w:sz w:val="20"/>
          <w:szCs w:val="20"/>
        </w:rPr>
        <w:t xml:space="preserve"> </w:t>
      </w:r>
      <w:r w:rsidRPr="00C428D5">
        <w:rPr>
          <w:rFonts w:ascii="Times New Roman" w:hAnsi="Times New Roman" w:cs="Times New Roman"/>
          <w:sz w:val="20"/>
          <w:szCs w:val="20"/>
        </w:rPr>
        <w:t xml:space="preserve">between the prevalence of </w:t>
      </w:r>
      <w:r w:rsidR="00906AFE" w:rsidRPr="00C428D5">
        <w:rPr>
          <w:rFonts w:ascii="Times New Roman" w:hAnsi="Times New Roman" w:cs="Times New Roman"/>
          <w:sz w:val="20"/>
          <w:szCs w:val="20"/>
        </w:rPr>
        <w:t xml:space="preserve">the </w:t>
      </w:r>
      <w:r w:rsidRPr="00C428D5">
        <w:rPr>
          <w:rFonts w:ascii="Times New Roman" w:hAnsi="Times New Roman" w:cs="Times New Roman"/>
          <w:sz w:val="20"/>
          <w:szCs w:val="20"/>
        </w:rPr>
        <w:t xml:space="preserve">different enterotypes with the QASD score and several nutritional factors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 The </w:t>
      </w:r>
      <w:r w:rsidR="00957502" w:rsidRPr="00C428D5">
        <w:rPr>
          <w:rFonts w:ascii="Times New Roman" w:hAnsi="Times New Roman" w:cs="Times New Roman"/>
          <w:sz w:val="20"/>
          <w:szCs w:val="20"/>
        </w:rPr>
        <w:t>probability</w:t>
      </w:r>
      <w:r w:rsidRPr="00C428D5">
        <w:rPr>
          <w:rFonts w:ascii="Times New Roman" w:hAnsi="Times New Roman" w:cs="Times New Roman"/>
          <w:sz w:val="20"/>
          <w:szCs w:val="20"/>
        </w:rPr>
        <w:t xml:space="preserve"> of Bact2 enterotype significantly decrease</w:t>
      </w:r>
      <w:r w:rsidR="00957502" w:rsidRPr="00C428D5">
        <w:rPr>
          <w:rFonts w:ascii="Times New Roman" w:hAnsi="Times New Roman" w:cs="Times New Roman"/>
          <w:sz w:val="20"/>
          <w:szCs w:val="20"/>
        </w:rPr>
        <w:t>s</w:t>
      </w:r>
      <w:r w:rsidRPr="00C428D5">
        <w:rPr>
          <w:rFonts w:ascii="Times New Roman" w:hAnsi="Times New Roman" w:cs="Times New Roman"/>
          <w:sz w:val="20"/>
          <w:szCs w:val="20"/>
        </w:rPr>
        <w:t xml:space="preserve"> with higher levels of the QASD score (p-value=0.031 level 0-1-2 vs. level 5 and level 6-7,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A) but also with the variety count of meat, fish and eggs (p-value=0.041,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B), the intake of cookies and pastries (p-value=0.014,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C), offal (p-value=9.68e-03,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D) and vitamins like Biotin (p-value=0.027, Supplemental Figure </w:t>
      </w:r>
      <w:r w:rsidR="002500E4" w:rsidRPr="00C428D5">
        <w:rPr>
          <w:rFonts w:ascii="Times New Roman" w:hAnsi="Times New Roman" w:cs="Times New Roman"/>
          <w:color w:val="000000" w:themeColor="text1"/>
          <w:sz w:val="20"/>
          <w:szCs w:val="20"/>
        </w:rPr>
        <w:t>4</w:t>
      </w:r>
      <w:r w:rsidRPr="00C428D5">
        <w:rPr>
          <w:rFonts w:ascii="Times New Roman" w:hAnsi="Times New Roman" w:cs="Times New Roman"/>
          <w:color w:val="000000" w:themeColor="text1"/>
          <w:sz w:val="20"/>
          <w:szCs w:val="20"/>
        </w:rPr>
        <w:t>E</w:t>
      </w:r>
      <w:r w:rsidRPr="00C428D5">
        <w:rPr>
          <w:rFonts w:ascii="Times New Roman" w:hAnsi="Times New Roman" w:cs="Times New Roman"/>
          <w:sz w:val="20"/>
          <w:szCs w:val="20"/>
        </w:rPr>
        <w:t xml:space="preserve">) and vitamin D (p-value=0.038,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F). Conversely, the variety of dairy products (as assessed by Simpson score, p-value=0.041,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G) and the intake of Vitamin A (p-value=0.048,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H) were positively associated to a higher probability of the </w:t>
      </w:r>
      <w:proofErr w:type="spellStart"/>
      <w:r w:rsidRPr="00C428D5">
        <w:rPr>
          <w:rFonts w:ascii="Times New Roman" w:hAnsi="Times New Roman" w:cs="Times New Roman"/>
          <w:sz w:val="20"/>
          <w:szCs w:val="20"/>
        </w:rPr>
        <w:t>Prevotella</w:t>
      </w:r>
      <w:proofErr w:type="spellEnd"/>
      <w:r w:rsidRPr="00C428D5">
        <w:rPr>
          <w:rFonts w:ascii="Times New Roman" w:hAnsi="Times New Roman" w:cs="Times New Roman"/>
          <w:sz w:val="20"/>
          <w:szCs w:val="20"/>
        </w:rPr>
        <w:t xml:space="preserve"> enterotype. The intake of </w:t>
      </w:r>
      <w:proofErr w:type="spellStart"/>
      <w:r w:rsidRPr="00C428D5">
        <w:rPr>
          <w:rFonts w:ascii="Times New Roman" w:hAnsi="Times New Roman" w:cs="Times New Roman"/>
          <w:sz w:val="20"/>
          <w:szCs w:val="20"/>
        </w:rPr>
        <w:t>offal</w:t>
      </w:r>
      <w:r w:rsidR="00957502" w:rsidRPr="00C428D5">
        <w:rPr>
          <w:rFonts w:ascii="Times New Roman" w:hAnsi="Times New Roman" w:cs="Times New Roman"/>
          <w:sz w:val="20"/>
          <w:szCs w:val="20"/>
        </w:rPr>
        <w:t>s</w:t>
      </w:r>
      <w:proofErr w:type="spellEnd"/>
      <w:r w:rsidRPr="00C428D5">
        <w:rPr>
          <w:rFonts w:ascii="Times New Roman" w:hAnsi="Times New Roman" w:cs="Times New Roman"/>
          <w:sz w:val="20"/>
          <w:szCs w:val="20"/>
        </w:rPr>
        <w:t xml:space="preserve"> (p-value=0.044,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D) and biotin (p-value=0.032, Supplemental Figure </w:t>
      </w:r>
      <w:r w:rsidR="002500E4" w:rsidRPr="00C428D5">
        <w:rPr>
          <w:rFonts w:ascii="Times New Roman" w:hAnsi="Times New Roman" w:cs="Times New Roman"/>
          <w:sz w:val="20"/>
          <w:szCs w:val="20"/>
        </w:rPr>
        <w:t>4</w:t>
      </w:r>
      <w:r w:rsidRPr="00C428D5">
        <w:rPr>
          <w:rFonts w:ascii="Times New Roman" w:hAnsi="Times New Roman" w:cs="Times New Roman"/>
          <w:sz w:val="20"/>
          <w:szCs w:val="20"/>
        </w:rPr>
        <w:t xml:space="preserve">E) were also significantly associated to higher probability of the </w:t>
      </w:r>
      <w:proofErr w:type="spellStart"/>
      <w:r w:rsidRPr="00C428D5">
        <w:rPr>
          <w:rFonts w:ascii="Times New Roman" w:hAnsi="Times New Roman" w:cs="Times New Roman"/>
          <w:sz w:val="20"/>
          <w:szCs w:val="20"/>
        </w:rPr>
        <w:t>Prevotella</w:t>
      </w:r>
      <w:proofErr w:type="spellEnd"/>
      <w:r w:rsidRPr="00C428D5">
        <w:rPr>
          <w:rFonts w:ascii="Times New Roman" w:hAnsi="Times New Roman" w:cs="Times New Roman"/>
          <w:sz w:val="20"/>
          <w:szCs w:val="20"/>
        </w:rPr>
        <w:t xml:space="preserve"> enterotype in parallel with decrease probability of Bact2.</w:t>
      </w:r>
    </w:p>
    <w:p w14:paraId="31F84880" w14:textId="627D6252" w:rsidR="00D1061D" w:rsidRPr="00C428D5" w:rsidRDefault="00D1061D" w:rsidP="00D1061D">
      <w:pPr>
        <w:ind w:firstLine="0"/>
        <w:rPr>
          <w:rFonts w:ascii="Times New Roman" w:hAnsi="Times New Roman" w:cs="Times New Roman"/>
          <w:b/>
          <w:bCs/>
          <w:sz w:val="20"/>
          <w:szCs w:val="20"/>
        </w:rPr>
      </w:pPr>
      <w:r w:rsidRPr="00C428D5">
        <w:rPr>
          <w:rFonts w:ascii="Times New Roman" w:hAnsi="Times New Roman" w:cs="Times New Roman"/>
          <w:b/>
          <w:bCs/>
          <w:sz w:val="20"/>
          <w:szCs w:val="20"/>
        </w:rPr>
        <w:t xml:space="preserve">Supplemental discussion literature on </w:t>
      </w:r>
      <w:r w:rsidR="0062296A" w:rsidRPr="00C428D5">
        <w:rPr>
          <w:rFonts w:ascii="Times New Roman" w:hAnsi="Times New Roman" w:cs="Times New Roman"/>
          <w:b/>
          <w:bCs/>
          <w:sz w:val="20"/>
          <w:szCs w:val="20"/>
        </w:rPr>
        <w:t>metagenomic</w:t>
      </w:r>
      <w:r w:rsidRPr="00C428D5">
        <w:rPr>
          <w:rFonts w:ascii="Times New Roman" w:hAnsi="Times New Roman" w:cs="Times New Roman"/>
          <w:b/>
          <w:bCs/>
          <w:sz w:val="20"/>
          <w:szCs w:val="20"/>
        </w:rPr>
        <w:t xml:space="preserve"> and metabol</w:t>
      </w:r>
      <w:r w:rsidR="0062296A" w:rsidRPr="00C428D5">
        <w:rPr>
          <w:rFonts w:ascii="Times New Roman" w:hAnsi="Times New Roman" w:cs="Times New Roman"/>
          <w:b/>
          <w:bCs/>
          <w:sz w:val="20"/>
          <w:szCs w:val="20"/>
        </w:rPr>
        <w:t>omic biomarkers</w:t>
      </w:r>
      <w:r w:rsidRPr="00C428D5">
        <w:rPr>
          <w:rFonts w:ascii="Times New Roman" w:hAnsi="Times New Roman" w:cs="Times New Roman"/>
          <w:b/>
          <w:bCs/>
          <w:sz w:val="20"/>
          <w:szCs w:val="20"/>
        </w:rPr>
        <w:t xml:space="preserve"> associated with QASD score</w:t>
      </w:r>
    </w:p>
    <w:p w14:paraId="1D023789" w14:textId="3358B268" w:rsidR="00D1061D" w:rsidRPr="00C428D5" w:rsidRDefault="00D1061D" w:rsidP="00D1061D">
      <w:pPr>
        <w:ind w:firstLine="0"/>
        <w:rPr>
          <w:rFonts w:ascii="Times New Roman" w:hAnsi="Times New Roman" w:cs="Times New Roman"/>
          <w:bCs/>
          <w:sz w:val="20"/>
          <w:szCs w:val="20"/>
        </w:rPr>
      </w:pPr>
      <w:r w:rsidRPr="00C428D5">
        <w:rPr>
          <w:rFonts w:ascii="Times New Roman" w:hAnsi="Times New Roman" w:cs="Times New Roman"/>
          <w:bCs/>
          <w:sz w:val="20"/>
          <w:szCs w:val="20"/>
        </w:rPr>
        <w:t>At MGS level, high levels of the QASD score</w:t>
      </w:r>
      <w:r w:rsidR="00B26C2A" w:rsidRPr="00C428D5">
        <w:rPr>
          <w:rFonts w:ascii="Times New Roman" w:hAnsi="Times New Roman" w:cs="Times New Roman"/>
          <w:bCs/>
          <w:sz w:val="20"/>
          <w:szCs w:val="20"/>
        </w:rPr>
        <w:t xml:space="preserve"> (5-6-7)</w:t>
      </w:r>
      <w:r w:rsidRPr="00C428D5">
        <w:rPr>
          <w:rFonts w:ascii="Times New Roman" w:hAnsi="Times New Roman" w:cs="Times New Roman"/>
          <w:bCs/>
          <w:sz w:val="20"/>
          <w:szCs w:val="20"/>
        </w:rPr>
        <w:t xml:space="preserve"> were positively associated with multiple firmicutes lineages including </w:t>
      </w:r>
      <w:r w:rsidR="00341D5C" w:rsidRPr="00C428D5">
        <w:rPr>
          <w:rFonts w:ascii="Times New Roman" w:hAnsi="Times New Roman" w:cs="Times New Roman"/>
          <w:bCs/>
          <w:sz w:val="20"/>
          <w:szCs w:val="20"/>
        </w:rPr>
        <w:t xml:space="preserve">12 </w:t>
      </w:r>
      <w:r w:rsidRPr="00C428D5">
        <w:rPr>
          <w:rFonts w:ascii="Times New Roman" w:hAnsi="Times New Roman" w:cs="Times New Roman"/>
          <w:bCs/>
          <w:sz w:val="20"/>
          <w:szCs w:val="20"/>
        </w:rPr>
        <w:t xml:space="preserve">MGS belonging to </w:t>
      </w:r>
      <w:proofErr w:type="spellStart"/>
      <w:r w:rsidRPr="00C428D5">
        <w:rPr>
          <w:rFonts w:ascii="Times New Roman" w:hAnsi="Times New Roman" w:cs="Times New Roman"/>
          <w:bCs/>
          <w:i/>
          <w:iCs/>
          <w:sz w:val="20"/>
          <w:szCs w:val="20"/>
        </w:rPr>
        <w:t>Faecalibacterium</w:t>
      </w:r>
      <w:proofErr w:type="spellEnd"/>
      <w:r w:rsidRPr="00C428D5">
        <w:rPr>
          <w:rFonts w:ascii="Times New Roman" w:hAnsi="Times New Roman" w:cs="Times New Roman"/>
          <w:bCs/>
          <w:sz w:val="20"/>
          <w:szCs w:val="20"/>
        </w:rPr>
        <w:t xml:space="preserve"> genus and </w:t>
      </w:r>
      <w:r w:rsidR="00341D5C" w:rsidRPr="00C428D5">
        <w:rPr>
          <w:rFonts w:ascii="Times New Roman" w:hAnsi="Times New Roman" w:cs="Times New Roman"/>
          <w:bCs/>
          <w:sz w:val="20"/>
          <w:szCs w:val="20"/>
        </w:rPr>
        <w:t>2</w:t>
      </w:r>
      <w:r w:rsidRPr="00C428D5">
        <w:rPr>
          <w:rFonts w:ascii="Times New Roman" w:hAnsi="Times New Roman" w:cs="Times New Roman"/>
          <w:bCs/>
          <w:sz w:val="20"/>
          <w:szCs w:val="20"/>
        </w:rPr>
        <w:t xml:space="preserve"> MGS corresponding to </w:t>
      </w:r>
      <w:r w:rsidRPr="00C428D5">
        <w:rPr>
          <w:rFonts w:ascii="Times New Roman" w:hAnsi="Times New Roman" w:cs="Times New Roman"/>
          <w:bCs/>
          <w:i/>
          <w:iCs/>
          <w:sz w:val="20"/>
          <w:szCs w:val="20"/>
        </w:rPr>
        <w:t xml:space="preserve">F. </w:t>
      </w:r>
      <w:proofErr w:type="spellStart"/>
      <w:r w:rsidRPr="00C428D5">
        <w:rPr>
          <w:rFonts w:ascii="Times New Roman" w:hAnsi="Times New Roman" w:cs="Times New Roman"/>
          <w:bCs/>
          <w:i/>
          <w:iCs/>
          <w:sz w:val="20"/>
          <w:szCs w:val="20"/>
        </w:rPr>
        <w:t>prausnitzii</w:t>
      </w:r>
      <w:proofErr w:type="spellEnd"/>
      <w:r w:rsidRPr="00C428D5">
        <w:rPr>
          <w:rFonts w:ascii="Times New Roman" w:hAnsi="Times New Roman" w:cs="Times New Roman"/>
          <w:bCs/>
          <w:i/>
          <w:iCs/>
          <w:sz w:val="20"/>
          <w:szCs w:val="20"/>
        </w:rPr>
        <w:t xml:space="preserve"> L2-6</w:t>
      </w:r>
      <w:r w:rsidRPr="00C428D5">
        <w:rPr>
          <w:rFonts w:ascii="Times New Roman" w:hAnsi="Times New Roman" w:cs="Times New Roman"/>
          <w:bCs/>
          <w:sz w:val="20"/>
          <w:szCs w:val="20"/>
        </w:rPr>
        <w:t xml:space="preserve">, well known butyrate producing lineages positively associated to microbial gene richness and associated to healthy condition, depleted in different disease states </w:t>
      </w:r>
      <w:r w:rsidR="00EB652A" w:rsidRPr="00C428D5">
        <w:rPr>
          <w:rFonts w:ascii="Times New Roman" w:hAnsi="Times New Roman" w:cs="Times New Roman"/>
          <w:bCs/>
          <w:sz w:val="20"/>
          <w:szCs w:val="20"/>
        </w:rPr>
        <w:fldChar w:fldCharType="begin"/>
      </w:r>
      <w:r w:rsidR="00FD17E6" w:rsidRPr="00C428D5">
        <w:rPr>
          <w:rFonts w:ascii="Times New Roman" w:hAnsi="Times New Roman" w:cs="Times New Roman"/>
          <w:bCs/>
          <w:sz w:val="20"/>
          <w:szCs w:val="20"/>
        </w:rPr>
        <w:instrText xml:space="preserve"> ADDIN ZOTERO_ITEM CSL_CITATION {"citationID":"ubwlGwfk","properties":{"formattedCitation":"\\super 1\\uc0\\u8211{}3\\nosupersub{}","plainCitation":"1–3","noteIndex":0},"citationItems":[{"id":8328,"uris":["http://zotero.org/users/1824097/items/3T5NIDBL"],"itemData":{"id":8328,"type":"article-journal","abstract":"There is an increasing interest in Faecalibacterium prausnitzii, one of the most abundant bacterial species found in the gut, given its potentially important role in promoting gut health. Although some studies have phenotypically characterized strains of this species, it remains a challenge to determine which factors have a key role in maintaining the abundance of this bacterium in the gut. Besides, phylogenetic analysis has shown that at least two different F. prausnitzii phylogroups can be found within this species and their distribution is different between healthy subjects and patients with gut disorders. It also remains unknown whether or not there are other phylogroups within this species, and also if other Faecalibacterium species exist. Finally, many studies have shown that F. prausnitzii abundance is reduced in different intestinal disorders. It has been proposed that F. prausnitzii monitoring may therefore serve as biomarker to assist in gut diseases diagnostics. In this mini-review, we aim to serve as an overview of F. prausnitzii phylogeny, ecophysiology and diversity. In addition, strategies to modulate the abundance of F. prausnitzii in the gut as well as its application as a biomarker for diagnostics and prognostics of gut diseases are discussed. This species may be a useful potential biomarker to assist in ulcerative colitis and Crohn's disease discrimination.","container-title":"The ISME journal","DOI":"10.1038/ismej.2016.176","ISSN":"1751-7370","issue":"4","journalAbbreviation":"ISME J","language":"eng","note":"PMID: 28045459\nPMCID: PMC5364359","page":"841-852","source":"PubMed","title":"Faecalibacterium prausnitzii: from microbiology to diagnostics and prognostics","title-short":"Faecalibacterium prausnitzii","volume":"11","author":[{"family":"Lopez-Siles","given":"Mireia"},{"family":"Duncan","given":"Sylvia H."},{"family":"Garcia-Gil","given":"L. Jesús"},{"family":"Martinez-Medina","given":"Margarita"}],"issued":{"date-parts":[["2017",4]]}}},{"id":8201,"uris":["http://zotero.org/users/1824097/items/7PBZNCH6"],"itemData":{"id":8201,"type":"article-journal","container-title":"The ISME Journal","DOI":"10.1038/ismej.2017.24","ISSN":"1751-7362, 1751-7370","issue":"7","journalAbbreviation":"ISME J","language":"en","note":"number: 7","page":"1667-1679","source":"DOI.org (Crossref)","title":"Faecalibacterium prausnitzii treatment improves hepatic health and reduces adipose tissue inflammation in high-fat fed mice","URL":"http://www.nature.com/articles/ismej201724","volume":"11","author":[{"family":"Munukka","given":"Eveliina"},{"family":"Rintala","given":"Anniina"},{"family":"Toivonen","given":"Raine"},{"family":"Nylund","given":"Matts"},{"family":"Yang","given":"Baoru"},{"family":"Takanen","given":"Anna"},{"family":"Hänninen","given":"Arno"},{"family":"Vuopio","given":"Jaana"},{"family":"Huovinen","given":"Pentti"},{"family":"Jalkanen","given":"Sirpa"},{"family":"Pekkala","given":"Satu"}],"accessed":{"date-parts":[["2023",1,25]]},"issued":{"date-parts":[["2017",7]]}}},{"id":5461,"uris":["http://zotero.org/users/1824097/items/TKCPRAC7"],"itemData":{"id":5461,"type":"article-journal","abstract":"A decrease in the abundance and biodiversity of intestinal bacteria within the dominant phylum Firmicutes has been observed repeatedly in Crohn disease (CD) patients. In this study, we determined the composition of the mucosa-associated microbiota of CD patients at the time of surgical resection and 6 months later using FISH analysis. We found that a reduction of a major member of Firmicutes, Faecalibacterium prausnitzii, is associated with a higher risk of postoperative recurrence of ileal CD. A lower proportion of F. prausnitzii on resected ileal Crohn mucosa also was associated with endoscopic recurrence at 6 months. To evaluate the immunomodulatory properties of F. prausnitzii we analyzed the anti-inflammatory effects of F. prausnitzii in both in vitro (cellular models) and in vivo [2,4,6-trinitrobenzenesulphonic acid (TNBS)-induced] colitis in mice. In Caco-2 cells transfected with a reporter gene for NF-κB activity, F. prausnitzii had no effect on IL-1β-induced NF-κB activity, whereas the supernatant abolished it. In vitro peripheral blood mononuclear cell stimulation by F. prausnitzii led to significantly lower IL-12 and IFN-γ production levels and higher secretion of IL-10. Oral administration of either live F. prausnitzii or its supernatant markedly reduced the severity of TNBS colitis and tended to correct the dysbiosis associated with TNBS colitis, as demonstrated by real-time quantitative PCR (qPCR) analysis. F. prausnitzii exhibits anti-inflammatory effects on cellular and TNBS colitis models, partly due to secreted metabolites able to block NF-κB activation and IL-8 production. These results suggest that counterbalancing dysbiosis using F. prausnitzii as a probiotic is a promising strategy in CD treatment.","container-title":"Proceedings of the National Academy of Sciences of the United States of America","DOI":"10.1073/pnas.0804812105","ISSN":"0027-8424","issue":"43","journalAbbreviation":"Proc Natl Acad Sci U S A","note":"PMID: 18936492\nPMCID: PMC2575488","page":"16731-16736","source":"PubMed Central","title":"Faecalibacterium prausnitzii is an anti-inflammatory commensal bacterium identified by gut microbiota analysis of Crohn disease patients","URL":"https://www.ncbi.nlm.nih.gov/pmc/articles/PMC2575488/","volume":"105","author":[{"family":"Sokol","given":"Harry"},{"family":"Pigneur","given":"Bénédicte"},{"family":"Watterlot","given":"Laurie"},{"family":"Lakhdari","given":"Omar"},{"family":"Bermúdez-Humarán","given":"Luis G."},{"family":"Gratadoux","given":"Jean-Jacques"},{"family":"Blugeon","given":"Sébastien"},{"family":"Bridonneau","given":"Chantal"},{"family":"Furet","given":"Jean-Pierre"},{"family":"Corthier","given":"Gérard"},{"family":"Grangette","given":"Corinne"},{"family":"Vasquez","given":"Nadia"},{"family":"Pochart","given":"Philippe"},{"family":"Trugnan","given":"Germain"},{"family":"Thomas","given":"Ginette"},{"family":"Blottière","given":"Hervé M."},{"family":"Doré","given":"Joël"},{"family":"Marteau","given":"Philippe"},{"family":"Seksik","given":"Philippe"},{"family":"Langella","given":"Philippe"}],"accessed":{"date-parts":[["2021",1,29]]},"issued":{"date-parts":[["2008",10,28]]}}}],"schema":"https://github.com/citation-style-language/schema/raw/master/csl-citation.json"} </w:instrText>
      </w:r>
      <w:r w:rsidR="00EB652A" w:rsidRPr="00C428D5">
        <w:rPr>
          <w:rFonts w:ascii="Times New Roman" w:hAnsi="Times New Roman" w:cs="Times New Roman"/>
          <w:bCs/>
          <w:sz w:val="20"/>
          <w:szCs w:val="20"/>
        </w:rPr>
        <w:fldChar w:fldCharType="separate"/>
      </w:r>
      <w:r w:rsidR="00FD17E6" w:rsidRPr="00C428D5">
        <w:rPr>
          <w:rFonts w:ascii="Times New Roman" w:hAnsi="Times New Roman" w:cs="Times New Roman"/>
          <w:sz w:val="20"/>
          <w:szCs w:val="20"/>
          <w:vertAlign w:val="superscript"/>
          <w:lang w:val="en-GB"/>
        </w:rPr>
        <w:t>1–3</w:t>
      </w:r>
      <w:r w:rsidR="00EB652A" w:rsidRPr="00C428D5">
        <w:rPr>
          <w:rFonts w:ascii="Times New Roman" w:hAnsi="Times New Roman" w:cs="Times New Roman"/>
          <w:bCs/>
          <w:sz w:val="20"/>
          <w:szCs w:val="20"/>
        </w:rPr>
        <w:fldChar w:fldCharType="end"/>
      </w:r>
      <w:r w:rsidR="00B26C2A" w:rsidRPr="00C428D5">
        <w:rPr>
          <w:rFonts w:ascii="Times New Roman" w:hAnsi="Times New Roman" w:cs="Times New Roman"/>
          <w:bCs/>
          <w:sz w:val="20"/>
          <w:szCs w:val="20"/>
        </w:rPr>
        <w:t xml:space="preserve"> (Figure 4</w:t>
      </w:r>
      <w:r w:rsidR="00F07C8F" w:rsidRPr="00C428D5">
        <w:rPr>
          <w:rFonts w:ascii="Times New Roman" w:hAnsi="Times New Roman" w:cs="Times New Roman"/>
          <w:bCs/>
          <w:sz w:val="20"/>
          <w:szCs w:val="20"/>
        </w:rPr>
        <w:t>; Supplemental Table S8</w:t>
      </w:r>
      <w:r w:rsidR="00B26C2A" w:rsidRPr="00C428D5">
        <w:rPr>
          <w:rFonts w:ascii="Times New Roman" w:hAnsi="Times New Roman" w:cs="Times New Roman"/>
          <w:bCs/>
          <w:sz w:val="20"/>
          <w:szCs w:val="20"/>
        </w:rPr>
        <w:t>)</w:t>
      </w:r>
      <w:r w:rsidRPr="00C428D5">
        <w:rPr>
          <w:rFonts w:ascii="Times New Roman" w:hAnsi="Times New Roman" w:cs="Times New Roman"/>
          <w:bCs/>
          <w:sz w:val="20"/>
          <w:szCs w:val="20"/>
        </w:rPr>
        <w:t xml:space="preserve">. </w:t>
      </w:r>
      <w:r w:rsidRPr="00C428D5">
        <w:rPr>
          <w:rFonts w:ascii="Times New Roman" w:hAnsi="Times New Roman" w:cs="Times New Roman"/>
          <w:bCs/>
          <w:i/>
          <w:iCs/>
          <w:sz w:val="20"/>
          <w:szCs w:val="20"/>
        </w:rPr>
        <w:t>E</w:t>
      </w:r>
      <w:r w:rsidR="00B26C2A" w:rsidRPr="00C428D5">
        <w:rPr>
          <w:rFonts w:ascii="Times New Roman" w:hAnsi="Times New Roman" w:cs="Times New Roman"/>
          <w:bCs/>
          <w:i/>
          <w:iCs/>
          <w:sz w:val="20"/>
          <w:szCs w:val="20"/>
        </w:rPr>
        <w:t>ubacterium</w:t>
      </w:r>
      <w:r w:rsidRPr="00C428D5">
        <w:rPr>
          <w:rFonts w:ascii="Times New Roman" w:hAnsi="Times New Roman" w:cs="Times New Roman"/>
          <w:bCs/>
          <w:i/>
          <w:iCs/>
          <w:sz w:val="20"/>
          <w:szCs w:val="20"/>
        </w:rPr>
        <w:t xml:space="preserve"> </w:t>
      </w:r>
      <w:proofErr w:type="spellStart"/>
      <w:r w:rsidRPr="00C428D5">
        <w:rPr>
          <w:rFonts w:ascii="Times New Roman" w:hAnsi="Times New Roman" w:cs="Times New Roman"/>
          <w:bCs/>
          <w:i/>
          <w:iCs/>
          <w:sz w:val="20"/>
          <w:szCs w:val="20"/>
        </w:rPr>
        <w:t>eligens</w:t>
      </w:r>
      <w:proofErr w:type="spellEnd"/>
      <w:r w:rsidRPr="00C428D5">
        <w:rPr>
          <w:rFonts w:ascii="Times New Roman" w:hAnsi="Times New Roman" w:cs="Times New Roman"/>
          <w:bCs/>
          <w:sz w:val="20"/>
          <w:szCs w:val="20"/>
        </w:rPr>
        <w:t xml:space="preserve">, and multiple MGS of the </w:t>
      </w:r>
      <w:proofErr w:type="spellStart"/>
      <w:r w:rsidRPr="00C428D5">
        <w:rPr>
          <w:rFonts w:ascii="Times New Roman" w:hAnsi="Times New Roman" w:cs="Times New Roman"/>
          <w:bCs/>
          <w:i/>
          <w:iCs/>
          <w:sz w:val="20"/>
          <w:szCs w:val="20"/>
        </w:rPr>
        <w:t>Oscillibacter</w:t>
      </w:r>
      <w:proofErr w:type="spellEnd"/>
      <w:r w:rsidRPr="00C428D5">
        <w:rPr>
          <w:rFonts w:ascii="Times New Roman" w:hAnsi="Times New Roman" w:cs="Times New Roman"/>
          <w:bCs/>
          <w:sz w:val="20"/>
          <w:szCs w:val="20"/>
        </w:rPr>
        <w:t xml:space="preserve"> and </w:t>
      </w:r>
      <w:proofErr w:type="spellStart"/>
      <w:r w:rsidRPr="00C428D5">
        <w:rPr>
          <w:rFonts w:ascii="Times New Roman" w:hAnsi="Times New Roman" w:cs="Times New Roman"/>
          <w:bCs/>
          <w:i/>
          <w:iCs/>
          <w:sz w:val="20"/>
          <w:szCs w:val="20"/>
        </w:rPr>
        <w:t>Roseburia</w:t>
      </w:r>
      <w:proofErr w:type="spellEnd"/>
      <w:r w:rsidRPr="00C428D5">
        <w:rPr>
          <w:rFonts w:ascii="Times New Roman" w:hAnsi="Times New Roman" w:cs="Times New Roman"/>
          <w:bCs/>
          <w:sz w:val="20"/>
          <w:szCs w:val="20"/>
        </w:rPr>
        <w:t xml:space="preserve"> genus</w:t>
      </w:r>
      <w:r w:rsidR="00D11695" w:rsidRPr="00C428D5">
        <w:rPr>
          <w:rFonts w:ascii="Times New Roman" w:hAnsi="Times New Roman" w:cs="Times New Roman"/>
          <w:bCs/>
          <w:sz w:val="20"/>
          <w:szCs w:val="20"/>
        </w:rPr>
        <w:t xml:space="preserve"> were also enriched in individuals with high QASD score</w:t>
      </w:r>
      <w:r w:rsidR="00906AFE" w:rsidRPr="00C428D5">
        <w:rPr>
          <w:rFonts w:ascii="Times New Roman" w:hAnsi="Times New Roman" w:cs="Times New Roman"/>
          <w:bCs/>
          <w:sz w:val="20"/>
          <w:szCs w:val="20"/>
        </w:rPr>
        <w:t xml:space="preserve">. </w:t>
      </w:r>
      <w:r w:rsidR="00906AFE" w:rsidRPr="00C428D5">
        <w:rPr>
          <w:rFonts w:ascii="Times New Roman" w:hAnsi="Times New Roman" w:cs="Times New Roman"/>
          <w:bCs/>
          <w:color w:val="000000" w:themeColor="text1"/>
          <w:sz w:val="20"/>
          <w:szCs w:val="20"/>
        </w:rPr>
        <w:t>These genera</w:t>
      </w:r>
      <w:r w:rsidRPr="00C428D5">
        <w:rPr>
          <w:rFonts w:ascii="Times New Roman" w:hAnsi="Times New Roman" w:cs="Times New Roman"/>
          <w:bCs/>
          <w:color w:val="000000" w:themeColor="text1"/>
          <w:sz w:val="20"/>
          <w:szCs w:val="20"/>
        </w:rPr>
        <w:t xml:space="preserve"> </w:t>
      </w:r>
      <w:r w:rsidR="00906AFE" w:rsidRPr="00C428D5">
        <w:rPr>
          <w:rFonts w:ascii="Times New Roman" w:hAnsi="Times New Roman" w:cs="Times New Roman"/>
          <w:bCs/>
          <w:color w:val="000000" w:themeColor="text1"/>
          <w:sz w:val="20"/>
          <w:szCs w:val="20"/>
        </w:rPr>
        <w:t>have</w:t>
      </w:r>
      <w:r w:rsidRPr="00C428D5">
        <w:rPr>
          <w:rFonts w:ascii="Times New Roman" w:hAnsi="Times New Roman" w:cs="Times New Roman"/>
          <w:bCs/>
          <w:color w:val="000000" w:themeColor="text1"/>
          <w:sz w:val="20"/>
          <w:szCs w:val="20"/>
        </w:rPr>
        <w:t xml:space="preserve"> been included </w:t>
      </w:r>
      <w:r w:rsidR="00906AFE" w:rsidRPr="00C428D5">
        <w:rPr>
          <w:rFonts w:ascii="Times New Roman" w:hAnsi="Times New Roman" w:cs="Times New Roman"/>
          <w:bCs/>
          <w:color w:val="000000" w:themeColor="text1"/>
          <w:sz w:val="20"/>
          <w:szCs w:val="20"/>
        </w:rPr>
        <w:t>in</w:t>
      </w:r>
      <w:r w:rsidRPr="00C428D5">
        <w:rPr>
          <w:rFonts w:ascii="Times New Roman" w:hAnsi="Times New Roman" w:cs="Times New Roman"/>
          <w:bCs/>
          <w:color w:val="000000" w:themeColor="text1"/>
          <w:sz w:val="20"/>
          <w:szCs w:val="20"/>
        </w:rPr>
        <w:t xml:space="preserve"> t</w:t>
      </w:r>
      <w:r w:rsidRPr="00C428D5">
        <w:rPr>
          <w:rFonts w:ascii="Times New Roman" w:hAnsi="Times New Roman" w:cs="Times New Roman"/>
          <w:bCs/>
          <w:sz w:val="20"/>
          <w:szCs w:val="20"/>
        </w:rPr>
        <w:t xml:space="preserve">he healthy signature gut bacteria in the </w:t>
      </w:r>
      <w:proofErr w:type="spellStart"/>
      <w:r w:rsidRPr="00C428D5">
        <w:rPr>
          <w:rFonts w:ascii="Times New Roman" w:hAnsi="Times New Roman" w:cs="Times New Roman"/>
          <w:bCs/>
          <w:sz w:val="20"/>
          <w:szCs w:val="20"/>
        </w:rPr>
        <w:t>PredictUK</w:t>
      </w:r>
      <w:proofErr w:type="spellEnd"/>
      <w:r w:rsidRPr="00C428D5">
        <w:rPr>
          <w:rFonts w:ascii="Times New Roman" w:hAnsi="Times New Roman" w:cs="Times New Roman"/>
          <w:bCs/>
          <w:sz w:val="20"/>
          <w:szCs w:val="20"/>
        </w:rPr>
        <w:t xml:space="preserve"> study</w:t>
      </w:r>
      <w:r w:rsidR="00B26C2A" w:rsidRPr="00C428D5">
        <w:rPr>
          <w:rFonts w:ascii="Times New Roman" w:hAnsi="Times New Roman" w:cs="Times New Roman"/>
          <w:bCs/>
          <w:sz w:val="20"/>
          <w:szCs w:val="20"/>
        </w:rPr>
        <w:fldChar w:fldCharType="begin"/>
      </w:r>
      <w:r w:rsidR="00FD17E6" w:rsidRPr="00C428D5">
        <w:rPr>
          <w:rFonts w:ascii="Times New Roman" w:hAnsi="Times New Roman" w:cs="Times New Roman"/>
          <w:bCs/>
          <w:sz w:val="20"/>
          <w:szCs w:val="20"/>
        </w:rPr>
        <w:instrText xml:space="preserve"> ADDIN ZOTERO_ITEM CSL_CITATION {"citationID":"6Oihg2Yg","properties":{"formattedCitation":"\\super 4\\nosupersub{}","plainCitation":"4","noteIndex":0},"citationItems":[{"id":3855,"uris":["http://zotero.org/groups/2530525/items/U86BQ5FJ"],"itemData":{"id":3855,"type":"article-journal","container-title":"Nature Medicine","DOI":"10.1038/s41591-020-01183-8","ISSN":"1078-8956, 1546-170X","journalAbbreviation":"Nat Med","language":"en","source":"DOI.org (Crossref)","title":"Microbiome connections with host metabolism and habitual diet from 1,098 deeply phenotyped individuals","URL":"http://www.nature.com/articles/s41591-020-01183-8","author":[{"family":"Asnicar","given":"Francesco"},{"family":"Berry","given":"Sarah E."},{"family":"Valdes","given":"Ana M."},{"family":"Nguyen","given":"Long H."},{"family":"Piccinno","given":"Gianmarco"},{"family":"Drew","given":"David A."},{"family":"Leeming","given":"Emily"},{"family":"Gibson","given":"Rachel"},{"family":"Le Roy","given":"Caroline"},{"family":"Khatib","given":"Haya Al"},{"family":"Francis","given":"Lucy"},{"family":"Mazidi","given":"Mohsen"},{"family":"Mompeo","given":"Olatz"},{"family":"Valles-Colomer","given":"Mireia"},{"family":"Tett","given":"Adrian"},{"family":"Beghini","given":"Francesco"},{"family":"Dubois","given":"Léonard"},{"family":"Bazzani","given":"Davide"},{"family":"Thomas","given":"Andrew Maltez"},{"family":"Mirzayi","given":"Chloe"},{"family":"Khleborodova","given":"Asya"},{"family":"Oh","given":"Sehyun"},{"family":"Hine","given":"Rachel"},{"family":"Bonnett","given":"Christopher"},{"family":"Capdevila","given":"Joan"},{"family":"Danzanvilliers","given":"Serge"},{"family":"Giordano","given":"Francesca"},{"family":"Geistlinger","given":"Ludwig"},{"family":"Waldron","given":"Levi"},{"family":"Davies","given":"Richard"},{"family":"Hadjigeorgiou","given":"George"},{"family":"Wolf","given":"Jonathan"},{"family":"Ordovás","given":"José M."},{"family":"Gardner","given":"Christopher"},{"family":"Franks","given":"Paul W."},{"family":"Chan","given":"Andrew T."},{"family":"Huttenhower","given":"Curtis"},{"family":"Spector","given":"Tim D."},{"family":"Segata","given":"Nicola"}],"accessed":{"date-parts":[["2021",1,12]]},"issued":{"date-parts":[["2021",1,11]]}}}],"schema":"https://github.com/citation-style-language/schema/raw/master/csl-citation.json"} </w:instrText>
      </w:r>
      <w:r w:rsidR="00B26C2A" w:rsidRPr="00C428D5">
        <w:rPr>
          <w:rFonts w:ascii="Times New Roman" w:hAnsi="Times New Roman" w:cs="Times New Roman"/>
          <w:bCs/>
          <w:sz w:val="20"/>
          <w:szCs w:val="20"/>
        </w:rPr>
        <w:fldChar w:fldCharType="separate"/>
      </w:r>
      <w:r w:rsidR="00FD17E6" w:rsidRPr="00C428D5">
        <w:rPr>
          <w:rFonts w:ascii="Times New Roman" w:hAnsi="Times New Roman" w:cs="Times New Roman"/>
          <w:sz w:val="20"/>
          <w:szCs w:val="20"/>
          <w:vertAlign w:val="superscript"/>
          <w:lang w:val="en-GB"/>
        </w:rPr>
        <w:t>4</w:t>
      </w:r>
      <w:r w:rsidR="00B26C2A" w:rsidRPr="00C428D5">
        <w:rPr>
          <w:rFonts w:ascii="Times New Roman" w:hAnsi="Times New Roman" w:cs="Times New Roman"/>
          <w:bCs/>
          <w:sz w:val="20"/>
          <w:szCs w:val="20"/>
        </w:rPr>
        <w:fldChar w:fldCharType="end"/>
      </w:r>
      <w:r w:rsidRPr="00C428D5">
        <w:rPr>
          <w:rFonts w:ascii="Times New Roman" w:hAnsi="Times New Roman" w:cs="Times New Roman"/>
          <w:bCs/>
          <w:sz w:val="20"/>
          <w:szCs w:val="20"/>
        </w:rPr>
        <w:t>,</w:t>
      </w:r>
      <w:r w:rsidR="00D11695" w:rsidRPr="00C428D5">
        <w:rPr>
          <w:rFonts w:ascii="Times New Roman" w:hAnsi="Times New Roman" w:cs="Times New Roman"/>
          <w:bCs/>
          <w:sz w:val="20"/>
          <w:szCs w:val="20"/>
        </w:rPr>
        <w:t xml:space="preserve"> as well as</w:t>
      </w:r>
      <w:r w:rsidRPr="00C428D5">
        <w:rPr>
          <w:rFonts w:ascii="Times New Roman" w:hAnsi="Times New Roman" w:cs="Times New Roman"/>
          <w:bCs/>
          <w:sz w:val="20"/>
          <w:szCs w:val="20"/>
        </w:rPr>
        <w:t xml:space="preserve"> </w:t>
      </w:r>
      <w:proofErr w:type="spellStart"/>
      <w:r w:rsidRPr="00C428D5">
        <w:rPr>
          <w:rFonts w:ascii="Times New Roman" w:hAnsi="Times New Roman" w:cs="Times New Roman"/>
          <w:bCs/>
          <w:i/>
          <w:iCs/>
          <w:sz w:val="20"/>
          <w:szCs w:val="20"/>
        </w:rPr>
        <w:t>R</w:t>
      </w:r>
      <w:r w:rsidR="00B26C2A" w:rsidRPr="00C428D5">
        <w:rPr>
          <w:rFonts w:ascii="Times New Roman" w:hAnsi="Times New Roman" w:cs="Times New Roman"/>
          <w:bCs/>
          <w:i/>
          <w:iCs/>
          <w:sz w:val="20"/>
          <w:szCs w:val="20"/>
        </w:rPr>
        <w:t>uminococcus</w:t>
      </w:r>
      <w:proofErr w:type="spellEnd"/>
      <w:r w:rsidRPr="00C428D5">
        <w:rPr>
          <w:rFonts w:ascii="Times New Roman" w:hAnsi="Times New Roman" w:cs="Times New Roman"/>
          <w:bCs/>
          <w:i/>
          <w:iCs/>
          <w:sz w:val="20"/>
          <w:szCs w:val="20"/>
        </w:rPr>
        <w:t xml:space="preserve"> </w:t>
      </w:r>
      <w:proofErr w:type="spellStart"/>
      <w:r w:rsidRPr="00C428D5">
        <w:rPr>
          <w:rFonts w:ascii="Times New Roman" w:hAnsi="Times New Roman" w:cs="Times New Roman"/>
          <w:bCs/>
          <w:i/>
          <w:iCs/>
          <w:sz w:val="20"/>
          <w:szCs w:val="20"/>
        </w:rPr>
        <w:t>lactaris</w:t>
      </w:r>
      <w:proofErr w:type="spellEnd"/>
      <w:r w:rsidRPr="00C428D5">
        <w:rPr>
          <w:rFonts w:ascii="Times New Roman" w:hAnsi="Times New Roman" w:cs="Times New Roman"/>
          <w:bCs/>
          <w:sz w:val="20"/>
          <w:szCs w:val="20"/>
        </w:rPr>
        <w:t>, a mucin</w:t>
      </w:r>
      <w:r w:rsidR="00C31AA8" w:rsidRPr="00C428D5">
        <w:rPr>
          <w:rFonts w:ascii="Times New Roman" w:hAnsi="Times New Roman" w:cs="Times New Roman"/>
          <w:bCs/>
          <w:sz w:val="20"/>
          <w:szCs w:val="20"/>
        </w:rPr>
        <w:t>-</w:t>
      </w:r>
      <w:r w:rsidRPr="00C428D5">
        <w:rPr>
          <w:rFonts w:ascii="Times New Roman" w:hAnsi="Times New Roman" w:cs="Times New Roman"/>
          <w:bCs/>
          <w:sz w:val="20"/>
          <w:szCs w:val="20"/>
        </w:rPr>
        <w:t xml:space="preserve">degrading commensal associated to healthy liver function together with </w:t>
      </w:r>
      <w:r w:rsidRPr="00C428D5">
        <w:rPr>
          <w:rFonts w:ascii="Times New Roman" w:hAnsi="Times New Roman" w:cs="Times New Roman"/>
          <w:bCs/>
          <w:i/>
          <w:iCs/>
          <w:sz w:val="20"/>
          <w:szCs w:val="20"/>
        </w:rPr>
        <w:t xml:space="preserve">F. </w:t>
      </w:r>
      <w:proofErr w:type="spellStart"/>
      <w:r w:rsidRPr="00C428D5">
        <w:rPr>
          <w:rFonts w:ascii="Times New Roman" w:hAnsi="Times New Roman" w:cs="Times New Roman"/>
          <w:bCs/>
          <w:i/>
          <w:iCs/>
          <w:sz w:val="20"/>
          <w:szCs w:val="20"/>
        </w:rPr>
        <w:t>prausnitzii</w:t>
      </w:r>
      <w:proofErr w:type="spellEnd"/>
      <w:r w:rsidRPr="00C428D5">
        <w:rPr>
          <w:rFonts w:ascii="Times New Roman" w:hAnsi="Times New Roman" w:cs="Times New Roman"/>
          <w:bCs/>
          <w:sz w:val="20"/>
          <w:szCs w:val="20"/>
        </w:rPr>
        <w:t xml:space="preserve"> </w:t>
      </w:r>
      <w:r w:rsidR="00B26C2A" w:rsidRPr="00C428D5">
        <w:rPr>
          <w:rFonts w:ascii="Times New Roman" w:hAnsi="Times New Roman" w:cs="Times New Roman"/>
          <w:bCs/>
          <w:sz w:val="20"/>
          <w:szCs w:val="20"/>
        </w:rPr>
        <w:fldChar w:fldCharType="begin"/>
      </w:r>
      <w:r w:rsidR="00FD17E6" w:rsidRPr="00C428D5">
        <w:rPr>
          <w:rFonts w:ascii="Times New Roman" w:hAnsi="Times New Roman" w:cs="Times New Roman"/>
          <w:bCs/>
          <w:sz w:val="20"/>
          <w:szCs w:val="20"/>
        </w:rPr>
        <w:instrText xml:space="preserve"> ADDIN ZOTERO_ITEM CSL_CITATION {"citationID":"I7eEay87","properties":{"formattedCitation":"\\super 5\\nosupersub{}","plainCitation":"5","noteIndex":0},"citationItems":[{"id":8142,"uris":["http://zotero.org/users/1824097/items/C95PVGGW"],"itemData":{"id":8142,"type":"article-journal","abstract":"Comprehensive analyses of multi-omics data may provide insights into interactions between different biological layers concerning distinct clinical features. We integrated data on the gut microbiota, blood parameters and urine metabolites of treatment-naive individuals presenting a wide range of metabolic disease phenotypes to delineate clinically meaningful associations. Trans-omics correlation networks revealed that candidate gut microbial biomarkers and urine metabolite feature were covaried with distinct clinical phenotypes. Integration of the gut microbiome, the urine metabolome and the phenome revealed that variations in one of these three systems correlated with changes in the other two. In a specific note about clinical parameters of liver function, we identified Eubacteriumeligens, Faecalibacteriumprausnitzii and Ruminococcuslactaris to be associated with a healthy liver function, whereas Clostridium bolteae, Tyzzerellanexills, Ruminococcusgnavus, Blautiahansenii, and Atopobiumparvulum were associated with blood biomarkers for liver diseases. Variations in these microbiota features paralleled changes in specific urine metabolites. Network modeling yielded two core clusters including one large gut microbe-urine metabolite close-knit cluster and one triangular cluster composed of a gut microbe-blood-urine network, demonstrating close inter-system crosstalk especially between the gut microbiome and the urine metabolome. Distinct clinical phenotypes are manifested in both the gut microbiome and the urine metabolome, and inter-domain connectivity takes the form of high-dimensional networks. Such networks may further our understanding of complex biological systems, and may provide a basis for identifying biomarkers for diseases. Deciphering the complexity of human physiology and disease requires a holistic and trans-omics approach integrating multi-layer data sets, including the gut microbiome and profiles of biological fluids. By studying the gut microbiome on carotid atherosclerosis, we identified microbial features associated with clinical parameters, and we observed that groups of urine metabolites correlated with groups of clinical parameters. Combining the three data sets, we revealed correlations of entities across the three systems, suggesting that physiological changes are reflected in each of the omics. Our findings provided insights into the interactive network between the gut microbiome, blood clinical parameters and the urine metabolome concerning physiological variations, and showed the promise of trans-omics study for biomarker discovery.","container-title":"Frontiers in Cellular and Infection Microbiology","DOI":"10.3389/fcimb.2021.708088","ISSN":"2235-2988","journalAbbreviation":"Front. Cell. Infect. Microbiol.","page":"708088","source":"DOI.org (Crossref)","title":"Network of Interactions Between Gut Microbiome, Host Biomarkers, and Urine Metabolome in Carotid Atherosclerosis","URL":"https://www.frontiersin.org/articles/10.3389/fcimb.2021.708088/full","volume":"11","author":[{"family":"Li","given":"Rui-Jun"},{"family":"Jie","given":"Zhu-Ye"},{"family":"Feng","given":"Qiang"},{"family":"Fang","given":"Rui-Ling"},{"family":"Li","given":"Fei"},{"family":"Gao","given":"Yuan"},{"family":"Xia","given":"Hui-Hua"},{"family":"Zhong","given":"Huan-Zi"},{"family":"Tong","given":"Bin"},{"family":"Madsen","given":"Lise"},{"family":"Zhang","given":"Jia-Hao"},{"family":"Liu","given":"Chun-Lei"},{"family":"Xu","given":"Zhen-Guo"},{"family":"Wang","given":"Jian"},{"family":"Yang","given":"Huan-Ming"},{"family":"Xu","given":"Xun"},{"family":"Hou","given":"Yong"},{"family":"Brix","given":"Susanne"},{"family":"Kristiansen","given":"Karsten"},{"family":"Yu","given":"Xin-Lei"},{"family":"Jia","given":"Hui-Jue"},{"family":"He","given":"Kun-Lun"}],"accessed":{"date-parts":[["2023",1,24]]},"issued":{"date-parts":[["2021",10,7]]}}}],"schema":"https://github.com/citation-style-language/schema/raw/master/csl-citation.json"} </w:instrText>
      </w:r>
      <w:r w:rsidR="00B26C2A" w:rsidRPr="00C428D5">
        <w:rPr>
          <w:rFonts w:ascii="Times New Roman" w:hAnsi="Times New Roman" w:cs="Times New Roman"/>
          <w:bCs/>
          <w:sz w:val="20"/>
          <w:szCs w:val="20"/>
        </w:rPr>
        <w:fldChar w:fldCharType="separate"/>
      </w:r>
      <w:r w:rsidR="00FD17E6" w:rsidRPr="00C428D5">
        <w:rPr>
          <w:rFonts w:ascii="Times New Roman" w:hAnsi="Times New Roman" w:cs="Times New Roman"/>
          <w:sz w:val="20"/>
          <w:szCs w:val="20"/>
          <w:vertAlign w:val="superscript"/>
          <w:lang w:val="en-GB"/>
        </w:rPr>
        <w:t>5</w:t>
      </w:r>
      <w:r w:rsidR="00B26C2A" w:rsidRPr="00C428D5">
        <w:rPr>
          <w:rFonts w:ascii="Times New Roman" w:hAnsi="Times New Roman" w:cs="Times New Roman"/>
          <w:bCs/>
          <w:sz w:val="20"/>
          <w:szCs w:val="20"/>
        </w:rPr>
        <w:fldChar w:fldCharType="end"/>
      </w:r>
      <w:r w:rsidRPr="00C428D5">
        <w:rPr>
          <w:rFonts w:ascii="Times New Roman" w:hAnsi="Times New Roman" w:cs="Times New Roman"/>
          <w:bCs/>
          <w:sz w:val="20"/>
          <w:szCs w:val="20"/>
        </w:rPr>
        <w:t xml:space="preserve">. Also, high levels of the QASD score were associated with high levels of </w:t>
      </w:r>
      <w:r w:rsidRPr="00C428D5">
        <w:rPr>
          <w:rFonts w:ascii="Times New Roman" w:hAnsi="Times New Roman" w:cs="Times New Roman"/>
          <w:bCs/>
          <w:i/>
          <w:iCs/>
          <w:sz w:val="20"/>
          <w:szCs w:val="20"/>
        </w:rPr>
        <w:t>E</w:t>
      </w:r>
      <w:r w:rsidR="00B26C2A" w:rsidRPr="00C428D5">
        <w:rPr>
          <w:rFonts w:ascii="Times New Roman" w:hAnsi="Times New Roman" w:cs="Times New Roman"/>
          <w:bCs/>
          <w:i/>
          <w:iCs/>
          <w:sz w:val="20"/>
          <w:szCs w:val="20"/>
        </w:rPr>
        <w:t>ubacterium</w:t>
      </w:r>
      <w:r w:rsidRPr="00C428D5">
        <w:rPr>
          <w:rFonts w:ascii="Times New Roman" w:hAnsi="Times New Roman" w:cs="Times New Roman"/>
          <w:bCs/>
          <w:i/>
          <w:iCs/>
          <w:sz w:val="20"/>
          <w:szCs w:val="20"/>
        </w:rPr>
        <w:t xml:space="preserve"> </w:t>
      </w:r>
      <w:proofErr w:type="spellStart"/>
      <w:r w:rsidRPr="00C428D5">
        <w:rPr>
          <w:rFonts w:ascii="Times New Roman" w:hAnsi="Times New Roman" w:cs="Times New Roman"/>
          <w:bCs/>
          <w:i/>
          <w:iCs/>
          <w:sz w:val="20"/>
          <w:szCs w:val="20"/>
        </w:rPr>
        <w:t>ramulus</w:t>
      </w:r>
      <w:proofErr w:type="spellEnd"/>
      <w:r w:rsidRPr="00C428D5">
        <w:rPr>
          <w:rFonts w:ascii="Times New Roman" w:hAnsi="Times New Roman" w:cs="Times New Roman"/>
          <w:bCs/>
          <w:sz w:val="20"/>
          <w:szCs w:val="20"/>
        </w:rPr>
        <w:t>, a gut bacterium that has been prove</w:t>
      </w:r>
      <w:r w:rsidR="00C31AA8" w:rsidRPr="00C428D5">
        <w:rPr>
          <w:rFonts w:ascii="Times New Roman" w:hAnsi="Times New Roman" w:cs="Times New Roman"/>
          <w:bCs/>
          <w:sz w:val="20"/>
          <w:szCs w:val="20"/>
        </w:rPr>
        <w:t>n</w:t>
      </w:r>
      <w:r w:rsidRPr="00C428D5">
        <w:rPr>
          <w:rFonts w:ascii="Times New Roman" w:hAnsi="Times New Roman" w:cs="Times New Roman"/>
          <w:bCs/>
          <w:sz w:val="20"/>
          <w:szCs w:val="20"/>
        </w:rPr>
        <w:t xml:space="preserve"> to degrade flavonoids from buckwheat</w:t>
      </w:r>
      <w:r w:rsidR="00B26C2A" w:rsidRPr="00C428D5">
        <w:rPr>
          <w:rFonts w:ascii="Times New Roman" w:hAnsi="Times New Roman" w:cs="Times New Roman"/>
          <w:bCs/>
          <w:sz w:val="20"/>
          <w:szCs w:val="20"/>
        </w:rPr>
        <w:fldChar w:fldCharType="begin"/>
      </w:r>
      <w:r w:rsidR="00FD17E6" w:rsidRPr="00C428D5">
        <w:rPr>
          <w:rFonts w:ascii="Times New Roman" w:hAnsi="Times New Roman" w:cs="Times New Roman"/>
          <w:bCs/>
          <w:sz w:val="20"/>
          <w:szCs w:val="20"/>
        </w:rPr>
        <w:instrText xml:space="preserve"> ADDIN ZOTERO_ITEM CSL_CITATION {"citationID":"KnJcJR0d","properties":{"formattedCitation":"\\super 6\\nosupersub{}","plainCitation":"6","noteIndex":0},"citationItems":[{"id":8150,"uris":["http://zotero.org/users/1824097/items/5D6D7DKT"],"itemData":{"id":8150,"type":"article-journal","container-title":"FEMS Microbiology Ecology","DOI":"10.1111/j.1574-6941.2002.tb00957.x","ISSN":"01686496, 15746941","issue":"3","language":"en","note":"number: 3","page":"243-248","source":"DOI.org (Crossref)","title":"The growth of the flavonoid-degrading intestinal bacterium, Eubacterium ramulus, is stimulated by dietary flavonoids in vivo","URL":"https://academic.oup.com/femsec/article-lookup/doi/10.1111/j.1574-6941.2002.tb00957.x","volume":"40","author":[{"family":"Simmering","given":"Rainer"},{"family":"Pforte","given":"Holger"},{"family":"Jacobasch","given":"Gisela"},{"family":"Blaut","given":"Michael"}],"accessed":{"date-parts":[["2023",1,24]]},"issued":{"date-parts":[["2002",6]]}}}],"schema":"https://github.com/citation-style-language/schema/raw/master/csl-citation.json"} </w:instrText>
      </w:r>
      <w:r w:rsidR="00B26C2A" w:rsidRPr="00C428D5">
        <w:rPr>
          <w:rFonts w:ascii="Times New Roman" w:hAnsi="Times New Roman" w:cs="Times New Roman"/>
          <w:bCs/>
          <w:sz w:val="20"/>
          <w:szCs w:val="20"/>
        </w:rPr>
        <w:fldChar w:fldCharType="separate"/>
      </w:r>
      <w:r w:rsidR="00FD17E6" w:rsidRPr="00C428D5">
        <w:rPr>
          <w:rFonts w:ascii="Times New Roman" w:hAnsi="Times New Roman" w:cs="Times New Roman"/>
          <w:sz w:val="20"/>
          <w:szCs w:val="20"/>
          <w:vertAlign w:val="superscript"/>
          <w:lang w:val="en-GB"/>
        </w:rPr>
        <w:t>6</w:t>
      </w:r>
      <w:r w:rsidR="00B26C2A" w:rsidRPr="00C428D5">
        <w:rPr>
          <w:rFonts w:ascii="Times New Roman" w:hAnsi="Times New Roman" w:cs="Times New Roman"/>
          <w:bCs/>
          <w:sz w:val="20"/>
          <w:szCs w:val="20"/>
        </w:rPr>
        <w:fldChar w:fldCharType="end"/>
      </w:r>
      <w:r w:rsidRPr="00C428D5">
        <w:rPr>
          <w:rFonts w:ascii="Times New Roman" w:hAnsi="Times New Roman" w:cs="Times New Roman"/>
          <w:bCs/>
          <w:sz w:val="20"/>
          <w:szCs w:val="20"/>
        </w:rPr>
        <w:t xml:space="preserve">. On the other </w:t>
      </w:r>
      <w:r w:rsidR="00C31AA8" w:rsidRPr="00C428D5">
        <w:rPr>
          <w:rFonts w:ascii="Times New Roman" w:hAnsi="Times New Roman" w:cs="Times New Roman"/>
          <w:bCs/>
          <w:sz w:val="20"/>
          <w:szCs w:val="20"/>
        </w:rPr>
        <w:t>hand</w:t>
      </w:r>
      <w:r w:rsidRPr="00C428D5">
        <w:rPr>
          <w:rFonts w:ascii="Times New Roman" w:hAnsi="Times New Roman" w:cs="Times New Roman"/>
          <w:bCs/>
          <w:sz w:val="20"/>
          <w:szCs w:val="20"/>
        </w:rPr>
        <w:t>, low levels of the QASD score</w:t>
      </w:r>
      <w:r w:rsidR="00BF723E" w:rsidRPr="00C428D5">
        <w:rPr>
          <w:rFonts w:ascii="Times New Roman" w:hAnsi="Times New Roman" w:cs="Times New Roman"/>
          <w:bCs/>
          <w:sz w:val="20"/>
          <w:szCs w:val="20"/>
        </w:rPr>
        <w:t xml:space="preserve"> (0-1-2-3)</w:t>
      </w:r>
      <w:r w:rsidRPr="00C428D5">
        <w:rPr>
          <w:rFonts w:ascii="Times New Roman" w:hAnsi="Times New Roman" w:cs="Times New Roman"/>
          <w:bCs/>
          <w:sz w:val="20"/>
          <w:szCs w:val="20"/>
        </w:rPr>
        <w:t xml:space="preserve"> were associated to high levels of </w:t>
      </w:r>
      <w:r w:rsidRPr="00C428D5">
        <w:rPr>
          <w:rFonts w:ascii="Times New Roman" w:hAnsi="Times New Roman" w:cs="Times New Roman"/>
          <w:bCs/>
          <w:i/>
          <w:iCs/>
          <w:sz w:val="20"/>
          <w:szCs w:val="20"/>
        </w:rPr>
        <w:t>C</w:t>
      </w:r>
      <w:r w:rsidR="00BF723E" w:rsidRPr="00C428D5">
        <w:rPr>
          <w:rFonts w:ascii="Times New Roman" w:hAnsi="Times New Roman" w:cs="Times New Roman"/>
          <w:bCs/>
          <w:i/>
          <w:iCs/>
          <w:sz w:val="20"/>
          <w:szCs w:val="20"/>
        </w:rPr>
        <w:t>lostridium</w:t>
      </w:r>
      <w:r w:rsidRPr="00C428D5">
        <w:rPr>
          <w:rFonts w:ascii="Times New Roman" w:hAnsi="Times New Roman" w:cs="Times New Roman"/>
          <w:bCs/>
          <w:i/>
          <w:iCs/>
          <w:sz w:val="20"/>
          <w:szCs w:val="20"/>
        </w:rPr>
        <w:t xml:space="preserve"> </w:t>
      </w:r>
      <w:proofErr w:type="spellStart"/>
      <w:r w:rsidRPr="00C428D5">
        <w:rPr>
          <w:rFonts w:ascii="Times New Roman" w:hAnsi="Times New Roman" w:cs="Times New Roman"/>
          <w:bCs/>
          <w:i/>
          <w:iCs/>
          <w:sz w:val="20"/>
          <w:szCs w:val="20"/>
        </w:rPr>
        <w:t>bolteae</w:t>
      </w:r>
      <w:proofErr w:type="spellEnd"/>
      <w:r w:rsidRPr="00C428D5">
        <w:rPr>
          <w:rFonts w:ascii="Times New Roman" w:hAnsi="Times New Roman" w:cs="Times New Roman"/>
          <w:bCs/>
          <w:sz w:val="20"/>
          <w:szCs w:val="20"/>
        </w:rPr>
        <w:t xml:space="preserve"> and </w:t>
      </w:r>
      <w:proofErr w:type="spellStart"/>
      <w:r w:rsidRPr="00C428D5">
        <w:rPr>
          <w:rFonts w:ascii="Times New Roman" w:hAnsi="Times New Roman" w:cs="Times New Roman"/>
          <w:bCs/>
          <w:i/>
          <w:iCs/>
          <w:sz w:val="20"/>
          <w:szCs w:val="20"/>
        </w:rPr>
        <w:t>Ruminococcus</w:t>
      </w:r>
      <w:proofErr w:type="spellEnd"/>
      <w:r w:rsidR="00BF723E" w:rsidRPr="00C428D5">
        <w:rPr>
          <w:rFonts w:ascii="Times New Roman" w:hAnsi="Times New Roman" w:cs="Times New Roman"/>
          <w:bCs/>
          <w:i/>
          <w:iCs/>
          <w:sz w:val="20"/>
          <w:szCs w:val="20"/>
        </w:rPr>
        <w:t xml:space="preserve"> </w:t>
      </w:r>
      <w:proofErr w:type="spellStart"/>
      <w:r w:rsidR="00BF723E" w:rsidRPr="00C428D5">
        <w:rPr>
          <w:rFonts w:ascii="Times New Roman" w:hAnsi="Times New Roman" w:cs="Times New Roman"/>
          <w:bCs/>
          <w:i/>
          <w:iCs/>
          <w:sz w:val="20"/>
          <w:szCs w:val="20"/>
        </w:rPr>
        <w:t>gnavus</w:t>
      </w:r>
      <w:proofErr w:type="spellEnd"/>
      <w:r w:rsidRPr="00C428D5">
        <w:rPr>
          <w:rFonts w:ascii="Times New Roman" w:hAnsi="Times New Roman" w:cs="Times New Roman"/>
          <w:bCs/>
          <w:sz w:val="20"/>
          <w:szCs w:val="20"/>
        </w:rPr>
        <w:t>, which are the microbes most strongly correlated with increased fasting and post-prandial inflammation</w:t>
      </w:r>
      <w:r w:rsidR="00D11695" w:rsidRPr="00C428D5">
        <w:rPr>
          <w:rFonts w:ascii="Times New Roman" w:hAnsi="Times New Roman" w:cs="Times New Roman"/>
          <w:bCs/>
          <w:sz w:val="20"/>
          <w:szCs w:val="20"/>
        </w:rPr>
        <w:t xml:space="preserve"> and </w:t>
      </w:r>
      <w:r w:rsidRPr="00C428D5">
        <w:rPr>
          <w:rFonts w:ascii="Times New Roman" w:hAnsi="Times New Roman" w:cs="Times New Roman"/>
          <w:bCs/>
          <w:sz w:val="20"/>
          <w:szCs w:val="20"/>
        </w:rPr>
        <w:t xml:space="preserve">considered markers of poor health in the </w:t>
      </w:r>
      <w:proofErr w:type="spellStart"/>
      <w:r w:rsidRPr="00C428D5">
        <w:rPr>
          <w:rFonts w:ascii="Times New Roman" w:hAnsi="Times New Roman" w:cs="Times New Roman"/>
          <w:bCs/>
          <w:sz w:val="20"/>
          <w:szCs w:val="20"/>
        </w:rPr>
        <w:t>PredictUK</w:t>
      </w:r>
      <w:proofErr w:type="spellEnd"/>
      <w:r w:rsidRPr="00C428D5">
        <w:rPr>
          <w:rFonts w:ascii="Times New Roman" w:hAnsi="Times New Roman" w:cs="Times New Roman"/>
          <w:bCs/>
          <w:sz w:val="20"/>
          <w:szCs w:val="20"/>
        </w:rPr>
        <w:t xml:space="preserve"> study</w:t>
      </w:r>
      <w:r w:rsidR="00BF723E" w:rsidRPr="00C428D5">
        <w:rPr>
          <w:rFonts w:ascii="Times New Roman" w:hAnsi="Times New Roman" w:cs="Times New Roman"/>
          <w:bCs/>
          <w:sz w:val="20"/>
          <w:szCs w:val="20"/>
        </w:rPr>
        <w:fldChar w:fldCharType="begin"/>
      </w:r>
      <w:r w:rsidR="00FD17E6" w:rsidRPr="00C428D5">
        <w:rPr>
          <w:rFonts w:ascii="Times New Roman" w:hAnsi="Times New Roman" w:cs="Times New Roman"/>
          <w:bCs/>
          <w:sz w:val="20"/>
          <w:szCs w:val="20"/>
        </w:rPr>
        <w:instrText xml:space="preserve"> ADDIN ZOTERO_ITEM CSL_CITATION {"citationID":"Dj18v01g","properties":{"formattedCitation":"\\super 4\\nosupersub{}","plainCitation":"4","noteIndex":0},"citationItems":[{"id":3855,"uris":["http://zotero.org/groups/2530525/items/U86BQ5FJ"],"itemData":{"id":3855,"type":"article-journal","container-title":"Nature Medicine","DOI":"10.1038/s41591-020-01183-8","ISSN":"1078-8956, 1546-170X","journalAbbreviation":"Nat Med","language":"en","source":"DOI.org (Crossref)","title":"Microbiome connections with host metabolism and habitual diet from 1,098 deeply phenotyped individuals","URL":"http://www.nature.com/articles/s41591-020-01183-8","author":[{"family":"Asnicar","given":"Francesco"},{"family":"Berry","given":"Sarah E."},{"family":"Valdes","given":"Ana M."},{"family":"Nguyen","given":"Long H."},{"family":"Piccinno","given":"Gianmarco"},{"family":"Drew","given":"David A."},{"family":"Leeming","given":"Emily"},{"family":"Gibson","given":"Rachel"},{"family":"Le Roy","given":"Caroline"},{"family":"Khatib","given":"Haya Al"},{"family":"Francis","given":"Lucy"},{"family":"Mazidi","given":"Mohsen"},{"family":"Mompeo","given":"Olatz"},{"family":"Valles-Colomer","given":"Mireia"},{"family":"Tett","given":"Adrian"},{"family":"Beghini","given":"Francesco"},{"family":"Dubois","given":"Léonard"},{"family":"Bazzani","given":"Davide"},{"family":"Thomas","given":"Andrew Maltez"},{"family":"Mirzayi","given":"Chloe"},{"family":"Khleborodova","given":"Asya"},{"family":"Oh","given":"Sehyun"},{"family":"Hine","given":"Rachel"},{"family":"Bonnett","given":"Christopher"},{"family":"Capdevila","given":"Joan"},{"family":"Danzanvilliers","given":"Serge"},{"family":"Giordano","given":"Francesca"},{"family":"Geistlinger","given":"Ludwig"},{"family":"Waldron","given":"Levi"},{"family":"Davies","given":"Richard"},{"family":"Hadjigeorgiou","given":"George"},{"family":"Wolf","given":"Jonathan"},{"family":"Ordovás","given":"José M."},{"family":"Gardner","given":"Christopher"},{"family":"Franks","given":"Paul W."},{"family":"Chan","given":"Andrew T."},{"family":"Huttenhower","given":"Curtis"},{"family":"Spector","given":"Tim D."},{"family":"Segata","given":"Nicola"}],"accessed":{"date-parts":[["2021",1,12]]},"issued":{"date-parts":[["2021",1,11]]}}}],"schema":"https://github.com/citation-style-language/schema/raw/master/csl-citation.json"} </w:instrText>
      </w:r>
      <w:r w:rsidR="00BF723E" w:rsidRPr="00C428D5">
        <w:rPr>
          <w:rFonts w:ascii="Times New Roman" w:hAnsi="Times New Roman" w:cs="Times New Roman"/>
          <w:bCs/>
          <w:sz w:val="20"/>
          <w:szCs w:val="20"/>
        </w:rPr>
        <w:fldChar w:fldCharType="separate"/>
      </w:r>
      <w:r w:rsidR="00FD17E6" w:rsidRPr="00C428D5">
        <w:rPr>
          <w:rFonts w:ascii="Times New Roman" w:hAnsi="Times New Roman" w:cs="Times New Roman"/>
          <w:sz w:val="20"/>
          <w:szCs w:val="20"/>
          <w:vertAlign w:val="superscript"/>
          <w:lang w:val="en-GB"/>
        </w:rPr>
        <w:t>4</w:t>
      </w:r>
      <w:r w:rsidR="00BF723E" w:rsidRPr="00C428D5">
        <w:rPr>
          <w:rFonts w:ascii="Times New Roman" w:hAnsi="Times New Roman" w:cs="Times New Roman"/>
          <w:bCs/>
          <w:sz w:val="20"/>
          <w:szCs w:val="20"/>
        </w:rPr>
        <w:fldChar w:fldCharType="end"/>
      </w:r>
      <w:r w:rsidRPr="00C428D5">
        <w:rPr>
          <w:rFonts w:ascii="Times New Roman" w:hAnsi="Times New Roman" w:cs="Times New Roman"/>
          <w:bCs/>
          <w:sz w:val="20"/>
          <w:szCs w:val="20"/>
        </w:rPr>
        <w:t xml:space="preserve"> and markers of liver disease</w:t>
      </w:r>
      <w:r w:rsidR="00906AFE" w:rsidRPr="00C428D5">
        <w:rPr>
          <w:rFonts w:ascii="Times New Roman" w:hAnsi="Times New Roman" w:cs="Times New Roman"/>
          <w:bCs/>
          <w:color w:val="000000" w:themeColor="text1"/>
          <w:sz w:val="20"/>
          <w:szCs w:val="20"/>
        </w:rPr>
        <w:t>s</w:t>
      </w:r>
      <w:r w:rsidR="00BF723E" w:rsidRPr="00C428D5">
        <w:rPr>
          <w:rFonts w:ascii="Times New Roman" w:hAnsi="Times New Roman" w:cs="Times New Roman"/>
          <w:bCs/>
          <w:sz w:val="20"/>
          <w:szCs w:val="20"/>
        </w:rPr>
        <w:fldChar w:fldCharType="begin"/>
      </w:r>
      <w:r w:rsidR="00FD17E6" w:rsidRPr="00C428D5">
        <w:rPr>
          <w:rFonts w:ascii="Times New Roman" w:hAnsi="Times New Roman" w:cs="Times New Roman"/>
          <w:bCs/>
          <w:sz w:val="20"/>
          <w:szCs w:val="20"/>
        </w:rPr>
        <w:instrText xml:space="preserve"> ADDIN ZOTERO_ITEM CSL_CITATION {"citationID":"AVqbPnJh","properties":{"formattedCitation":"\\super 5\\nosupersub{}","plainCitation":"5","noteIndex":0},"citationItems":[{"id":8142,"uris":["http://zotero.org/users/1824097/items/C95PVGGW"],"itemData":{"id":8142,"type":"article-journal","abstract":"Comprehensive analyses of multi-omics data may provide insights into interactions between different biological layers concerning distinct clinical features. We integrated data on the gut microbiota, blood parameters and urine metabolites of treatment-naive individuals presenting a wide range of metabolic disease phenotypes to delineate clinically meaningful associations. Trans-omics correlation networks revealed that candidate gut microbial biomarkers and urine metabolite feature were covaried with distinct clinical phenotypes. Integration of the gut microbiome, the urine metabolome and the phenome revealed that variations in one of these three systems correlated with changes in the other two. In a specific note about clinical parameters of liver function, we identified Eubacteriumeligens, Faecalibacteriumprausnitzii and Ruminococcuslactaris to be associated with a healthy liver function, whereas Clostridium bolteae, Tyzzerellanexills, Ruminococcusgnavus, Blautiahansenii, and Atopobiumparvulum were associated with blood biomarkers for liver diseases. Variations in these microbiota features paralleled changes in specific urine metabolites. Network modeling yielded two core clusters including one large gut microbe-urine metabolite close-knit cluster and one triangular cluster composed of a gut microbe-blood-urine network, demonstrating close inter-system crosstalk especially between the gut microbiome and the urine metabolome. Distinct clinical phenotypes are manifested in both the gut microbiome and the urine metabolome, and inter-domain connectivity takes the form of high-dimensional networks. Such networks may further our understanding of complex biological systems, and may provide a basis for identifying biomarkers for diseases. Deciphering the complexity of human physiology and disease requires a holistic and trans-omics approach integrating multi-layer data sets, including the gut microbiome and profiles of biological fluids. By studying the gut microbiome on carotid atherosclerosis, we identified microbial features associated with clinical parameters, and we observed that groups of urine metabolites correlated with groups of clinical parameters. Combining the three data sets, we revealed correlations of entities across the three systems, suggesting that physiological changes are reflected in each of the omics. Our findings provided insights into the interactive network between the gut microbiome, blood clinical parameters and the urine metabolome concerning physiological variations, and showed the promise of trans-omics study for biomarker discovery.","container-title":"Frontiers in Cellular and Infection Microbiology","DOI":"10.3389/fcimb.2021.708088","ISSN":"2235-2988","journalAbbreviation":"Front. Cell. Infect. Microbiol.","page":"708088","source":"DOI.org (Crossref)","title":"Network of Interactions Between Gut Microbiome, Host Biomarkers, and Urine Metabolome in Carotid Atherosclerosis","URL":"https://www.frontiersin.org/articles/10.3389/fcimb.2021.708088/full","volume":"11","author":[{"family":"Li","given":"Rui-Jun"},{"family":"Jie","given":"Zhu-Ye"},{"family":"Feng","given":"Qiang"},{"family":"Fang","given":"Rui-Ling"},{"family":"Li","given":"Fei"},{"family":"Gao","given":"Yuan"},{"family":"Xia","given":"Hui-Hua"},{"family":"Zhong","given":"Huan-Zi"},{"family":"Tong","given":"Bin"},{"family":"Madsen","given":"Lise"},{"family":"Zhang","given":"Jia-Hao"},{"family":"Liu","given":"Chun-Lei"},{"family":"Xu","given":"Zhen-Guo"},{"family":"Wang","given":"Jian"},{"family":"Yang","given":"Huan-Ming"},{"family":"Xu","given":"Xun"},{"family":"Hou","given":"Yong"},{"family":"Brix","given":"Susanne"},{"family":"Kristiansen","given":"Karsten"},{"family":"Yu","given":"Xin-Lei"},{"family":"Jia","given":"Hui-Jue"},{"family":"He","given":"Kun-Lun"}],"accessed":{"date-parts":[["2023",1,24]]},"issued":{"date-parts":[["2021",10,7]]}}}],"schema":"https://github.com/citation-style-language/schema/raw/master/csl-citation.json"} </w:instrText>
      </w:r>
      <w:r w:rsidR="00BF723E" w:rsidRPr="00C428D5">
        <w:rPr>
          <w:rFonts w:ascii="Times New Roman" w:hAnsi="Times New Roman" w:cs="Times New Roman"/>
          <w:bCs/>
          <w:sz w:val="20"/>
          <w:szCs w:val="20"/>
        </w:rPr>
        <w:fldChar w:fldCharType="separate"/>
      </w:r>
      <w:r w:rsidR="00FD17E6" w:rsidRPr="00C428D5">
        <w:rPr>
          <w:rFonts w:ascii="Times New Roman" w:hAnsi="Times New Roman" w:cs="Times New Roman"/>
          <w:sz w:val="20"/>
          <w:szCs w:val="20"/>
          <w:vertAlign w:val="superscript"/>
          <w:lang w:val="en-GB"/>
        </w:rPr>
        <w:t>5</w:t>
      </w:r>
      <w:r w:rsidR="00BF723E" w:rsidRPr="00C428D5">
        <w:rPr>
          <w:rFonts w:ascii="Times New Roman" w:hAnsi="Times New Roman" w:cs="Times New Roman"/>
          <w:bCs/>
          <w:sz w:val="20"/>
          <w:szCs w:val="20"/>
        </w:rPr>
        <w:fldChar w:fldCharType="end"/>
      </w:r>
      <w:r w:rsidRPr="00C428D5">
        <w:rPr>
          <w:rFonts w:ascii="Times New Roman" w:hAnsi="Times New Roman" w:cs="Times New Roman"/>
          <w:bCs/>
          <w:sz w:val="20"/>
          <w:szCs w:val="20"/>
        </w:rPr>
        <w:t>.</w:t>
      </w:r>
      <w:r w:rsidR="0062296A" w:rsidRPr="00C428D5">
        <w:rPr>
          <w:rFonts w:ascii="Times New Roman" w:hAnsi="Times New Roman" w:cs="Times New Roman"/>
          <w:bCs/>
          <w:sz w:val="20"/>
          <w:szCs w:val="20"/>
        </w:rPr>
        <w:t xml:space="preserve"> At functional level, high QASD score levels (5-6-7) were associated with 6 Gut Metabolic Modules (GMM) corresponding to the degradation of </w:t>
      </w:r>
      <w:proofErr w:type="spellStart"/>
      <w:r w:rsidR="0062296A" w:rsidRPr="00C428D5">
        <w:rPr>
          <w:rFonts w:ascii="Times New Roman" w:hAnsi="Times New Roman" w:cs="Times New Roman"/>
          <w:bCs/>
          <w:sz w:val="20"/>
          <w:szCs w:val="20"/>
        </w:rPr>
        <w:t>aminoacids</w:t>
      </w:r>
      <w:proofErr w:type="spellEnd"/>
      <w:r w:rsidR="0062296A" w:rsidRPr="00C428D5">
        <w:rPr>
          <w:rFonts w:ascii="Times New Roman" w:hAnsi="Times New Roman" w:cs="Times New Roman"/>
          <w:bCs/>
          <w:sz w:val="20"/>
          <w:szCs w:val="20"/>
        </w:rPr>
        <w:t xml:space="preserve"> (phenylalanine, glutamate and lysine), lipids (triacylglycerol) and phenylpropanoid metabolism (phenylalanine and quinate degradation; Figure 4C). </w:t>
      </w:r>
    </w:p>
    <w:p w14:paraId="79193EDC" w14:textId="0AD9A19B" w:rsidR="00D1061D" w:rsidRPr="00C428D5" w:rsidRDefault="00D1061D" w:rsidP="00D1061D">
      <w:pPr>
        <w:ind w:firstLine="0"/>
        <w:rPr>
          <w:rFonts w:ascii="Times New Roman" w:hAnsi="Times New Roman" w:cs="Times New Roman"/>
          <w:sz w:val="20"/>
          <w:szCs w:val="20"/>
        </w:rPr>
      </w:pPr>
      <w:r w:rsidRPr="00C428D5">
        <w:rPr>
          <w:rFonts w:ascii="Times New Roman" w:hAnsi="Times New Roman" w:cs="Times New Roman"/>
          <w:sz w:val="20"/>
          <w:szCs w:val="20"/>
        </w:rPr>
        <w:lastRenderedPageBreak/>
        <w:t>At metabolomic level</w:t>
      </w:r>
      <w:r w:rsidR="005D12C9" w:rsidRPr="00C428D5">
        <w:rPr>
          <w:rFonts w:ascii="Times New Roman" w:hAnsi="Times New Roman" w:cs="Times New Roman"/>
          <w:sz w:val="20"/>
          <w:szCs w:val="20"/>
        </w:rPr>
        <w:t xml:space="preserve"> (Figure 5</w:t>
      </w:r>
      <w:r w:rsidR="00F07C8F" w:rsidRPr="00C428D5">
        <w:rPr>
          <w:rFonts w:ascii="Times New Roman" w:hAnsi="Times New Roman" w:cs="Times New Roman"/>
          <w:sz w:val="20"/>
          <w:szCs w:val="20"/>
        </w:rPr>
        <w:t>, Supplemental Table S9</w:t>
      </w:r>
      <w:r w:rsidR="005D12C9" w:rsidRPr="00C428D5">
        <w:rPr>
          <w:rFonts w:ascii="Times New Roman" w:hAnsi="Times New Roman" w:cs="Times New Roman"/>
          <w:sz w:val="20"/>
          <w:szCs w:val="20"/>
        </w:rPr>
        <w:t>)</w:t>
      </w:r>
      <w:r w:rsidRPr="00C428D5">
        <w:rPr>
          <w:rFonts w:ascii="Times New Roman" w:hAnsi="Times New Roman" w:cs="Times New Roman"/>
          <w:sz w:val="20"/>
          <w:szCs w:val="20"/>
        </w:rPr>
        <w:t xml:space="preserve">, high levels of the QASD score are positively associated with </w:t>
      </w:r>
      <w:proofErr w:type="spellStart"/>
      <w:r w:rsidRPr="00C428D5">
        <w:rPr>
          <w:rFonts w:ascii="Times New Roman" w:hAnsi="Times New Roman" w:cs="Times New Roman"/>
          <w:sz w:val="20"/>
          <w:szCs w:val="20"/>
        </w:rPr>
        <w:t>hippurate</w:t>
      </w:r>
      <w:proofErr w:type="spellEnd"/>
      <w:r w:rsidRPr="00C428D5">
        <w:rPr>
          <w:rFonts w:ascii="Times New Roman" w:hAnsi="Times New Roman" w:cs="Times New Roman"/>
          <w:sz w:val="20"/>
          <w:szCs w:val="20"/>
        </w:rPr>
        <w:t>, multiple compounds derived from tryptophan metabolism (</w:t>
      </w:r>
      <w:r w:rsidR="00C31AA8" w:rsidRPr="00C428D5">
        <w:rPr>
          <w:rFonts w:ascii="Times New Roman" w:hAnsi="Times New Roman" w:cs="Times New Roman"/>
          <w:sz w:val="20"/>
          <w:szCs w:val="20"/>
        </w:rPr>
        <w:t>kynurenate</w:t>
      </w:r>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indoleacetate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indolepropionate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indoleacetylglutamine</w:t>
      </w:r>
      <w:proofErr w:type="spellEnd"/>
      <w:r w:rsidRPr="00C428D5">
        <w:rPr>
          <w:rFonts w:ascii="Times New Roman" w:hAnsi="Times New Roman" w:cs="Times New Roman"/>
          <w:sz w:val="20"/>
          <w:szCs w:val="20"/>
        </w:rPr>
        <w:t>, indolin-2-one), acyl-</w:t>
      </w:r>
      <w:proofErr w:type="spellStart"/>
      <w:r w:rsidRPr="00C428D5">
        <w:rPr>
          <w:rFonts w:ascii="Times New Roman" w:hAnsi="Times New Roman" w:cs="Times New Roman"/>
          <w:sz w:val="20"/>
          <w:szCs w:val="20"/>
        </w:rPr>
        <w:t>cholines</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palmitoylcholine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arachidonoylcholine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linoleoylcholine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dihomo</w:t>
      </w:r>
      <w:proofErr w:type="spellEnd"/>
      <w:r w:rsidRPr="00C428D5">
        <w:rPr>
          <w:rFonts w:ascii="Times New Roman" w:hAnsi="Times New Roman" w:cs="Times New Roman"/>
          <w:sz w:val="20"/>
          <w:szCs w:val="20"/>
        </w:rPr>
        <w:t xml:space="preserve">−linolenoyl−choline, </w:t>
      </w:r>
      <w:proofErr w:type="spellStart"/>
      <w:r w:rsidRPr="00C428D5">
        <w:rPr>
          <w:rFonts w:ascii="Times New Roman" w:hAnsi="Times New Roman" w:cs="Times New Roman"/>
          <w:sz w:val="20"/>
          <w:szCs w:val="20"/>
        </w:rPr>
        <w:t>glycerophosphorylcholine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oleoylcholine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stearoylcholine</w:t>
      </w:r>
      <w:proofErr w:type="spellEnd"/>
      <w:r w:rsidRPr="00C428D5">
        <w:rPr>
          <w:rFonts w:ascii="Times New Roman" w:hAnsi="Times New Roman" w:cs="Times New Roman"/>
          <w:sz w:val="20"/>
          <w:szCs w:val="20"/>
        </w:rPr>
        <w:t>), acyl-carnitines (</w:t>
      </w:r>
      <w:proofErr w:type="spellStart"/>
      <w:r w:rsidRPr="00C428D5">
        <w:rPr>
          <w:rFonts w:ascii="Times New Roman" w:hAnsi="Times New Roman" w:cs="Times New Roman"/>
          <w:sz w:val="20"/>
          <w:szCs w:val="20"/>
        </w:rPr>
        <w:t>triglylcarnitine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ximeloylcarnitine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methylsuccinoylcarnitine</w:t>
      </w:r>
      <w:proofErr w:type="spellEnd"/>
      <w:r w:rsidRPr="00C428D5">
        <w:rPr>
          <w:rFonts w:ascii="Times New Roman" w:hAnsi="Times New Roman" w:cs="Times New Roman"/>
          <w:sz w:val="20"/>
          <w:szCs w:val="20"/>
        </w:rPr>
        <w:t xml:space="preserve">), chemical compounds associated to coffee consumption/metabolism (caffeine, 1−methylxanthine, 1,3,7−trimethylurate, 5−acetylamino−6−formylamino−3−methyluracil, 1,3-dimethylurate, </w:t>
      </w:r>
      <w:proofErr w:type="spellStart"/>
      <w:r w:rsidRPr="00C428D5">
        <w:rPr>
          <w:rFonts w:ascii="Times New Roman" w:hAnsi="Times New Roman" w:cs="Times New Roman"/>
          <w:sz w:val="20"/>
          <w:szCs w:val="20"/>
        </w:rPr>
        <w:t>homostachydrine</w:t>
      </w:r>
      <w:proofErr w:type="spellEnd"/>
      <w:r w:rsidRPr="00C428D5">
        <w:rPr>
          <w:rFonts w:ascii="Times New Roman" w:hAnsi="Times New Roman" w:cs="Times New Roman"/>
          <w:sz w:val="20"/>
          <w:szCs w:val="20"/>
        </w:rPr>
        <w:t>) or pyrimidine related metabolites (uracil, uridine). Urine levels of Hippurate</w:t>
      </w:r>
      <w:r w:rsidR="00BF723E" w:rsidRPr="00C428D5">
        <w:rPr>
          <w:rFonts w:ascii="Times New Roman" w:hAnsi="Times New Roman" w:cs="Times New Roman"/>
          <w:sz w:val="20"/>
          <w:szCs w:val="20"/>
        </w:rPr>
        <w:t xml:space="preserve"> have been shown</w:t>
      </w:r>
      <w:r w:rsidRPr="00C428D5">
        <w:rPr>
          <w:rFonts w:ascii="Times New Roman" w:hAnsi="Times New Roman" w:cs="Times New Roman"/>
          <w:sz w:val="20"/>
          <w:szCs w:val="20"/>
        </w:rPr>
        <w:t xml:space="preserve"> positively associate</w:t>
      </w:r>
      <w:r w:rsidR="00BF723E" w:rsidRPr="00C428D5">
        <w:rPr>
          <w:rFonts w:ascii="Times New Roman" w:hAnsi="Times New Roman" w:cs="Times New Roman"/>
          <w:sz w:val="20"/>
          <w:szCs w:val="20"/>
        </w:rPr>
        <w:t>d</w:t>
      </w:r>
      <w:r w:rsidRPr="00C428D5">
        <w:rPr>
          <w:rFonts w:ascii="Times New Roman" w:hAnsi="Times New Roman" w:cs="Times New Roman"/>
          <w:sz w:val="20"/>
          <w:szCs w:val="20"/>
        </w:rPr>
        <w:t xml:space="preserve"> with microbial gene richness</w:t>
      </w:r>
      <w:r w:rsidR="00BF723E" w:rsidRPr="00C428D5">
        <w:rPr>
          <w:rFonts w:ascii="Times New Roman" w:hAnsi="Times New Roman" w:cs="Times New Roman"/>
          <w:sz w:val="20"/>
          <w:szCs w:val="20"/>
        </w:rPr>
        <w:t>,</w:t>
      </w:r>
      <w:r w:rsidRPr="00C428D5">
        <w:rPr>
          <w:rFonts w:ascii="Times New Roman" w:hAnsi="Times New Roman" w:cs="Times New Roman"/>
          <w:sz w:val="20"/>
          <w:szCs w:val="20"/>
        </w:rPr>
        <w:t xml:space="preserve"> improving glucose tolerance and enhancing insulin secretion in mouse experiments</w:t>
      </w:r>
      <w:r w:rsidR="00BF723E"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{"citationID":"osgooHnI","properties":{"formattedCitation":"\\super 7\\nosupersub{}","plainCitation":"7","noteIndex":0},"citationItems":[{"id":8159,"uris":["http://zotero.org/users/1824097/items/75K97BS5"],"itemData":{"id":8159,"type":"article-journal","abstract":"Objective\n              Gut microbial products are involved in regulation of host metabolism. In human and experimental studies, we explored the potential role of hippurate, a hepatic phase 2 conjugation product of microbial benzoate, as a marker and mediator of metabolic health.\n            \n            \n              Design\n              \n                In 271 middle-aged non-diabetic Danish individuals, who were stratified on habitual dietary intake, we applied\n                1\n                H-nuclear magnetic resonance (NMR) spectroscopy of urine samples and shotgun-sequencing-based metagenomics of the gut microbiome to explore links between the urine level of hippurate, measures of the gut microbiome, dietary fat and markers of metabolic health. In mechanistic experiments with chronic subcutaneous infusion of hippurate to high-fat-diet-fed obese mice, we tested for causality between hippurate and metabolic phenotypes.\n              \n            \n            \n              Results\n              \n                In the human study, we showed that urine hippurate positively associates with microbial gene richness and functional modules for microbial benzoate biosynthetic pathways, one of which is less prevalent in the\n                Bacteroides\n                2 enterotype compared with Ruminococcaceae or\n                Prevotella\n                enterotypes. Through dietary stratification, we identify a subset of study participants consuming a diet rich in saturated fat in which urine hippurate concentration, independently of gene richness, accounts for links with metabolic health. In the high-fat-fed mice experiments, we demonstrate causality through chronic infusion of hippurate (20 nmol/day) resulting in improved glucose tolerance and enhanced insulin secretion.\n              \n            \n            \n              Conclusion\n              Our human and experimental studies show that a high urine hippurate concentration is a general marker of metabolic health, and in the context of obesity induced by high-fat diets, hippurate contributes to metabolic improvements, highlighting its potential as a mediator of metabolic health.","container-title":"Gut","DOI":"10.1136/gutjnl-2020-323314","ISSN":"0017-5749, 1468-3288","issue":"11","journalAbbreviation":"Gut","language":"en","note":"number: 11","page":"2105-2114","source":"DOI.org (Crossref)","title":"Human and preclinical studies of the host–gut microbiome co-metabolite hippurate as a marker and mediator of metabolic health","URL":"https://gut.bmj.com/lookup/doi/10.1136/gutjnl-2020-323314","volume":"70","author":[{"family":"Brial","given":"François"},{"family":"Chilloux","given":"Julien"},{"family":"Nielsen","given":"Trine"},{"family":"Vieira-Silva","given":"Sara"},{"family":"Falony","given":"Gwen"},{"family":"Andrikopoulos","given":"Petros"},{"family":"Olanipekun","given":"Michael"},{"family":"Hoyles","given":"Lesley"},{"family":"Djouadi","given":"Fatima"},{"family":"Neves","given":"Ana L"},{"family":"Rodriguez-Martinez","given":"Andrea"},{"family":"Mouawad","given":"Ghiwa Ishac"},{"family":"Pons","given":"Nicolas"},{"family":"Forslund","given":"Sofia"},{"family":"Le-chatelier","given":"Emmanuelle"},{"family":"Le Lay","given":"Aurélie"},{"family":"Nicholson","given":"Jeremy"},{"family":"Hansen","given":"Torben"},{"family":"Hyötyläinen","given":"Tuulia"},{"family":"Clément","given":"Karine"},{"family":"Oresic","given":"Matej"},{"family":"Bork","given":"Peer"},{"family":"Ehrlich","given":"Stanislav Dusko"},{"family":"Raes","given":"Jeroen"},{"family":"Pedersen","given":"Oluf Borbye"},{"family":"Gauguier","given":"Dominique"},{"family":"Dumas","given":"Marc-Emmanuel"}],"accessed":{"date-parts":[["2023",1,24]]},"issued":{"date-parts":[["2021",11]]}}}],"schema":"https://github.com/citation-style-language/schema/raw/master/csl-citation.json"} </w:instrText>
      </w:r>
      <w:r w:rsidR="00BF723E"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7</w:t>
      </w:r>
      <w:r w:rsidR="00BF723E"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Indolepropionate</w:t>
      </w:r>
      <w:proofErr w:type="spellEnd"/>
      <w:r w:rsidRPr="00C428D5">
        <w:rPr>
          <w:rFonts w:ascii="Times New Roman" w:hAnsi="Times New Roman" w:cs="Times New Roman"/>
          <w:sz w:val="20"/>
          <w:szCs w:val="20"/>
        </w:rPr>
        <w:t xml:space="preserve"> (IPA) is a </w:t>
      </w:r>
      <w:r w:rsidR="00F07C8F" w:rsidRPr="00C428D5">
        <w:rPr>
          <w:rFonts w:ascii="Times New Roman" w:hAnsi="Times New Roman" w:cs="Times New Roman"/>
          <w:sz w:val="20"/>
          <w:szCs w:val="20"/>
        </w:rPr>
        <w:t>well-known</w:t>
      </w:r>
      <w:r w:rsidRPr="00C428D5">
        <w:rPr>
          <w:rFonts w:ascii="Times New Roman" w:hAnsi="Times New Roman" w:cs="Times New Roman"/>
          <w:sz w:val="20"/>
          <w:szCs w:val="20"/>
        </w:rPr>
        <w:t xml:space="preserve"> microbial metabolite produced from dietary tryptophan that is predictive of the onset of T2D, with high levels associated to lower likelihood of developing T2D</w:t>
      </w:r>
      <w:r w:rsidR="00BF723E"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{"citationID":"w9KYlQuy","properties":{"formattedCitation":"\\super 8\\nosupersub{}","plainCitation":"8","noteIndex":0},"citationItems":[{"id":8184,"uris":["http://zotero.org/users/1824097/items/6KYMW7UI"],"itemData":{"id":8184,"type":"article-journal","abstract":"Abstract\n            Wide-scale profiling technologies including metabolomics broaden the possibility of novel discoveries related to the pathogenesis of type 2 diabetes (T2D). By applying non-targeted metabolomics approach, we investigated here whether serum metabolite profile predicts T2D in a well-characterized study population with impaired glucose tolerance by examining two groups of individuals who took part in the Finnish Diabetes Prevention Study (DPS); those who either early developed T2D (n = 96) or did not convert to T2D within the 15-year follow-up (n = 104). Several novel metabolites were associated with lower likelihood of developing T2D, including indole and lipid related metabolites. Higher indolepropionic acid was associated with reduced likelihood of T2D in the DPS. Interestingly, in those who remained free of T2D, indolepropionic acid and various lipid species were associated with better insulin secretion and sensitivity, respectively. Furthermore, these metabolites were negatively correlated with low-grade inflammation. We replicated the association between indolepropionic acid and T2D risk in one Finnish and one Swedish population. We suggest that indolepropionic acid, a gut microbiota-produced metabolite, is a potential biomarker for the development of T2D that may mediate its protective effect by preservation of β-cell function. Novel lipid metabolites associated with T2D may exert their effects partly through enhancing insulin sensitivity.","container-title":"Scientific Reports","DOI":"10.1038/srep46337","ISSN":"2045-2322","issue":"1","journalAbbreviation":"Sci Rep","language":"en","note":"number: 1","page":"46337","source":"DOI.org (Crossref)","title":"Indolepropionic acid and novel lipid metabolites are associated with a lower risk of type 2 diabetes in the Finnish Diabetes Prevention Study","URL":"https://www.nature.com/articles/srep46337","volume":"7","author":[{"family":"Mello","given":"Vanessa D.","non-dropping-particle":"de"},{"family":"Paananen","given":"Jussi"},{"family":"Lindström","given":"Jaana"},{"family":"Lankinen","given":"Maria A."},{"family":"Shi","given":"Lin"},{"family":"Kuusisto","given":"Johanna"},{"family":"Pihlajamäki","given":"Jussi"},{"family":"Auriola","given":"Seppo"},{"family":"Lehtonen","given":"Marko"},{"family":"Rolandsson","given":"Olov"},{"family":"Bergdahl","given":"Ingvar A."},{"family":"Nordin","given":"Elise"},{"family":"Ilanne-Parikka","given":"Pirjo"},{"family":"Keinänen-Kiukaanniemi","given":"Sirkka"},{"family":"Landberg","given":"Rikard"},{"family":"Eriksson","given":"Johan G."},{"family":"Tuomilehto","given":"Jaakko"},{"family":"Hanhineva","given":"Kati"},{"family":"Uusitupa","given":"Matti"}],"accessed":{"date-parts":[["2023",1,25]]},"issued":{"date-parts":[["2017",4,11]]}}}],"schema":"https://github.com/citation-style-language/schema/raw/master/csl-citation.json"} </w:instrText>
      </w:r>
      <w:r w:rsidR="00BF723E"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8</w:t>
      </w:r>
      <w:r w:rsidR="00BF723E"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and regulates gastrointestinal barrier function </w:t>
      </w:r>
      <w:r w:rsidR="00906AFE" w:rsidRPr="00C428D5">
        <w:rPr>
          <w:rFonts w:ascii="Times New Roman" w:hAnsi="Times New Roman" w:cs="Times New Roman"/>
          <w:sz w:val="20"/>
          <w:szCs w:val="20"/>
        </w:rPr>
        <w:t xml:space="preserve">notably </w:t>
      </w:r>
      <w:r w:rsidRPr="00C428D5">
        <w:rPr>
          <w:rFonts w:ascii="Times New Roman" w:hAnsi="Times New Roman" w:cs="Times New Roman"/>
          <w:sz w:val="20"/>
          <w:szCs w:val="20"/>
        </w:rPr>
        <w:t xml:space="preserve">via its interaction with the </w:t>
      </w:r>
      <w:proofErr w:type="spellStart"/>
      <w:r w:rsidRPr="00C428D5">
        <w:rPr>
          <w:rFonts w:ascii="Times New Roman" w:hAnsi="Times New Roman" w:cs="Times New Roman"/>
          <w:sz w:val="20"/>
          <w:szCs w:val="20"/>
        </w:rPr>
        <w:t>pregnane</w:t>
      </w:r>
      <w:proofErr w:type="spellEnd"/>
      <w:r w:rsidRPr="00C428D5">
        <w:rPr>
          <w:rFonts w:ascii="Times New Roman" w:hAnsi="Times New Roman" w:cs="Times New Roman"/>
          <w:sz w:val="20"/>
          <w:szCs w:val="20"/>
        </w:rPr>
        <w:t xml:space="preserve"> X receptor (PXR)</w:t>
      </w:r>
      <w:r w:rsidR="00BF723E"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{"citationID":"nv5D9fbA","properties":{"formattedCitation":"\\super 9\\nosupersub{}","plainCitation":"9","noteIndex":0},"citationItems":[{"id":8182,"uris":["http://zotero.org/users/1824097/items/6BHVCDIT"],"itemData":{"id":8182,"type":"article-journal","container-title":"Immunity","DOI":"10.1016/j.immuni.2014.06.014","ISSN":"10747613","issue":"2","journalAbbreviation":"Immunity","language":"en","note":"number: 2","page":"296-310","source":"DOI.org (Crossref)","title":"Symbiotic Bacterial Metabolites Regulate Gastrointestinal Barrier Function via the Xenobiotic Sensor PXR and Toll-like Receptor 4","URL":"https://linkinghub.elsevier.com/retrieve/pii/S1074761314002362","volume":"41","author":[{"family":"Venkatesh","given":"Madhukumar"},{"family":"Mukherjee","given":"Subhajit"},{"family":"Wang","given":"Hongwei"},{"family":"Li","given":"Hao"},{"family":"Sun","given":"Katherine"},{"family":"Benechet","given":"Alexandre P."},{"family":"Qiu","given":"Zhijuan"},{"family":"Maher","given":"Leigh"},{"family":"Redinbo","given":"Matthew R."},{"family":"Phillips","given":"Robert S."},{"family":"Fleet","given":"James C."},{"family":"Kortagere","given":"Sandhya"},{"family":"Mukherjee","given":"Paromita"},{"family":"Fasano","given":"Alessio"},{"family":"Le Ven","given":"Jessica"},{"family":"Nicholson","given":"Jeremy K."},{"family":"Dumas","given":"Marc E."},{"family":"Khanna","given":"Kamal M."},{"family":"Mani","given":"Sridhar"}],"accessed":{"date-parts":[["2023",1,25]]},"issued":{"date-parts":[["2014",8]]}}}],"schema":"https://github.com/citation-style-language/schema/raw/master/csl-citation.json"} </w:instrText>
      </w:r>
      <w:r w:rsidR="00BF723E"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9</w:t>
      </w:r>
      <w:r w:rsidR="00BF723E"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being  strongly associated with intake of dietary </w:t>
      </w:r>
      <w:r w:rsidR="00C31AA8" w:rsidRPr="00C428D5">
        <w:rPr>
          <w:rFonts w:ascii="Times New Roman" w:hAnsi="Times New Roman" w:cs="Times New Roman"/>
          <w:sz w:val="20"/>
          <w:szCs w:val="20"/>
        </w:rPr>
        <w:t>fiber</w:t>
      </w:r>
      <w:r w:rsidRPr="00C428D5">
        <w:rPr>
          <w:rFonts w:ascii="Times New Roman" w:hAnsi="Times New Roman" w:cs="Times New Roman"/>
          <w:sz w:val="20"/>
          <w:szCs w:val="20"/>
        </w:rPr>
        <w:t xml:space="preserve"> and positively associated with microbiome diversity in the </w:t>
      </w:r>
      <w:proofErr w:type="spellStart"/>
      <w:r w:rsidR="00BF723E" w:rsidRPr="00C428D5">
        <w:rPr>
          <w:rFonts w:ascii="Times New Roman" w:hAnsi="Times New Roman" w:cs="Times New Roman"/>
          <w:sz w:val="20"/>
          <w:szCs w:val="20"/>
        </w:rPr>
        <w:t>T</w:t>
      </w:r>
      <w:r w:rsidRPr="00C428D5">
        <w:rPr>
          <w:rFonts w:ascii="Times New Roman" w:hAnsi="Times New Roman" w:cs="Times New Roman"/>
          <w:sz w:val="20"/>
          <w:szCs w:val="20"/>
        </w:rPr>
        <w:t>winsUK</w:t>
      </w:r>
      <w:proofErr w:type="spellEnd"/>
      <w:r w:rsidRPr="00C428D5">
        <w:rPr>
          <w:rFonts w:ascii="Times New Roman" w:hAnsi="Times New Roman" w:cs="Times New Roman"/>
          <w:sz w:val="20"/>
          <w:szCs w:val="20"/>
        </w:rPr>
        <w:t xml:space="preserve"> cohort</w:t>
      </w:r>
      <w:r w:rsidR="00047720"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{"citationID":"FzjqPRHR","properties":{"formattedCitation":"\\super 10,11\\nosupersub{}","plainCitation":"10,11","noteIndex":0},"citationItems":[{"id":8180,"uris":["http://zotero.org/users/1824097/items/YJMVXFPI"],"itemData":{"id":8180,"type":"article-journal","container-title":"PLOS ONE","DOI":"10.1371/journal.pone.0158568","ISSN":"1932-6203","issue":"6","journalAbbreviation":"PLoS ONE","language":"en","note":"number: 6","page":"e0158568","source":"DOI.org (Crossref)","title":"Characterizing Blood Metabolomics Profiles Associated with Self-Reported Food Intakes in Female Twins","URL":"https://dx.plos.org/10.1371/journal.pone.0158568","volume":"11","author":[{"family":"Pallister","given":"Tess"},{"family":"Jennings","given":"Amy"},{"family":"Mohney","given":"Robert P."},{"family":"Yarand","given":"Darioush"},{"family":"Mangino","given":"Massimo"},{"family":"Cassidy","given":"Aedin"},{"family":"MacGregor","given":"Alexander"},{"family":"Spector","given":"Tim D."},{"family":"Menni","given":"Cristina"}],"editor":[{"family":"Portero-Otin","given":"Manuel"}],"accessed":{"date-parts":[["2023",1,25]]},"issued":{"date-parts":[["2016",6,29]]}}},{"id":8161,"uris":["http://zotero.org/users/1824097/items/M6VJRPT2"],"itemData":{"id":8161,"type":"article-journal","container-title":"Gut Microbes","DOI":"10.1080/19490976.2019.1586038","ISSN":"1949-0976, 1949-0984","issue":"6","journalAbbreviation":"Gut Microbes","language":"en","note":"number: 6","page":"688-695","source":"DOI.org (Crossref)","title":"Circulating levels of the anti-oxidant indoleproprionic acid are associated with higher gut microbiome diversity","URL":"https://www.tandfonline.com/doi/full/10.1080/19490976.2019.1586038","volume":"10","author":[{"family":"Menni","given":"Cristina"},{"family":"Hernandez","given":"Marisa Matey"},{"family":"Vital","given":"Marius"},{"family":"Mohney","given":"Robert P."},{"family":"Spector","given":"Tim D."},{"family":"Valdes","given":"Ana M."}],"accessed":{"date-parts":[["2023",1,24]]},"issued":{"date-parts":[["2019",11,2]]}}}],"schema":"https://github.com/citation-style-language/schema/raw/master/csl-citation.json"} </w:instrText>
      </w:r>
      <w:r w:rsidR="00047720"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10,11</w:t>
      </w:r>
      <w:r w:rsidR="00047720"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Indoleacetate</w:t>
      </w:r>
      <w:proofErr w:type="spellEnd"/>
      <w:r w:rsidRPr="00C428D5">
        <w:rPr>
          <w:rFonts w:ascii="Times New Roman" w:hAnsi="Times New Roman" w:cs="Times New Roman"/>
          <w:sz w:val="20"/>
          <w:szCs w:val="20"/>
        </w:rPr>
        <w:t xml:space="preserve"> </w:t>
      </w:r>
      <w:r w:rsidR="00906AFE" w:rsidRPr="00C428D5">
        <w:rPr>
          <w:rFonts w:ascii="Times New Roman" w:hAnsi="Times New Roman" w:cs="Times New Roman"/>
          <w:color w:val="000000" w:themeColor="text1"/>
          <w:sz w:val="20"/>
          <w:szCs w:val="20"/>
        </w:rPr>
        <w:t xml:space="preserve">also </w:t>
      </w:r>
      <w:r w:rsidRPr="00C428D5">
        <w:rPr>
          <w:rFonts w:ascii="Times New Roman" w:hAnsi="Times New Roman" w:cs="Times New Roman"/>
          <w:sz w:val="20"/>
          <w:szCs w:val="20"/>
        </w:rPr>
        <w:t xml:space="preserve">belongs to tryptophan-derived microbial metabolites known to activate the nuclear receptor </w:t>
      </w:r>
      <w:proofErr w:type="spellStart"/>
      <w:r w:rsidRPr="00C428D5">
        <w:rPr>
          <w:rFonts w:ascii="Times New Roman" w:hAnsi="Times New Roman" w:cs="Times New Roman"/>
          <w:sz w:val="20"/>
          <w:szCs w:val="20"/>
        </w:rPr>
        <w:t>AhR</w:t>
      </w:r>
      <w:proofErr w:type="spellEnd"/>
      <w:r w:rsidRPr="00C428D5">
        <w:rPr>
          <w:rFonts w:ascii="Times New Roman" w:hAnsi="Times New Roman" w:cs="Times New Roman"/>
          <w:sz w:val="20"/>
          <w:szCs w:val="20"/>
        </w:rPr>
        <w:t>, being depleted in metabolic syndrome</w:t>
      </w:r>
      <w:r w:rsidR="00047720"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{"citationID":"sS4n2xU6","properties":{"formattedCitation":"\\super 12\\nosupersub{}","plainCitation":"12","noteIndex":0},"citationItems":[{"id":8186,"uris":["http://zotero.org/users/1824097/items/U74D3ZJ7"],"itemData":{"id":8186,"type":"article-journal","container-title":"Cell Metabolism","DOI":"10.1016/j.cmet.2018.07.001","ISSN":"15504131","issue":"5","journalAbbreviation":"Cell Metabolism","language":"en","note":"number: 5","page":"737-749.e4","source":"DOI.org (Crossref)","title":"Impaired Aryl Hydrocarbon Receptor Ligand Production by the Gut Microbiota Is a Key Factor in Metabolic Syndrome","URL":"https://linkinghub.elsevier.com/retrieve/pii/S1550413118304443","volume":"28","author":[{"family":"Natividad","given":"Jane M."},{"family":"Agus","given":"Allison"},{"family":"Planchais","given":"Julien"},{"family":"Lamas","given":"Bruno"},{"family":"Jarry","given":"Anne Charlotte"},{"family":"Martin","given":"Rebeca"},{"family":"Michel","given":"Marie-Laure"},{"family":"Chong-Nguyen","given":"Caroline"},{"family":"Roussel","given":"Ronan"},{"family":"Straube","given":"Marjolene"},{"family":"Jegou","given":"Sarah"},{"family":"McQuitty","given":"Claire"},{"family":"Le Gall","given":"Maude"},{"family":"Costa","given":"Gregory","non-dropping-particle":"da"},{"family":"Lecornet","given":"Emmanuelle"},{"family":"Michaudel","given":"Chloé"},{"family":"Modoux","given":"Morgane"},{"family":"Glodt","given":"Jeremy"},{"family":"Bridonneau","given":"Chantal"},{"family":"Sovran","given":"Bruno"},{"family":"Dupraz","given":"Louise"},{"family":"Bado","given":"Andre"},{"family":"Richard","given":"Mathias L."},{"family":"Langella","given":"Philippe"},{"family":"Hansel","given":"Boris"},{"family":"Launay","given":"Jean-Marie"},{"family":"Xavier","given":"Ramnik J."},{"family":"Duboc","given":"Henri"},{"family":"Sokol","given":"Harry"}],"accessed":{"date-parts":[["2023",1,25]]},"issued":{"date-parts":[["2018",11]]}}}],"schema":"https://github.com/citation-style-language/schema/raw/master/csl-citation.json"} </w:instrText>
      </w:r>
      <w:r w:rsidR="00047720"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12</w:t>
      </w:r>
      <w:r w:rsidR="00047720"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and reduced in mice on a HFD versus a low-fat diet, attenuating cytokine-mediated lipogenesis in hepatocytes</w:t>
      </w:r>
      <w:r w:rsidR="00047720"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{"citationID":"qitvPNkb","properties":{"formattedCitation":"\\super 13\\nosupersub{}","plainCitation":"13","noteIndex":0},"citationItems":[{"id":8188,"uris":["http://zotero.org/users/1824097/items/H37S34HM"],"itemData":{"id":8188,"type":"article-journal","container-title":"Cell Reports","DOI":"10.1016/j.celrep.2018.03.109","ISSN":"22111247","issue":"4","journalAbbreviation":"Cell Reports","language":"en","note":"number: 4","page":"1099-1111","source":"DOI.org (Crossref)","title":"Gut Microbiota-Derived Tryptophan Metabolites Modulate Inflammatory Response in Hepatocytes and Macrophages","URL":"https://linkinghub.elsevier.com/retrieve/pii/S2211124718304856","volume":"23","author":[{"family":"Krishnan","given":"Smitha"},{"family":"Ding","given":"Yufang"},{"family":"Saedi","given":"Nima"},{"family":"Choi","given":"Maria"},{"family":"Sridharan","given":"Gautham V."},{"family":"Sherr","given":"David H."},{"family":"Yarmush","given":"Martin L."},{"family":"Alaniz","given":"Robert C."},{"family":"Jayaraman","given":"Arul"},{"family":"Lee","given":"Kyongbum"}],"accessed":{"date-parts":[["2023",1,25]]},"issued":{"date-parts":[["2018",4]]}}}],"schema":"https://github.com/citation-style-language/schema/raw/master/csl-citation.json"} </w:instrText>
      </w:r>
      <w:r w:rsidR="00047720"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13</w:t>
      </w:r>
      <w:r w:rsidR="00047720"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whereas </w:t>
      </w:r>
      <w:r w:rsidR="00047720" w:rsidRPr="00C428D5">
        <w:rPr>
          <w:rFonts w:ascii="Times New Roman" w:hAnsi="Times New Roman" w:cs="Times New Roman"/>
          <w:sz w:val="20"/>
          <w:szCs w:val="20"/>
        </w:rPr>
        <w:t>kynurenate</w:t>
      </w:r>
      <w:r w:rsidRPr="00C428D5">
        <w:rPr>
          <w:rFonts w:ascii="Times New Roman" w:hAnsi="Times New Roman" w:cs="Times New Roman"/>
          <w:sz w:val="20"/>
          <w:szCs w:val="20"/>
        </w:rPr>
        <w:t xml:space="preserve">, an intermediate of </w:t>
      </w:r>
      <w:r w:rsidR="00047720" w:rsidRPr="00C428D5">
        <w:rPr>
          <w:rFonts w:ascii="Times New Roman" w:hAnsi="Times New Roman" w:cs="Times New Roman"/>
          <w:sz w:val="20"/>
          <w:szCs w:val="20"/>
        </w:rPr>
        <w:t>kynurenine</w:t>
      </w:r>
      <w:r w:rsidRPr="00C428D5">
        <w:rPr>
          <w:rFonts w:ascii="Times New Roman" w:hAnsi="Times New Roman" w:cs="Times New Roman"/>
          <w:sz w:val="20"/>
          <w:szCs w:val="20"/>
        </w:rPr>
        <w:t xml:space="preserve"> pathway of tryptophan degradation, plays an important role in cognition by acting on NMDA receptors</w:t>
      </w:r>
      <w:r w:rsidR="00047720"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{"citationID":"Y8JWn7Sz","properties":{"formattedCitation":"\\super 14,15\\nosupersub{}","plainCitation":"14,15","noteIndex":0},"citationItems":[{"id":8192,"uris":["http://zotero.org/users/1824097/items/J5LTIV4C"],"itemData":{"id":8192,"type":"article-journal","container-title":"Neuropharmacology","DOI":"10.1016/j.neuropharm.2016.07.002","ISSN":"00283908","journalAbbreviation":"Neuropharmacology","language":"en","page":"399-412","source":"DOI.org (Crossref)","title":"Kynurenine pathway metabolism and the microbiota-gut-brain axis","URL":"https://linkinghub.elsevier.com/retrieve/pii/S002839081630288X","volume":"112","author":[{"family":"Kennedy","given":"P.J."},{"family":"Cryan","given":"J.F."},{"family":"Dinan","given":"T.G."},{"family":"Clarke","given":"G."}],"accessed":{"date-parts":[["2023",1,25]]},"issued":{"date-parts":[["2017",1]]}}},{"id":8190,"uris":["http://zotero.org/users/1824097/items/5Q2XQKLB"],"itemData":{"id":8190,"type":"article-journal","container-title":"British Journal of Pharmacology","DOI":"10.1111/bph.12230","ISSN":"00071188","issue":"6","journalAbbreviation":"Br J Pharmacol","language":"en","note":"number: 6","page":"1211-1227","source":"DOI.org (Crossref)","title":"The kynurenine pathway as a therapeutic target in cognitive and neurodegenerative disorders: Kynurenines and CNS disorders","title-short":"The kynurenine pathway as a therapeutic target in cognitive and neurodegenerative disorders","URL":"https://onlinelibrary.wiley.com/doi/10.1111/bph.12230","volume":"169","author":[{"family":"Stone","given":"Trevor W"},{"family":"Darlington","given":"L Gail"}],"accessed":{"date-parts":[["2023",1,25]]},"issued":{"date-parts":[["2013",7]]}}}],"schema":"https://github.com/citation-style-language/schema/raw/master/csl-citation.json"} </w:instrText>
      </w:r>
      <w:r w:rsidR="00047720"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14,15</w:t>
      </w:r>
      <w:r w:rsidR="00047720"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Acyl </w:t>
      </w:r>
      <w:proofErr w:type="spellStart"/>
      <w:r w:rsidRPr="00C428D5">
        <w:rPr>
          <w:rFonts w:ascii="Times New Roman" w:hAnsi="Times New Roman" w:cs="Times New Roman"/>
          <w:sz w:val="20"/>
          <w:szCs w:val="20"/>
        </w:rPr>
        <w:t>cholines</w:t>
      </w:r>
      <w:proofErr w:type="spellEnd"/>
      <w:r w:rsidRPr="00C428D5">
        <w:rPr>
          <w:rFonts w:ascii="Times New Roman" w:hAnsi="Times New Roman" w:cs="Times New Roman"/>
          <w:sz w:val="20"/>
          <w:szCs w:val="20"/>
        </w:rPr>
        <w:t xml:space="preserve"> (choline acylated </w:t>
      </w:r>
      <w:r w:rsidR="000C6ECB" w:rsidRPr="00C428D5">
        <w:rPr>
          <w:rFonts w:ascii="Times New Roman" w:hAnsi="Times New Roman" w:cs="Times New Roman"/>
          <w:sz w:val="20"/>
          <w:szCs w:val="20"/>
        </w:rPr>
        <w:t>with a fatty</w:t>
      </w:r>
      <w:r w:rsidRPr="00C428D5">
        <w:rPr>
          <w:rFonts w:ascii="Times New Roman" w:hAnsi="Times New Roman" w:cs="Times New Roman"/>
          <w:sz w:val="20"/>
          <w:szCs w:val="20"/>
        </w:rPr>
        <w:t xml:space="preserve"> acid) includes the </w:t>
      </w:r>
      <w:r w:rsidR="000C6ECB" w:rsidRPr="00C428D5">
        <w:rPr>
          <w:rFonts w:ascii="Times New Roman" w:hAnsi="Times New Roman" w:cs="Times New Roman"/>
          <w:sz w:val="20"/>
          <w:szCs w:val="20"/>
        </w:rPr>
        <w:t>well-known</w:t>
      </w:r>
      <w:r w:rsidRPr="00C428D5">
        <w:rPr>
          <w:rFonts w:ascii="Times New Roman" w:hAnsi="Times New Roman" w:cs="Times New Roman"/>
          <w:sz w:val="20"/>
          <w:szCs w:val="20"/>
        </w:rPr>
        <w:t xml:space="preserve"> neurotransmitter acetylcholine but also long-chain unsaturated </w:t>
      </w:r>
      <w:proofErr w:type="spellStart"/>
      <w:r w:rsidRPr="00C428D5">
        <w:rPr>
          <w:rFonts w:ascii="Times New Roman" w:hAnsi="Times New Roman" w:cs="Times New Roman"/>
          <w:sz w:val="20"/>
          <w:szCs w:val="20"/>
        </w:rPr>
        <w:t>acylcholines</w:t>
      </w:r>
      <w:proofErr w:type="spellEnd"/>
      <w:r w:rsidRPr="00C428D5">
        <w:rPr>
          <w:rFonts w:ascii="Times New Roman" w:hAnsi="Times New Roman" w:cs="Times New Roman"/>
          <w:sz w:val="20"/>
          <w:szCs w:val="20"/>
        </w:rPr>
        <w:t xml:space="preserve"> detected </w:t>
      </w:r>
      <w:r w:rsidR="00F07C8F" w:rsidRPr="00C428D5">
        <w:rPr>
          <w:rFonts w:ascii="Times New Roman" w:hAnsi="Times New Roman" w:cs="Times New Roman"/>
          <w:sz w:val="20"/>
          <w:szCs w:val="20"/>
        </w:rPr>
        <w:t>in tissues</w:t>
      </w:r>
      <w:r w:rsidRPr="00C428D5">
        <w:rPr>
          <w:rFonts w:ascii="Times New Roman" w:hAnsi="Times New Roman" w:cs="Times New Roman"/>
          <w:sz w:val="20"/>
          <w:szCs w:val="20"/>
        </w:rPr>
        <w:t xml:space="preserve"> of blood vessels obtained from the operations of patients suffering from cardiovascular diseases. </w:t>
      </w:r>
      <w:proofErr w:type="spellStart"/>
      <w:r w:rsidRPr="00C428D5">
        <w:rPr>
          <w:rFonts w:ascii="Times New Roman" w:hAnsi="Times New Roman" w:cs="Times New Roman"/>
          <w:sz w:val="20"/>
          <w:szCs w:val="20"/>
        </w:rPr>
        <w:t>Arachidonoylcholine</w:t>
      </w:r>
      <w:proofErr w:type="spellEnd"/>
      <w:r w:rsidRPr="00C428D5">
        <w:rPr>
          <w:rFonts w:ascii="Times New Roman" w:hAnsi="Times New Roman" w:cs="Times New Roman"/>
          <w:sz w:val="20"/>
          <w:szCs w:val="20"/>
        </w:rPr>
        <w:t xml:space="preserve"> and other unsaturated fatty acid analogs with the chain length of 18 and 22 carbon atoms are inhibitors of the neuronal and muscle-type nicotinic receptors and modest inhibitors of the acetylcholinesterase (</w:t>
      </w:r>
      <w:proofErr w:type="spellStart"/>
      <w:r w:rsidRPr="00C428D5">
        <w:rPr>
          <w:rFonts w:ascii="Times New Roman" w:hAnsi="Times New Roman" w:cs="Times New Roman"/>
          <w:sz w:val="20"/>
          <w:szCs w:val="20"/>
        </w:rPr>
        <w:t>AChE</w:t>
      </w:r>
      <w:proofErr w:type="spellEnd"/>
      <w:r w:rsidRPr="00C428D5">
        <w:rPr>
          <w:rFonts w:ascii="Times New Roman" w:hAnsi="Times New Roman" w:cs="Times New Roman"/>
          <w:sz w:val="20"/>
          <w:szCs w:val="20"/>
        </w:rPr>
        <w:t>, EC 3.1.1.7) and butyrylcholinesterase (</w:t>
      </w:r>
      <w:proofErr w:type="spellStart"/>
      <w:r w:rsidRPr="00C428D5">
        <w:rPr>
          <w:rFonts w:ascii="Times New Roman" w:hAnsi="Times New Roman" w:cs="Times New Roman"/>
          <w:sz w:val="20"/>
          <w:szCs w:val="20"/>
        </w:rPr>
        <w:t>BChE</w:t>
      </w:r>
      <w:proofErr w:type="spellEnd"/>
      <w:r w:rsidRPr="00C428D5">
        <w:rPr>
          <w:rFonts w:ascii="Times New Roman" w:hAnsi="Times New Roman" w:cs="Times New Roman"/>
          <w:sz w:val="20"/>
          <w:szCs w:val="20"/>
        </w:rPr>
        <w:t>, EC 3.1.1.8), and thus could act as endogenous modulators of the acetylcholine signaling system</w:t>
      </w:r>
      <w:r w:rsidR="000C6ECB"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{"citationID":"XFaPxRzO","properties":{"formattedCitation":"\\super 16\\nosupersub{}","plainCitation":"16","noteIndex":0},"citationItems":[{"id":8193,"uris":["http://zotero.org/users/1824097/items/U5ZCXP4P"],"itemData":{"id":8193,"type":"article-journal","abstract":"Cholines acylated with unsaturated fatty acids are a recently discovered family of endogenous lipids. However, the data on the biological activity of acylcholines remain very limited. We hypothesized that acylcholines containing residues of arachidonic (AA-CHOL), oleic (Ol-CHOL), linoleic (Ln-CHOL), and docosahexaenoic (DHA-CHOL) acids act as modulators of the acetylcholine signaling system. In the radioligand binding assay, acylcholines showed inhibition in the micromolar range of both α7 neuronal nAChR overexpressed in GH4C1 cells and muscle type nAChR from Torpedo californica, as well as Lymnaea stagnalis acetylcholine binding protein. Functional response was checked in two cell lines endogenously expressing α7 nAChR. In SH-SY5Y cells, these compounds did not induce Ca2+ rise, but inhibited the acetylcholine-evoked Ca2+ rise with IC50 9 to 12 μM. In the A549 lung cancer cells, where α7 nAChR activation stimulates proliferation, Ol-CHOL, Ln-CHOL, and AA-CHOL dose-dependently decreased cell viability by up to 45%. AA-CHOL inhibited human erythrocyte acetylcholinesterase (AChE) and horse serum butyrylcholinesterase (BChE) by a mixed type mechanism with Ki = 16.7 ± 1.5 μM and αKi = 51.4 ± 4.1 μM for AChE and Ki = 70.5 ± 6.3 μM and αKi = 214 ± 17 μM for BChE, being a weak substrate of the last enzyme only, agrees with molecular docking results. Thus, long-chain unsaturated acylcholines could be viewed as endogenous modulators of the acetylcholine signaling system.","container-title":"Biomolecules","DOI":"10.3390/biom10020283","ISSN":"2218-273X","issue":"2","journalAbbreviation":"Biomolecules","language":"en","note":"number: 2","page":"283","source":"DOI.org (Crossref)","title":"Arachidonoylcholine and Other Unsaturated Long-Chain Acylcholines Are Endogenous Modulators of the Acetylcholine Signaling System","URL":"https://www.mdpi.com/2218-273X/10/2/283","volume":"10","author":[{"family":"Akimov","given":"Mikhail G."},{"family":"Kudryavtsev","given":"Denis S."},{"family":"Kryukova","given":"Elena V."},{"family":"Fomina-Ageeva","given":"Elena V."},{"family":"Zakharov","given":"Stanislav S."},{"family":"Gretskaya","given":"Natalia M."},{"family":"Zinchenko","given":"Galina N."},{"family":"Serkov","given":"Igor V."},{"family":"Makhaeva","given":"Galina F."},{"family":"Boltneva","given":"Natalia P."},{"family":"Kovaleva","given":"Nadezhda V."},{"family":"Serebryakova","given":"Olga G."},{"family":"Lushchekina","given":"Sofya V."},{"family":"Palikov","given":"Victor A."},{"family":"Palikova","given":"Yulia"},{"family":"Dyachenko","given":"Igor A."},{"family":"Kasheverov","given":"Igor E."},{"family":"Tsetlin","given":"Victor I."},{"family":"Bezuglov","given":"Vladimir V."}],"accessed":{"date-parts":[["2023",1,25]]},"issued":{"date-parts":[["2020",2,12]]}}}],"schema":"https://github.com/citation-style-language/schema/raw/master/csl-citation.json"} </w:instrText>
      </w:r>
      <w:r w:rsidR="000C6ECB"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16</w:t>
      </w:r>
      <w:r w:rsidR="000C6ECB"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Palmitoylcholine</w:t>
      </w:r>
      <w:proofErr w:type="spellEnd"/>
      <w:r w:rsidRPr="00C428D5">
        <w:rPr>
          <w:rFonts w:ascii="Times New Roman" w:hAnsi="Times New Roman" w:cs="Times New Roman"/>
          <w:sz w:val="20"/>
          <w:szCs w:val="20"/>
        </w:rPr>
        <w:t xml:space="preserve"> </w:t>
      </w:r>
      <w:r w:rsidR="00FD17E6" w:rsidRPr="00C428D5">
        <w:rPr>
          <w:rFonts w:ascii="Times New Roman" w:hAnsi="Times New Roman" w:cs="Times New Roman"/>
          <w:sz w:val="20"/>
          <w:szCs w:val="20"/>
        </w:rPr>
        <w:t xml:space="preserve">has been </w:t>
      </w:r>
      <w:r w:rsidRPr="00C428D5">
        <w:rPr>
          <w:rFonts w:ascii="Times New Roman" w:hAnsi="Times New Roman" w:cs="Times New Roman"/>
          <w:sz w:val="20"/>
          <w:szCs w:val="20"/>
        </w:rPr>
        <w:t>also associated to T2D</w:t>
      </w:r>
      <w:r w:rsidR="000C6ECB"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{"citationID":"FLUmFFEh","properties":{"formattedCitation":"\\super 17\\nosupersub{}","plainCitation":"17","noteIndex":0},"citationItems":[{"id":8197,"uris":["http://zotero.org/users/1824097/items/XVKPVK5K"],"itemData":{"id":8197,"type":"article-journal","abstract":"Macro- and microvascular complications of type 2 diabetes (T2D), obesity, and dyslipidemia share common metabolic pathways. In this study, using a total of 1,300 metabolites from 996 Qatari adults (57% with T2D) and 1,159 metabolites from an independent cohort of 2,618 individuals from the Qatar BioBank (11% with T2D), we identified 373 metabolites associated with T2D, obesity, retinopathy, dyslipidemia, and lipoprotein levels, 161 of which were novel. Novel metabolites included phospholipids, sphingolipids, lysolipids, fatty acids, dipeptides, and metabolites of the urea cycle and xanthine, steroid, and glutathione metabolism. The identified metabolites enrich pathways of oxidative stress, lipotoxicity, glucotoxicity, and proteolysis. Second, we identified 15 patterns we defined as “metabo-clinical signatures.” These are clusters of patients with T2D who group together based on metabolite levels and reveal the same clustering in two or more clinical variables (obesity, LDL, HDL, triglycerides, and retinopathy). These signatures revealed metabolic pathways associated with different clinical patterns and identified patients with extreme (very high/low) clinical variables associated with extreme metabolite levels in specific pathways. Among our novel findings are the role of N-acetylmethionine in retinopathy in conjunction with dyslipidemia and the possible roles of N-acetylvaline and pyroglutamine in association with high cholesterol levels and kidney function.","container-title":"Diabetes","DOI":"10.2337/db21-0490","ISSN":"0012-1797","issue":"2","language":"en","note":"number: 2","page":"184-205","source":"DOI.org (Crossref)","title":"Metabolic and Metabo-Clinical Signatures of Type 2 Diabetes, Obesity, Retinopathy, and Dyslipidemia","URL":"https://diabetesjournals.org/diabetes/article/71/2/184/138962/Metabolic-and-Metabo-Clinical-Signatures-of-Type-2","volume":"71","author":[{"family":"Yousri","given":"Noha A."},{"family":"Suhre","given":"Karsten"},{"family":"Yassin","given":"Esraa"},{"family":"Al-Shakaki","given":"Alya"},{"family":"Robay","given":"Amal"},{"family":"Elshafei","given":"Maha"},{"family":"Chidiac","given":"Omar"},{"family":"Hunt","given":"Steven C."},{"family":"Crystal","given":"Ronald G."},{"family":"Fakhro","given":"Khalid A."}],"accessed":{"date-parts":[["2023",1,25]]},"issued":{"date-parts":[["2022",2,1]]}}}],"schema":"https://github.com/citation-style-language/schema/raw/master/csl-citation.json"} </w:instrText>
      </w:r>
      <w:r w:rsidR="000C6ECB"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17</w:t>
      </w:r>
      <w:r w:rsidR="000C6ECB"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r w:rsidR="00A53971" w:rsidRPr="00C428D5">
        <w:rPr>
          <w:rFonts w:ascii="Times New Roman" w:hAnsi="Times New Roman" w:cs="Times New Roman"/>
          <w:sz w:val="20"/>
          <w:szCs w:val="20"/>
        </w:rPr>
        <w:t>In relation with pyrimidine-related metabolites, u</w:t>
      </w:r>
      <w:r w:rsidRPr="00C428D5">
        <w:rPr>
          <w:rFonts w:ascii="Times New Roman" w:hAnsi="Times New Roman" w:cs="Times New Roman"/>
          <w:sz w:val="20"/>
          <w:szCs w:val="20"/>
        </w:rPr>
        <w:t>racil-induced immune response is required for efficient elimination of bacteria, intestinal cell repair, and host survival during infection of nonresident species</w:t>
      </w:r>
      <w:r w:rsidR="00A53971"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{"citationID":"MjPMrTP9","properties":{"formattedCitation":"\\super 18\\nosupersub{}","plainCitation":"18","noteIndex":0},"citationItems":[{"id":8199,"uris":["http://zotero.org/users/1824097/items/SM9V3Z99"],"itemData":{"id":8199,"type":"article-journal","container-title":"Cell","DOI":"10.1016/j.cell.2013.04.009","ISSN":"00928674","issue":"4","journalAbbreviation":"Cell","language":"en","note":"number: 4","page":"797-811","source":"DOI.org (Crossref)","title":"Bacterial-Derived Uracil as a Modulator of Mucosal Immunity and Gut-Microbe Homeostasis in Drosophila","URL":"https://linkinghub.elsevier.com/retrieve/pii/S0092867413004509","volume":"153","author":[{"family":"Lee","given":"Kyung-Ah"},{"family":"Kim","given":"Sung-Hee"},{"family":"Kim","given":"Eun-Kyoung"},{"family":"Ha","given":"Eun-Mi"},{"family":"You","given":"Hyejin"},{"family":"Kim","given":"Boram"},{"family":"Kim","given":"Min-Ji"},{"family":"Kwon","given":"Youngjoo"},{"family":"Ryu","given":"Ji-Hwan"},{"family":"Lee","given":"Won-Jae"}],"accessed":{"date-parts":[["2023",1,25]]},"issued":{"date-parts":[["2013",5]]}}}],"schema":"https://github.com/citation-style-language/schema/raw/master/csl-citation.json"} </w:instrText>
      </w:r>
      <w:r w:rsidR="00A53971"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18</w:t>
      </w:r>
      <w:r w:rsidR="00A53971"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whereas uridine supplementation reduced the body weight and suppressed the accumulation of subcutaneous, epididymal, and mesenteric </w:t>
      </w:r>
      <w:r w:rsidR="008D1651" w:rsidRPr="00C428D5">
        <w:rPr>
          <w:rFonts w:ascii="Times New Roman" w:hAnsi="Times New Roman" w:cs="Times New Roman"/>
          <w:sz w:val="20"/>
          <w:szCs w:val="20"/>
        </w:rPr>
        <w:t>white adipose tissue in high fat diet</w:t>
      </w:r>
      <w:r w:rsidRPr="00C428D5">
        <w:rPr>
          <w:rFonts w:ascii="Times New Roman" w:hAnsi="Times New Roman" w:cs="Times New Roman"/>
          <w:sz w:val="20"/>
          <w:szCs w:val="20"/>
        </w:rPr>
        <w:t>-fed mice, attenuating HFD-induced obesity and nonalcoholic fatty liver disease</w:t>
      </w:r>
      <w:r w:rsidR="00A53971"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{"citationID":"SlItMClU","properties":{"formattedCitation":"\\super 19\\nosupersub{}","plainCitation":"19","noteIndex":0},"citationItems":[{"id":8210,"uris":["http://zotero.org/users/1824097/items/7KBIINNU"],"itemData":{"id":8210,"type":"article-journal","abstract":"This study aimed to investigate the effect of uridine on obesity, fat accumulation in liver, and gut microbiota composition in high-fat diet-fed mice.\n          , \n            \n              Uridine (UR) is a pyrimidine nucleoside that plays an important role in regulating glucose and lipid metabolism. The aim of this study was to investigate the effect of UR on obesity, fat accumulation in liver, and gut microbiota composition in high-fat diet (HFD)-fed mice. ICR mice were, respectively, divided into 3 groups for 8 weeks, that is, control (CON,\n              n\n              = 12), high fat diet (HFD,\n              n\n              = 16), and HFD + UR groups (0.4 mg mL\n              −1\n              in drinking water,\n              n\n              = 16). UR supplementation significantly reduced the body weight and suppressed the accumulation of subcutaneous, epididymal, and mesenteric WAT in HFD-fed mice (\n              P\n              &lt; 0.05). Meanwhile, UR also decreased the lipid droplet accumulation in the liver and liver organoids (\n              P\n              &lt; 0.05). In addition, UR supplementation increased bacterial diversity and\n              Bacteroidetes\n              abundance, and decreased the\n              Firmicutes\n              -to-\n              Bacteroidetes\n              ratio in HFD-fed mice significantly (\n              P\n              &lt; 0.05). UR promoted the growth of butyrate-producing bacteria of\n              Odoribacter\n              ,\n              unidentified-Ruminococcaceae\n              ,\n              Intestinimonas\n              ,\n              Ruminiclostridium\n              , and\n              unidentified-Lachnospiraceae.\n              A close correlation between several specific bacterial phyla or genera and the levels of WAT weight, hepatic TC, or hepatic TG genera was revealed through Spearman's correlation analysis. These results demonstrated that UR supplementation could be beneficial by attenuating HFD-induced obesity and nonalcoholic fatty liver disease.","container-title":"Food &amp; Function","DOI":"10.1039/D0FO02533J","ISSN":"2042-6496, 2042-650X","issue":"4","journalAbbreviation":"Food Funct.","language":"en","note":"number: 4","page":"1829-1840","source":"DOI.org (Crossref)","title":"Uridine attenuates obesity, ameliorates hepatic lipid accumulation and modifies the gut microbiota composition in mice fed with a high-fat diet","URL":"http://xlink.rsc.org/?DOI=D0FO02533J","volume":"12","author":[{"family":"Liu","given":"Yilin"},{"family":"Xie","given":"Chunyan"},{"family":"Zhai","given":"Zhenya"},{"family":"Deng","given":"Ze-yuan"},{"family":"De Jonge","given":"Hugo R."},{"family":"Wu","given":"Xin"},{"family":"Ruan","given":"Zheng"}],"accessed":{"date-parts":[["2023",1,27]]},"issued":{"date-parts":[["2021"]]}}}],"schema":"https://github.com/citation-style-language/schema/raw/master/csl-citation.json"} </w:instrText>
      </w:r>
      <w:r w:rsidR="00A53971"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19</w:t>
      </w:r>
      <w:r w:rsidR="00A53971"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r w:rsidR="00A53971" w:rsidRPr="00C428D5">
        <w:rPr>
          <w:rFonts w:ascii="Times New Roman" w:hAnsi="Times New Roman" w:cs="Times New Roman"/>
          <w:sz w:val="20"/>
          <w:szCs w:val="20"/>
        </w:rPr>
        <w:t>Finally, c</w:t>
      </w:r>
      <w:r w:rsidRPr="00C428D5">
        <w:rPr>
          <w:rFonts w:ascii="Times New Roman" w:hAnsi="Times New Roman" w:cs="Times New Roman"/>
          <w:sz w:val="20"/>
          <w:szCs w:val="20"/>
        </w:rPr>
        <w:t>offee consumption has been associated with reduction of the risk of chronic diseases such as metabolic syndrome, obesity, type 2 diabetes, cardiovascular diseases, or some types of cancer</w:t>
      </w:r>
      <w:r w:rsidR="00A53971"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{"citationID":"0t9HepGD","properties":{"formattedCitation":"\\super 20\\uc0\\u8211{}22\\nosupersub{}","plainCitation":"20–22","noteIndex":0},"citationItems":[{"id":8211,"uris":["http://zotero.org/users/1824097/items/Q3PLD6P9"],"itemData":{"id":8211,"type":"article-journal","container-title":"Food Science and Biotechnology","DOI":"10.1007/s10068-019-00662-0","ISSN":"1226-7708, 2092-6456","issue":"5","journalAbbreviation":"Food Sci Biotechnol","language":"en","note":"number: 5","page":"1287-1296","source":"DOI.org (Crossref)","title":"Mechanisms of action of coffee bioactive components on lipid metabolism","URL":"http://link.springer.com/10.1007/s10068-019-00662-0","volume":"28","author":[{"family":"Farias-Pereira","given":"Renalison"},{"family":"Park","given":"Cheon-Seok"},{"family":"Park","given":"Yeonhwa"}],"accessed":{"date-parts":[["2023",1,27]]},"issued":{"date-parts":[["2019",10]]}}},{"id":8214,"uris":["http://zotero.org/users/1824097/items/P56EGUBF"],"itemData":{"id":8214,"type":"article-journal","abstract":"To evaluate the associations between coffee and caffeine consumption and various health outcomes, we performed an umbrella review of the evidence from meta-analyses of observational studies and randomized controlled trials (RCTs). Of the 59 unique outcomes examined in the selected 112 meta-analyses of observational studies, coffee was associated with a probable decreased risk of breast, colorectal, colon, endometrial, and prostate cancers; cardiovascular disease and mortality; Parkinson's disease; and type-2 diabetes. Of the 14 unique outcomes examined in the 20 selected meta-analyses of observational studies, caffeine was associated with a probable decreased risk of Parkinson's disease and type-2 diabetes and an increased risk of pregnancy loss. Of the 12 unique acute outcomes examined in the selected 9 meta-analyses of RCTs, coffee was associated with a rise in serum lipids, but this result was affected by significant heterogeneity, and caffeine was associated with a rise in blood pressure. Given the spectrum of conditions studied and the robustness of many of the results, these findings indicate that coffee can be part of a healthful diet.","container-title":"Annual Review of Nutrition","DOI":"10.1146/annurev-nutr-071816-064941","ISSN":"0199-9885, 1545-4312","issue":"1","journalAbbreviation":"Annu. Rev. Nutr.","language":"en","note":"number: 1","page":"131-156","source":"DOI.org (Crossref)","title":"Coffee, Caffeine, and Health Outcomes: An Umbrella Review","title-short":"Coffee, Caffeine, and Health Outcomes","URL":"https://www.annualreviews.org/doi/10.1146/annurev-nutr-071816-064941","volume":"37","author":[{"family":"Grosso","given":"Giuseppe"},{"family":"Godos","given":"Justyna"},{"family":"Galvano","given":"Fabio"},{"family":"Giovannucci","given":"Edward L."}],"accessed":{"date-parts":[["2023",1,27]]},"issued":{"date-parts":[["2017",8,21]]}}},{"id":8213,"uris":["http://zotero.org/users/1824097/items/4N6BU989"],"itemData":{"id":8213,"type":"article-journal","container-title":"Progress in Cardiovascular Diseases","DOI":"10.1016/j.pcad.2018.02.002","ISSN":"00330620","issue":"1","journalAbbreviation":"Progress in Cardiovascular Diseases","language":"en","note":"number: 1","page":"38-42","source":"DOI.org (Crossref)","title":"Coffee for Cardioprotection and Longevity","URL":"https://linkinghub.elsevier.com/retrieve/pii/S0033062018300392","volume":"61","author":[{"family":"O'Keefe","given":"James H."},{"family":"DiNicolantonio","given":"James J."},{"family":"Lavie","given":"Carl J."}],"accessed":{"date-parts":[["2023",1,27]]},"issued":{"date-parts":[["2018",5]]}}}],"schema":"https://github.com/citation-style-language/schema/raw/master/csl-citation.json"} </w:instrText>
      </w:r>
      <w:r w:rsidR="00A53971"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20–22</w:t>
      </w:r>
      <w:r w:rsidR="00A53971" w:rsidRPr="00C428D5">
        <w:rPr>
          <w:rFonts w:ascii="Times New Roman" w:hAnsi="Times New Roman" w:cs="Times New Roman"/>
          <w:sz w:val="20"/>
          <w:szCs w:val="20"/>
        </w:rPr>
        <w:fldChar w:fldCharType="end"/>
      </w:r>
      <w:r w:rsidR="00A53971" w:rsidRPr="00C428D5">
        <w:rPr>
          <w:rFonts w:ascii="Times New Roman" w:hAnsi="Times New Roman" w:cs="Times New Roman"/>
          <w:sz w:val="20"/>
          <w:szCs w:val="20"/>
        </w:rPr>
        <w:t xml:space="preserve">, </w:t>
      </w:r>
      <w:r w:rsidR="00F07C8F" w:rsidRPr="00C428D5">
        <w:rPr>
          <w:rFonts w:ascii="Times New Roman" w:hAnsi="Times New Roman" w:cs="Times New Roman"/>
          <w:sz w:val="20"/>
          <w:szCs w:val="20"/>
        </w:rPr>
        <w:t xml:space="preserve">and has been reported </w:t>
      </w:r>
      <w:r w:rsidR="00A53971" w:rsidRPr="00C428D5">
        <w:rPr>
          <w:rFonts w:ascii="Times New Roman" w:hAnsi="Times New Roman" w:cs="Times New Roman"/>
          <w:sz w:val="20"/>
          <w:szCs w:val="20"/>
        </w:rPr>
        <w:t xml:space="preserve">positively associated to microbiome diversity in individuals of the US </w:t>
      </w:r>
      <w:proofErr w:type="spellStart"/>
      <w:r w:rsidR="00A53971" w:rsidRPr="00C428D5">
        <w:rPr>
          <w:rFonts w:ascii="Times New Roman" w:hAnsi="Times New Roman" w:cs="Times New Roman"/>
          <w:sz w:val="20"/>
          <w:szCs w:val="20"/>
        </w:rPr>
        <w:t>Arrivale</w:t>
      </w:r>
      <w:proofErr w:type="spellEnd"/>
      <w:r w:rsidR="00A53971" w:rsidRPr="00C428D5">
        <w:rPr>
          <w:rFonts w:ascii="Times New Roman" w:hAnsi="Times New Roman" w:cs="Times New Roman"/>
          <w:sz w:val="20"/>
          <w:szCs w:val="20"/>
        </w:rPr>
        <w:t xml:space="preserve"> cohort</w:t>
      </w:r>
      <w:r w:rsidR="00A53971"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{"citationID":"oduBERXk","properties":{"formattedCitation":"\\super 23\\nosupersub{}","plainCitation":"23","noteIndex":0},"citationItems":[{"id":8312,"uris":["http://zotero.org/users/1824097/items/G2FYRAGF"],"itemData":{"id":8312,"type":"article-journal","abstract":"Variation in the human gut microbiome can reflect host lifestyle and behaviors and influence disease biomarker levels in the blood. Understanding the relationships between gut microbes and host phenotypes are critical for understanding wellness and disease. Here, we examine associations between the gut microbiota and ~150 host phenotypic features across ~3,400 individuals. We identify major axes of taxonomic variance in the gut and a putative diversity maximum along the Firmicutes-to-Bacteroidetes axis. Our analyses reveal both known and unknown associations between microbiome composition and host clinical markers and lifestyle factors, including host-microbe associations that are composition-specific. These results suggest potential opportunities for targeted interventions that alter the composition of the microbiome to improve host health. By uncovering the interrelationships between host diet and lifestyle factors, clinical blood markers, and the human gut microbiome at the population-scale, our results serve as a roadmap for future studies on host-microbe interactions and interventions.","container-title":"Nature Communications","DOI":"10.1038/s41467-020-18871-1","ISSN":"2041-1723","issue":"1","journalAbbreviation":"Nat Commun","language":"en","license":"2020 The Author(s)","note":"number: 1\npublisher: Nature Publishing Group","page":"5206","source":"www.nature.com","title":"Health and disease markers correlate with gut microbiome composition across thousands of people","URL":"https://www.nature.com/articles/s41467-020-18871-1","volume":"11","author":[{"family":"Manor","given":"Ohad"},{"family":"Dai","given":"Chengzhen L."},{"family":"Kornilov","given":"Sergey A."},{"family":"Smith","given":"Brett"},{"family":"Price","given":"Nathan D."},{"family":"Lovejoy","given":"Jennifer C."},{"family":"Gibbons","given":"Sean M."},{"family":"Magis","given":"Andrew T."}],"accessed":{"date-parts":[["2023",11,30]]},"issued":{"date-parts":[["2020",10,15]]}}}],"schema":"https://github.com/citation-style-language/schema/raw/master/csl-citation.json"} </w:instrText>
      </w:r>
      <w:r w:rsidR="00A53971"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23</w:t>
      </w:r>
      <w:r w:rsidR="00A53971" w:rsidRPr="00C428D5">
        <w:rPr>
          <w:rFonts w:ascii="Times New Roman" w:hAnsi="Times New Roman" w:cs="Times New Roman"/>
          <w:sz w:val="20"/>
          <w:szCs w:val="20"/>
        </w:rPr>
        <w:fldChar w:fldCharType="end"/>
      </w:r>
      <w:r w:rsidR="00F07C8F" w:rsidRPr="00C428D5">
        <w:rPr>
          <w:rFonts w:ascii="Times New Roman" w:hAnsi="Times New Roman" w:cs="Times New Roman"/>
          <w:sz w:val="20"/>
          <w:szCs w:val="20"/>
        </w:rPr>
        <w:t>, in line with our results in terms of positive association with microbial gene richness (Figure 1A)</w:t>
      </w:r>
      <w:r w:rsidRPr="00C428D5">
        <w:rPr>
          <w:rFonts w:ascii="Times New Roman" w:hAnsi="Times New Roman" w:cs="Times New Roman"/>
          <w:sz w:val="20"/>
          <w:szCs w:val="20"/>
        </w:rPr>
        <w:t xml:space="preserve">. </w:t>
      </w:r>
    </w:p>
    <w:p w14:paraId="588D71AF" w14:textId="0CB369C7" w:rsidR="00D1061D" w:rsidRPr="00C428D5" w:rsidRDefault="00D1061D" w:rsidP="00D1061D">
      <w:pPr>
        <w:ind w:firstLine="0"/>
        <w:rPr>
          <w:rFonts w:ascii="Times New Roman" w:hAnsi="Times New Roman" w:cs="Times New Roman"/>
          <w:sz w:val="20"/>
          <w:szCs w:val="20"/>
        </w:rPr>
      </w:pPr>
      <w:r w:rsidRPr="00C428D5">
        <w:rPr>
          <w:rFonts w:ascii="Times New Roman" w:hAnsi="Times New Roman" w:cs="Times New Roman"/>
          <w:sz w:val="20"/>
          <w:szCs w:val="20"/>
        </w:rPr>
        <w:t xml:space="preserve">On the opposite side, low levels of the </w:t>
      </w:r>
      <w:r w:rsidR="00E17300" w:rsidRPr="00C428D5">
        <w:rPr>
          <w:rFonts w:ascii="Times New Roman" w:hAnsi="Times New Roman" w:cs="Times New Roman"/>
          <w:sz w:val="20"/>
          <w:szCs w:val="20"/>
        </w:rPr>
        <w:t xml:space="preserve">QASD </w:t>
      </w:r>
      <w:r w:rsidRPr="00C428D5">
        <w:rPr>
          <w:rFonts w:ascii="Times New Roman" w:hAnsi="Times New Roman" w:cs="Times New Roman"/>
          <w:sz w:val="20"/>
          <w:szCs w:val="20"/>
        </w:rPr>
        <w:t>score</w:t>
      </w:r>
      <w:r w:rsidR="00A53971" w:rsidRPr="00C428D5">
        <w:rPr>
          <w:rFonts w:ascii="Times New Roman" w:hAnsi="Times New Roman" w:cs="Times New Roman"/>
          <w:sz w:val="20"/>
          <w:szCs w:val="20"/>
        </w:rPr>
        <w:t xml:space="preserve"> (0-1-2-3)</w:t>
      </w:r>
      <w:r w:rsidRPr="00C428D5">
        <w:rPr>
          <w:rFonts w:ascii="Times New Roman" w:hAnsi="Times New Roman" w:cs="Times New Roman"/>
          <w:sz w:val="20"/>
          <w:szCs w:val="20"/>
        </w:rPr>
        <w:t xml:space="preserve"> are positively associated to different branched-chain </w:t>
      </w:r>
      <w:proofErr w:type="spellStart"/>
      <w:r w:rsidRPr="00C428D5">
        <w:rPr>
          <w:rFonts w:ascii="Times New Roman" w:hAnsi="Times New Roman" w:cs="Times New Roman"/>
          <w:sz w:val="20"/>
          <w:szCs w:val="20"/>
        </w:rPr>
        <w:t>aminoacids</w:t>
      </w:r>
      <w:proofErr w:type="spellEnd"/>
      <w:r w:rsidRPr="00C428D5">
        <w:rPr>
          <w:rFonts w:ascii="Times New Roman" w:hAnsi="Times New Roman" w:cs="Times New Roman"/>
          <w:sz w:val="20"/>
          <w:szCs w:val="20"/>
        </w:rPr>
        <w:t xml:space="preserve"> and related metabolites (2−hydroxy−3−methylvalerate, </w:t>
      </w:r>
      <w:proofErr w:type="spellStart"/>
      <w:r w:rsidRPr="00C428D5">
        <w:rPr>
          <w:rFonts w:ascii="Times New Roman" w:hAnsi="Times New Roman" w:cs="Times New Roman"/>
          <w:sz w:val="20"/>
          <w:szCs w:val="20"/>
        </w:rPr>
        <w:t>isobutyrate</w:t>
      </w:r>
      <w:proofErr w:type="spellEnd"/>
      <w:r w:rsidRPr="00C428D5">
        <w:rPr>
          <w:rFonts w:ascii="Times New Roman" w:hAnsi="Times New Roman" w:cs="Times New Roman"/>
          <w:sz w:val="20"/>
          <w:szCs w:val="20"/>
        </w:rPr>
        <w:t>, (r)-3</w:t>
      </w:r>
      <w:r w:rsidR="008D1651" w:rsidRPr="00C428D5">
        <w:rPr>
          <w:rFonts w:ascii="Times New Roman" w:hAnsi="Times New Roman" w:cs="Times New Roman"/>
          <w:sz w:val="20"/>
          <w:szCs w:val="20"/>
        </w:rPr>
        <w:t>-</w:t>
      </w:r>
      <w:r w:rsidR="008D1651" w:rsidRPr="00C428D5" w:rsidDel="008D1651">
        <w:rPr>
          <w:rFonts w:ascii="Times New Roman" w:hAnsi="Times New Roman" w:cs="Times New Roman"/>
          <w:sz w:val="20"/>
          <w:szCs w:val="20"/>
        </w:rPr>
        <w:t xml:space="preserve"> </w:t>
      </w:r>
      <w:r w:rsidRPr="00C428D5">
        <w:rPr>
          <w:rFonts w:ascii="Times New Roman" w:hAnsi="Times New Roman" w:cs="Times New Roman"/>
          <w:sz w:val="20"/>
          <w:szCs w:val="20"/>
        </w:rPr>
        <w:t>oxybutyrylcarnitine,alpha-hydroxyisovalerate,N-acetylisoleucine), bile-acid related metabolites (</w:t>
      </w:r>
      <w:proofErr w:type="spellStart"/>
      <w:r w:rsidRPr="00C428D5">
        <w:rPr>
          <w:rFonts w:ascii="Times New Roman" w:hAnsi="Times New Roman" w:cs="Times New Roman"/>
          <w:sz w:val="20"/>
          <w:szCs w:val="20"/>
        </w:rPr>
        <w:t>taurocholenate</w:t>
      </w:r>
      <w:proofErr w:type="spellEnd"/>
      <w:r w:rsidRPr="00C428D5">
        <w:rPr>
          <w:rFonts w:ascii="Times New Roman" w:hAnsi="Times New Roman" w:cs="Times New Roman"/>
          <w:sz w:val="20"/>
          <w:szCs w:val="20"/>
        </w:rPr>
        <w:t xml:space="preserve"> sulfate, </w:t>
      </w:r>
      <w:proofErr w:type="spellStart"/>
      <w:r w:rsidRPr="00C428D5">
        <w:rPr>
          <w:rFonts w:ascii="Times New Roman" w:hAnsi="Times New Roman" w:cs="Times New Roman"/>
          <w:sz w:val="20"/>
          <w:szCs w:val="20"/>
        </w:rPr>
        <w:t>tauroursodeoxycholate</w:t>
      </w:r>
      <w:proofErr w:type="spellEnd"/>
      <w:r w:rsidRPr="00C428D5">
        <w:rPr>
          <w:rFonts w:ascii="Times New Roman" w:hAnsi="Times New Roman" w:cs="Times New Roman"/>
          <w:sz w:val="20"/>
          <w:szCs w:val="20"/>
        </w:rPr>
        <w:t xml:space="preserve">, </w:t>
      </w:r>
      <w:proofErr w:type="spellStart"/>
      <w:r w:rsidRPr="00C428D5">
        <w:rPr>
          <w:rFonts w:ascii="Times New Roman" w:hAnsi="Times New Roman" w:cs="Times New Roman"/>
          <w:sz w:val="20"/>
          <w:szCs w:val="20"/>
        </w:rPr>
        <w:t>glycoursodeoxycholate</w:t>
      </w:r>
      <w:proofErr w:type="spellEnd"/>
      <w:r w:rsidRPr="00C428D5">
        <w:rPr>
          <w:rFonts w:ascii="Times New Roman" w:hAnsi="Times New Roman" w:cs="Times New Roman"/>
          <w:sz w:val="20"/>
          <w:szCs w:val="20"/>
        </w:rPr>
        <w:t xml:space="preserve">, glycochenodeoxycholate glucuronide, </w:t>
      </w:r>
      <w:proofErr w:type="spellStart"/>
      <w:r w:rsidRPr="00C428D5">
        <w:rPr>
          <w:rFonts w:ascii="Times New Roman" w:hAnsi="Times New Roman" w:cs="Times New Roman"/>
          <w:sz w:val="20"/>
          <w:szCs w:val="20"/>
        </w:rPr>
        <w:t>isoursodeoxycholate</w:t>
      </w:r>
      <w:proofErr w:type="spellEnd"/>
      <w:r w:rsidRPr="00C428D5">
        <w:rPr>
          <w:rFonts w:ascii="Times New Roman" w:hAnsi="Times New Roman" w:cs="Times New Roman"/>
          <w:sz w:val="20"/>
          <w:szCs w:val="20"/>
        </w:rPr>
        <w:t xml:space="preserve"> sulphate, glycochenodeoxycholate 3−sulfate, </w:t>
      </w:r>
      <w:proofErr w:type="spellStart"/>
      <w:r w:rsidRPr="00C428D5">
        <w:rPr>
          <w:rFonts w:ascii="Times New Roman" w:hAnsi="Times New Roman" w:cs="Times New Roman"/>
          <w:sz w:val="20"/>
          <w:szCs w:val="20"/>
        </w:rPr>
        <w:t>taurochenodeoxycholate</w:t>
      </w:r>
      <w:proofErr w:type="spellEnd"/>
      <w:r w:rsidRPr="00C428D5">
        <w:rPr>
          <w:rFonts w:ascii="Times New Roman" w:hAnsi="Times New Roman" w:cs="Times New Roman"/>
          <w:sz w:val="20"/>
          <w:szCs w:val="20"/>
        </w:rPr>
        <w:t>), markers of tobacco consumption (</w:t>
      </w:r>
      <w:proofErr w:type="spellStart"/>
      <w:r w:rsidRPr="00C428D5">
        <w:rPr>
          <w:rFonts w:ascii="Times New Roman" w:hAnsi="Times New Roman" w:cs="Times New Roman"/>
          <w:sz w:val="20"/>
          <w:szCs w:val="20"/>
        </w:rPr>
        <w:t>norcotinine</w:t>
      </w:r>
      <w:proofErr w:type="spellEnd"/>
      <w:r w:rsidRPr="00C428D5">
        <w:rPr>
          <w:rFonts w:ascii="Times New Roman" w:hAnsi="Times New Roman" w:cs="Times New Roman"/>
          <w:sz w:val="20"/>
          <w:szCs w:val="20"/>
        </w:rPr>
        <w:t xml:space="preserve">, cotinine, </w:t>
      </w:r>
      <w:proofErr w:type="spellStart"/>
      <w:r w:rsidRPr="00C428D5">
        <w:rPr>
          <w:rFonts w:ascii="Times New Roman" w:hAnsi="Times New Roman" w:cs="Times New Roman"/>
          <w:sz w:val="20"/>
          <w:szCs w:val="20"/>
        </w:rPr>
        <w:t>hydroxycotinine</w:t>
      </w:r>
      <w:proofErr w:type="spellEnd"/>
      <w:r w:rsidRPr="00C428D5">
        <w:rPr>
          <w:rFonts w:ascii="Times New Roman" w:hAnsi="Times New Roman" w:cs="Times New Roman"/>
          <w:sz w:val="20"/>
          <w:szCs w:val="20"/>
        </w:rPr>
        <w:t xml:space="preserve">) and different dipeptides (gamma </w:t>
      </w:r>
      <w:proofErr w:type="spellStart"/>
      <w:r w:rsidRPr="00C428D5">
        <w:rPr>
          <w:rFonts w:ascii="Times New Roman" w:hAnsi="Times New Roman" w:cs="Times New Roman"/>
          <w:sz w:val="20"/>
          <w:szCs w:val="20"/>
        </w:rPr>
        <w:t>glutamylleucine</w:t>
      </w:r>
      <w:proofErr w:type="spellEnd"/>
      <w:r w:rsidRPr="00C428D5">
        <w:rPr>
          <w:rFonts w:ascii="Times New Roman" w:hAnsi="Times New Roman" w:cs="Times New Roman"/>
          <w:sz w:val="20"/>
          <w:szCs w:val="20"/>
        </w:rPr>
        <w:t>, gamma−</w:t>
      </w:r>
      <w:proofErr w:type="spellStart"/>
      <w:r w:rsidRPr="00C428D5">
        <w:rPr>
          <w:rFonts w:ascii="Times New Roman" w:hAnsi="Times New Roman" w:cs="Times New Roman"/>
          <w:sz w:val="20"/>
          <w:szCs w:val="20"/>
        </w:rPr>
        <w:t>glutamylvaline</w:t>
      </w:r>
      <w:proofErr w:type="spellEnd"/>
      <w:r w:rsidRPr="00C428D5">
        <w:rPr>
          <w:rFonts w:ascii="Times New Roman" w:hAnsi="Times New Roman" w:cs="Times New Roman"/>
          <w:sz w:val="20"/>
          <w:szCs w:val="20"/>
        </w:rPr>
        <w:t>, gamma-</w:t>
      </w:r>
      <w:proofErr w:type="spellStart"/>
      <w:r w:rsidRPr="00C428D5">
        <w:rPr>
          <w:rFonts w:ascii="Times New Roman" w:hAnsi="Times New Roman" w:cs="Times New Roman"/>
          <w:sz w:val="20"/>
          <w:szCs w:val="20"/>
        </w:rPr>
        <w:t>glutamylisoleucine</w:t>
      </w:r>
      <w:proofErr w:type="spellEnd"/>
      <w:r w:rsidRPr="00C428D5">
        <w:rPr>
          <w:rFonts w:ascii="Times New Roman" w:hAnsi="Times New Roman" w:cs="Times New Roman"/>
          <w:sz w:val="20"/>
          <w:szCs w:val="20"/>
        </w:rPr>
        <w:t>). Increased BCAA levels has been observed in diabetes type 2 and obesity</w:t>
      </w:r>
      <w:r w:rsidR="005D12C9"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{"citationID":"eDFap60r","properties":{"formattedCitation":"\\super 24\\uc0\\u8211{}26\\nosupersub{}","plainCitation":"24–26","noteIndex":0},"citationItems":[{"id":8215,"uris":["http://zotero.org/users/1824097/items/ZSWRFUI5"],"itemData":{"id":8215,"type":"article-journal","container-title":"Acta Medica Scandinavica","DOI":"10.1111/j.0954-6820.1966.tb05471.x","ISSN":"00016101","issue":"3","language":"en","note":"number: 3","page":"361-370","source":"DOI.org (Crossref)","title":"Amino Acids and Free Fatty Acids in Plasma in Diabetes: I. The Effect of Insulin on the Arterial Levels","title-short":"Amino Acids and Free Fatty Acids in Plasma in Diabetes","URL":"https://onlinelibrary.wiley.com/doi/10.1111/j.0954-6820.1966.tb05471.x","volume":"179","author":[{"family":"Carlsten","given":"A."},{"family":"Hallgren","given":"B."},{"family":"Jagenburg","given":"R."},{"family":"Svanborg","given":"A."},{"family":"Werkö","given":"L."}],"accessed":{"date-parts":[["2023",1,28]]},"issued":{"date-parts":[["2009",4,24]]}}},{"id":8216,"uris":["http://zotero.org/users/1824097/items/MWNXLLXQ"],"itemData":{"id":8216,"type":"article-journal","abstract":"Elevations in branched-chain amino acids (BCAAs) in human obesity were first reported in the 1960s. Such reports are of interest because of the emerging role of BCAAs as potential regulators of satiety, leptin, glucose, cell signaling, adiposity, and body weight (mTOR and PKC). To explore loss of catabolic capacity as a potential contributor to the obesity-related rises in BCAAs, we assessed the first two enzymatic steps, catalyzed by mitochondrial branched chain amino acid aminotransferase (BCATm) or the branched chain α-keto acid dehydrogenase (BCKD E1α subunit) complex, in two rodent models of obesity ( ob/ob mice and Zucker rats) and after surgical weight loss intervention in humans. Obese rodents exhibited hyperaminoacidemia including BCAAs. Whereas no obesity-related changes were observed in rodent skeletal muscle BCATm, pS293, or total BCKD E1α or BCKD kinase, in liver BCKD E1α was either unaltered or diminished by obesity, and pS293 (associated with the inactive state of BCKD) increased, along with BCKD kinase. In epididymal fat, obesity-related declines were observed in BCATm and BCKD E1α. Plasma BCAAs were diminished by an overnight fast coinciding with dissipation of the changes in adipose tissue but not in liver. BCAAs also were reduced by surgical weight loss intervention (Roux-en-Y gastric bypass) in human subjects studied longitudinally. These changes coincided with increased BCATm and BCKD E1α in omental and subcutaneous fat. Our results are consistent with the idea that tissue-specific alterations in BCAA metabolism, in liver and adipose tissue but not in muscle, may contribute to the rise in plasma BCAAs in obesity.","container-title":"American Journal of Physiology-Endocrinology and Metabolism","DOI":"10.1152/ajpendo.00134.2007","ISSN":"0193-1849, 1522-1555","issue":"6","journalAbbreviation":"American Journal of Physiology-Endocrinology and Metabolism","language":"en","note":"number: 6","page":"E1552-E1563","source":"DOI.org (Crossref)","title":"Obesity-related elevations in plasma leucine are associated with alterations in enzymes involved in branched-chain amino acid metabolism","URL":"https://www.physiology.org/doi/10.1152/ajpendo.00134.2007","volume":"293","author":[{"family":"She","given":"Pengxiang"},{"family":"Van Horn","given":"Cynthia"},{"family":"Reid","given":"Tanya"},{"family":"Hutson","given":"Susan M."},{"family":"Cooney","given":"Robert N."},{"family":"Lynch","given":"Christopher J."}],"accessed":{"date-parts":[["2023",1,28]]},"issued":{"date-parts":[["2007",12]]}}},{"id":8218,"uris":["http://zotero.org/users/1824097/items/PNHXAXME"],"itemData":{"id":8218,"type":"article-journal","container-title":"Biochemical and Biophysical Research Communications","DOI":"10.1016/j.bbrc.2008.05.167","ISSN":"0006291X","issue":"1","journalAbbreviation":"Biochemical and Biophysical Research Communications","language":"en","note":"number: 1","page":"94-98","source":"DOI.org (Crossref)","title":"Regulation of branched-chain amino acid catabolism in rat models for spontaneous type 2 diabetes mellitus","URL":"https://linkinghub.elsevier.com/retrieve/pii/S0006291X08011133","volume":"373","author":[{"family":"Kuzuya","given":"Teiji"},{"family":"Katano","given":"Yoshiaki"},{"family":"Nakano","given":"Isao"},{"family":"Hirooka","given":"Yoshiki"},{"family":"Itoh","given":"Akihiro"},{"family":"Ishigami","given":"Masatoshi"},{"family":"Hayashi","given":"Kazuhiko"},{"family":"Honda","given":"Takashi"},{"family":"Goto","given":"Hidemi"},{"family":"Fujita","given":"Yuko"},{"family":"Shikano","given":"Rie"},{"family":"Muramatsu","given":"Yuji"},{"family":"Bajotto","given":"Gustavo"},{"family":"Tamura","given":"Tomohiro"},{"family":"Tamura","given":"Noriko"},{"family":"Shimomura","given":"Yoshiharu"}],"accessed":{"date-parts":[["2023",1,28]]},"issued":{"date-parts":[["2008",8]]}}}],"schema":"https://github.com/citation-style-language/schema/raw/master/csl-citation.json"} </w:instrText>
      </w:r>
      <w:r w:rsidR="005D12C9"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24–26</w:t>
      </w:r>
      <w:r w:rsidR="005D12C9"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r w:rsidR="005D12C9" w:rsidRPr="00C428D5">
        <w:rPr>
          <w:rFonts w:ascii="Times New Roman" w:hAnsi="Times New Roman" w:cs="Times New Roman"/>
          <w:sz w:val="20"/>
          <w:szCs w:val="20"/>
        </w:rPr>
        <w:t xml:space="preserve">whereas </w:t>
      </w:r>
      <w:r w:rsidRPr="00C428D5">
        <w:rPr>
          <w:rFonts w:ascii="Times New Roman" w:hAnsi="Times New Roman" w:cs="Times New Roman"/>
          <w:sz w:val="20"/>
          <w:szCs w:val="20"/>
        </w:rPr>
        <w:t>Gamma-Glutamyl</w:t>
      </w:r>
      <w:r w:rsidR="00912C24" w:rsidRPr="00C428D5">
        <w:rPr>
          <w:rFonts w:ascii="Times New Roman" w:hAnsi="Times New Roman" w:cs="Times New Roman"/>
          <w:sz w:val="20"/>
          <w:szCs w:val="20"/>
        </w:rPr>
        <w:t xml:space="preserve"> </w:t>
      </w:r>
      <w:r w:rsidRPr="00C428D5">
        <w:rPr>
          <w:rFonts w:ascii="Times New Roman" w:hAnsi="Times New Roman" w:cs="Times New Roman"/>
          <w:sz w:val="20"/>
          <w:szCs w:val="20"/>
        </w:rPr>
        <w:t>peptides have been identified as potential biomarkers for a number of diseases including cancer, diabetes, and liver disease</w:t>
      </w:r>
      <w:r w:rsidR="005D12C9" w:rsidRPr="00C428D5">
        <w:rPr>
          <w:rFonts w:ascii="Times New Roman" w:hAnsi="Times New Roman" w:cs="Times New Roman"/>
          <w:sz w:val="20"/>
          <w:szCs w:val="20"/>
        </w:rPr>
        <w:t>. For example,</w:t>
      </w:r>
      <w:r w:rsidRPr="00C428D5">
        <w:rPr>
          <w:rFonts w:ascii="Times New Roman" w:hAnsi="Times New Roman" w:cs="Times New Roman"/>
          <w:sz w:val="20"/>
          <w:szCs w:val="20"/>
        </w:rPr>
        <w:t xml:space="preserve"> gamma glutamyl</w:t>
      </w:r>
      <w:r w:rsidR="005D12C9" w:rsidRPr="00C428D5">
        <w:rPr>
          <w:rFonts w:ascii="Times New Roman" w:hAnsi="Times New Roman" w:cs="Times New Roman"/>
          <w:sz w:val="20"/>
          <w:szCs w:val="20"/>
        </w:rPr>
        <w:t>-</w:t>
      </w:r>
      <w:r w:rsidRPr="00C428D5">
        <w:rPr>
          <w:rFonts w:ascii="Times New Roman" w:hAnsi="Times New Roman" w:cs="Times New Roman"/>
          <w:sz w:val="20"/>
          <w:szCs w:val="20"/>
        </w:rPr>
        <w:t xml:space="preserve">leucine has been </w:t>
      </w:r>
      <w:r w:rsidRPr="00C428D5">
        <w:rPr>
          <w:rFonts w:ascii="Times New Roman" w:hAnsi="Times New Roman" w:cs="Times New Roman"/>
          <w:sz w:val="20"/>
          <w:szCs w:val="20"/>
        </w:rPr>
        <w:lastRenderedPageBreak/>
        <w:t>extensively reported to be associated with the risk of cardio-metabolic diseases, such as obesity, metabolic syndrome, and type 2 diabetes</w:t>
      </w:r>
      <w:r w:rsidR="005D12C9"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{"citationID":"OmfvF1LS","properties":{"formattedCitation":"\\super 27,28\\nosupersub{}","plainCitation":"27,28","noteIndex":0},"citationItems":[{"id":8219,"uris":["http://zotero.org/users/1824097/items/DER2SX7C"],"itemData":{"id":8219,"type":"article-journal","abstract":"Objective\n              Gamma-glutamyl dipeptides are bioactive peptides involved in inflammation, oxidative stress, and glucose regulation. Gamma-glutamyl-leucine (Gamma-Glu-Leu) has been extensively reported to be associated with the risk of cardio-metabolic diseases, such as obesity, metabolic syndrome, and type 2 diabetes. However, the causality remains to be uncovered. The aim of this study was to explore the causal-effect relationships between Gamma-Glu-Leu and metabolic risk.\n            \n            \n              Materials and methods\n              In this study, 1,289 subjects were included from a cross-sectional survey on metabolic syndrome (MetS) in eastern China. Serum Gamma-Glu-Leu levels were measured by untargeted metabolomics. Using linear regressions, a two-stage genome-wide association study (GWAS) for Gamma-Glu-Leu was conducted to seek its instrumental single nucleotide polymorphisms (SNPs). One-sample Mendelian randomization (MR) analyses were performed to evaluate the causality between Gamma-Glu-Leu and the metabolic risk.\n            \n            \n              Results\n              \n                Four SNPs are associated with serum Gamma-Glu-Leu levels, including rs12476238, rs56146133, rs2479714, and rs12229654. Out of them, rs12476238 exhibits the strongest association (Beta = −0.38, S.E. = 0.07 in discovery stage, Beta = −0.29, S.E. = 0.14 in validation stage, combined\n                P\n                -value = 1.04 × 10\n                –8\n                ). Each of the four SNPs has a nominal association with at least one metabolic risk factor. Both rs12229654 and rs56146133 are associated with body mass index, waist circumference (WC), the ratio of WC to hip circumference, blood pressure, and triglyceride (5 × 10\n                –5\n                &amp;lt;\n                P\n                &amp;lt; 0.05). rs56146133 also has nominal associations with fasting insulin, glucose, and insulin resistance index (5 × 10\n                –5\n                &amp;lt;\n                P\n                &amp;lt; 0.05). Using the four SNPs serving as the instrumental SNPs of Gamma-Glu-Leu, the MR analyses revealed that higher Gamma-Glu-Leu levels are causally associated with elevated risks of multiple cardio-metabolic factors except for high-density lipoprotein cholesterol and low-density lipoprotein cholesterol (\n                P\n                &amp;gt; 0.05).\n              \n            \n            \n              Conclusion\n              Four SNPs (rs12476238, rs56146133, rs2479714, and rs12229654) may regulate the levels of serum Gamma-Glu-Leu. Higher Gamma-Glu-Leu levels are causally linked to cardio-metabolic risks. Future prospective studies on Gamma-Glu-Leu are required to explain its role in metabolic disorders.","container-title":"Frontiers in Nutrition","DOI":"10.3389/fnut.2022.936220","ISSN":"2296-861X","journalAbbreviation":"Front. Nutr.","page":"936220","source":"DOI.org (Crossref)","title":"Gamma-glutamyl-leucine levels are causally associated with elevated cardio-metabolic risks","URL":"https://www.frontiersin.org/articles/10.3389/fnut.2022.936220/full","volume":"9","author":[{"family":"Wu","given":"Qiong"},{"family":"Li","given":"Jiankang"},{"family":"Zhu","given":"Jinghan"},{"family":"Sun","given":"Xiaohui"},{"family":"He","given":"Di"},{"family":"Li","given":"Jun"},{"family":"Cheng","given":"Zongxue"},{"family":"Zhang","given":"Xuhui"},{"family":"Xu","given":"Yuying"},{"family":"Chen","given":"Qing"},{"family":"Zhu","given":"Yimin"},{"family":"Lai","given":"Maode"}],"accessed":{"date-parts":[["2023",1,28]]},"issued":{"date-parts":[["2022",11,24]]}}},{"id":8221,"uris":["http://zotero.org/users/1824097/items/KDI979WE"],"itemData":{"id":8221,"type":"article-journal","container-title":"Gastroenterology","DOI":"10.1053/j.gastro.2019.03.020","ISSN":"00165085","issue":"1","journalAbbreviation":"Gastroenterology","language":"en","note":"number: 1","page":"257-259.e5","source":"DOI.org (Crossref)","title":"Tyrosine and Glutamine-Leucine Are Metabolic Markers of Early-Stage Colorectal Cancers","URL":"https://linkinghub.elsevier.com/retrieve/pii/S0016508519335747","volume":"157","author":[{"family":"Li","given":"Jiankang"},{"family":"Li","given":"Jing"},{"family":"Wang","given":"Huan"},{"family":"Qi","given":"Lian-Wen"},{"family":"Zhu","given":"Yimin"},{"family":"Lai","given":"Maode"}],"accessed":{"date-parts":[["2023",1,28]]},"issued":{"date-parts":[["2019",7]]}}}],"schema":"https://github.com/citation-style-language/schema/raw/master/csl-citation.json"} </w:instrText>
      </w:r>
      <w:r w:rsidR="005D12C9"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27,28</w:t>
      </w:r>
      <w:r w:rsidR="005D12C9" w:rsidRPr="00C428D5">
        <w:rPr>
          <w:rFonts w:ascii="Times New Roman" w:hAnsi="Times New Roman" w:cs="Times New Roman"/>
          <w:sz w:val="20"/>
          <w:szCs w:val="20"/>
        </w:rPr>
        <w:fldChar w:fldCharType="end"/>
      </w:r>
      <w:r w:rsidRPr="00C428D5">
        <w:rPr>
          <w:rFonts w:ascii="Times New Roman" w:hAnsi="Times New Roman" w:cs="Times New Roman"/>
          <w:sz w:val="20"/>
          <w:szCs w:val="20"/>
        </w:rPr>
        <w:t>, whereas gamma-glutamyl</w:t>
      </w:r>
      <w:r w:rsidR="005D12C9" w:rsidRPr="00C428D5">
        <w:rPr>
          <w:rFonts w:ascii="Times New Roman" w:hAnsi="Times New Roman" w:cs="Times New Roman"/>
          <w:sz w:val="20"/>
          <w:szCs w:val="20"/>
        </w:rPr>
        <w:t>-</w:t>
      </w:r>
      <w:r w:rsidRPr="00C428D5">
        <w:rPr>
          <w:rFonts w:ascii="Times New Roman" w:hAnsi="Times New Roman" w:cs="Times New Roman"/>
          <w:sz w:val="20"/>
          <w:szCs w:val="20"/>
        </w:rPr>
        <w:t>isoleucine has been reported as potential biomarker for prostate cancer</w:t>
      </w:r>
      <w:r w:rsidR="005D12C9"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{"citationID":"2KxwIwCV","properties":{"formattedCitation":"\\super 29\\nosupersub{}","plainCitation":"29","noteIndex":0},"citationItems":[{"id":8178,"uris":["http://zotero.org/users/1824097/items/RR2XK37K"],"itemData":{"id":8178,"type":"article-journal","container-title":"Journal of Separation Science","DOI":"10.1002/jssc.202001266","ISSN":"1615-9306, 1615-9314","issue":"15","journalAbbreviation":"J. Sep. Sci.","language":"en","note":"number: 15","page":"2898-2907","source":"DOI.org (Crossref)","title":"Quantitative analysis of γ‐glutamylisoleucine, γ‐glutamylthreonine, and γ‐glutamylvaline in HeLa cells using UHPLC‐MS/MS","URL":"https://onlinelibrary.wiley.com/doi/10.1002/jssc.202001266","volume":"44","author":[{"family":"Thacker","given":"Jonathan B."},{"family":"He","given":"Chenchen"},{"family":"Pennathur","given":"Subramaniam"}],"accessed":{"date-parts":[["2023",1,25]]},"issued":{"date-parts":[["2021",8]]}}}],"schema":"https://github.com/citation-style-language/schema/raw/master/csl-citation.json"} </w:instrText>
      </w:r>
      <w:r w:rsidR="005D12C9"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29</w:t>
      </w:r>
      <w:r w:rsidR="005D12C9"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r w:rsidR="005D12C9" w:rsidRPr="00C428D5">
        <w:rPr>
          <w:rFonts w:ascii="Times New Roman" w:hAnsi="Times New Roman" w:cs="Times New Roman"/>
          <w:sz w:val="20"/>
          <w:szCs w:val="20"/>
        </w:rPr>
        <w:t xml:space="preserve">However, </w:t>
      </w:r>
      <w:r w:rsidRPr="00C428D5">
        <w:rPr>
          <w:rFonts w:ascii="Times New Roman" w:hAnsi="Times New Roman" w:cs="Times New Roman"/>
          <w:sz w:val="20"/>
          <w:szCs w:val="20"/>
        </w:rPr>
        <w:t>gamma−glutamyl</w:t>
      </w:r>
      <w:r w:rsidR="005D12C9" w:rsidRPr="00C428D5">
        <w:rPr>
          <w:rFonts w:ascii="Times New Roman" w:hAnsi="Times New Roman" w:cs="Times New Roman"/>
          <w:sz w:val="20"/>
          <w:szCs w:val="20"/>
        </w:rPr>
        <w:t>-</w:t>
      </w:r>
      <w:r w:rsidRPr="00C428D5">
        <w:rPr>
          <w:rFonts w:ascii="Times New Roman" w:hAnsi="Times New Roman" w:cs="Times New Roman"/>
          <w:sz w:val="20"/>
          <w:szCs w:val="20"/>
        </w:rPr>
        <w:t>valine</w:t>
      </w:r>
      <w:r w:rsidR="00912C24" w:rsidRPr="00C428D5">
        <w:rPr>
          <w:rFonts w:ascii="Times New Roman" w:hAnsi="Times New Roman" w:cs="Times New Roman"/>
          <w:sz w:val="20"/>
          <w:szCs w:val="20"/>
        </w:rPr>
        <w:t xml:space="preserve">, which is also enriched in individuals with low QASD score levels, </w:t>
      </w:r>
      <w:r w:rsidRPr="00C428D5">
        <w:rPr>
          <w:rFonts w:ascii="Times New Roman" w:hAnsi="Times New Roman" w:cs="Times New Roman"/>
          <w:sz w:val="20"/>
          <w:szCs w:val="20"/>
        </w:rPr>
        <w:t>is a naturally occurring bioactive dipeptide primarily found in foods such as legumes (i.e., common beans, soybeans, black gram), garlic, onions, cheese, and other fermented foods</w:t>
      </w:r>
      <w:r w:rsidR="00912C24"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{"citationID":"F087vxme","properties":{"formattedCitation":"\\super 30\\nosupersub{}","plainCitation":"30","noteIndex":0},"citationItems":[{"id":8177,"uris":["http://zotero.org/users/1824097/items/X4IFBIZ9"],"itemData":{"id":8177,"type":"article-journal","container-title":"Trends in Food Science &amp; Technology","DOI":"10.1016/j.tifs.2019.07.022","ISSN":"09242244","journalAbbreviation":"Trends in Food Science &amp; Technology","language":"en","page":"339-346","source":"DOI.org (Crossref)","title":"Gamma glutamyl peptides: The food source, enzymatic synthesis, kokumi-active and the potential functional properties – A review","title-short":"Gamma glutamyl peptides","URL":"https://linkinghub.elsevier.com/retrieve/pii/S092422441930007X","volume":"91","author":[{"family":"Yang","given":"Juan"},{"family":"Bai","given":"Weidong"},{"family":"Zeng","given":"Xiaofang"},{"family":"Cui","given":"Chun"}],"accessed":{"date-parts":[["2023",1,25]]},"issued":{"date-parts":[["2019",9]]}}}],"schema":"https://github.com/citation-style-language/schema/raw/master/csl-citation.json"} </w:instrText>
      </w:r>
      <w:r w:rsidR="00912C24"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30</w:t>
      </w:r>
      <w:r w:rsidR="00912C24" w:rsidRPr="00C428D5">
        <w:rPr>
          <w:rFonts w:ascii="Times New Roman" w:hAnsi="Times New Roman" w:cs="Times New Roman"/>
          <w:sz w:val="20"/>
          <w:szCs w:val="20"/>
        </w:rPr>
        <w:fldChar w:fldCharType="end"/>
      </w:r>
      <w:r w:rsidR="00912C24" w:rsidRPr="00C428D5">
        <w:rPr>
          <w:rFonts w:ascii="Times New Roman" w:hAnsi="Times New Roman" w:cs="Times New Roman"/>
          <w:sz w:val="20"/>
          <w:szCs w:val="20"/>
        </w:rPr>
        <w:t xml:space="preserve"> that </w:t>
      </w:r>
      <w:r w:rsidRPr="00C428D5">
        <w:rPr>
          <w:rFonts w:ascii="Times New Roman" w:hAnsi="Times New Roman" w:cs="Times New Roman"/>
          <w:sz w:val="20"/>
          <w:szCs w:val="20"/>
        </w:rPr>
        <w:t>has been characterized as an anti-inflammatory peptide, with in-vitro anti-inflammatory activities against vascular, gastrointestinal, and adipocyte inflammation</w:t>
      </w:r>
      <w:r w:rsidR="00912C24"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{"citationID":"zFQf5UH0","properties":{"formattedCitation":"\\super 31\\uc0\\u8211{}34\\nosupersub{}","plainCitation":"31–34","noteIndex":0},"citationItems":[{"id":8203,"uris":["http://zotero.org/users/1824097/items/GAQZLY2T"],"itemData":{"id":8203,"type":"article-journal","abstract":"The present study analyzed the transepithelial transport of the dietary anti-inflammatory peptide, γ-glutamyl valine (γ-EV). γ-EV is naturally found in dry edible beans. Our previous study demonstrated the anti-inflammatory potency of γ-EV against vascular inflammation at a concentration of 1mM, and that it can transport with the apparent permeability coefficient (Papp) of 1.56 × 10−6 ± 0.7 × 10−6 cm/s across the intestinal Caco-2 cells. The purpose of the current study was to explore whether the permeability of the peptide could be enhanced and to elucidate the mechanism of transport of γ-EV across Caco-2 cells. The initial results indicated that γ-EV was nontoxic to the Caco-2 cells up to 5 mM concentration and could be transported across the intestinal cells intact. During apical-to-basolateral transport, a higher peptide dose (5 mM) significantly (p &lt; 0.01) enhanced the transport rate to 2.5 × 10−6 ± 0.6 × 10−6 cm/s. Cytochalasin-D disintegrated the tight-junction proteins of the Caco-2 monolayer and increased the Papp of γ-EV to 4.36 × 10−6 ± 0.16 × 10−6 cm/s (p &lt; 0.001), while theaflavin 3′-gallate and Gly-Sar significantly decreased the Papp (p &lt; 0.05), with wortmannin having no effects on the peptide transport, indicating that the transport route of γ-EV could be via both PepT1-mediated and paracellular.","container-title":"Nutrients","DOI":"10.3390/nu13051448","ISSN":"2072-6643","issue":"5","journalAbbreviation":"Nutrients","language":"en","note":"number: 5","page":"1448","source":"DOI.org (Crossref)","title":"Transport of Dietary Anti-Inflammatory Peptide, γ-Glutamyl Valine (γ-EV), across the Intestinal Caco-2 Monolayer","URL":"https://www.mdpi.com/2072-6643/13/5/1448","volume":"13","author":[{"family":"Guha","given":"Snigdha"},{"family":"Alvarez","given":"Sophie"},{"family":"Majumder","given":"Kaustav"}],"accessed":{"date-parts":[["2023",1,27]]},"issued":{"date-parts":[["2021",4,24]]}}},{"id":8206,"uris":["http://zotero.org/users/1824097/items/6BL2DH5B"],"itemData":{"id":8206,"type":"article-journal","container-title":"Biochimica et Biophysica Acta (BBA) - Molecular Basis of Disease","DOI":"10.1016/j.bbadis.2014.12.023","ISSN":"09254439","issue":"5","journalAbbreviation":"Biochimica et Biophysica Acta (BBA) - Molecular Basis of Disease","language":"en","note":"number: 5","page":"792-804","source":"DOI.org (Crossref)","title":"γ-Glutamyl cysteine and γ-glutamyl valine inhibit TNF-α signaling in intestinal epithelial cells and reduce inflammation in a mouse model of colitis via allosteric activation of the calcium-sensing receptor","URL":"https://linkinghub.elsevier.com/retrieve/pii/S0925443914004177","volume":"1852","author":[{"family":"Zhang","given":"Hua"},{"family":"Kovacs-Nolan","given":"Jennifer"},{"family":"Kodera","given":"Tomohiro"},{"family":"Eto","given":"Yuzuru"},{"family":"Mine","given":"Yoshinori"}],"accessed":{"date-parts":[["2023",1,27]]},"issued":{"date-parts":[["2015",5]]}}},{"id":8205,"uris":["http://zotero.org/users/1824097/items/TF4GMZQ4"],"itemData":{"id":8205,"type":"article-journal","container-title":"Journal of Agricultural and Food Chemistry","DOI":"10.1021/acs.jafc.9b02334","ISSN":"0021-8561, 1520-5118","issue":"30","journalAbbreviation":"J. Agric. Food Chem.","language":"en","note":"number: 30","page":"8361-8369","source":"DOI.org (Crossref)","title":"γ-Glutamylvaline Prevents Low-Grade Chronic Inflammation via Activation of a Calcium-Sensing Receptor Pathway in 3T3-L1Mouse Adipocytes","URL":"https://pubs.acs.org/doi/10.1021/acs.jafc.9b02334","volume":"67","author":[{"family":"Xing","given":"Lujuan"},{"family":"Zhang","given":"Hua"},{"family":"Majumder","given":"Kaustav"},{"family":"Zhang","given":"Wangang"},{"family":"Mine","given":"Yoshinori"}],"accessed":{"date-parts":[["2023",1,27]]},"issued":{"date-parts":[["2019",7,31]]}}},{"id":8208,"uris":["http://zotero.org/users/1824097/items/RLQXSF2X"],"itemData":{"id":8208,"type":"article-journal","container-title":"Journal of Agricultural and Food Chemistry","DOI":"10.1021/acs.jafc.0c04526","ISSN":"0021-8561, 1520-5118","issue":"34","journalAbbreviation":"J. Agric. Food Chem.","language":"en","note":"number: 34","page":"9139-9149","source":"DOI.org (Crossref)","title":"Dietary γ-Glutamyl Valine Ameliorates TNF-α-Induced Vascular Inflammation &lt;i&gt;via&lt;/i&gt; Endothelial Calcium-Sensing Receptors","URL":"https://pubs.acs.org/doi/10.1021/acs.jafc.0c04526","volume":"68","author":[{"family":"Guha","given":"Snigdha"},{"family":"Paul","given":"Catherine"},{"family":"Alvarez","given":"Sophie"},{"family":"Mine","given":"Yoshinori"},{"family":"Majumder","given":"Kaustav"}],"accessed":{"date-parts":[["2023",1,27]]},"issued":{"date-parts":[["2020",8,26]]}}}],"schema":"https://github.com/citation-style-language/schema/raw/master/csl-citation.json"} </w:instrText>
      </w:r>
      <w:r w:rsidR="00912C24"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31–34</w:t>
      </w:r>
      <w:r w:rsidR="00912C24"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proofErr w:type="spellStart"/>
      <w:r w:rsidR="002148D4" w:rsidRPr="00C428D5">
        <w:rPr>
          <w:rFonts w:ascii="Times New Roman" w:hAnsi="Times New Roman" w:cs="Times New Roman"/>
          <w:sz w:val="20"/>
          <w:szCs w:val="20"/>
        </w:rPr>
        <w:t>I</w:t>
      </w:r>
      <w:r w:rsidRPr="00C428D5">
        <w:rPr>
          <w:rFonts w:ascii="Times New Roman" w:hAnsi="Times New Roman" w:cs="Times New Roman"/>
          <w:sz w:val="20"/>
          <w:szCs w:val="20"/>
        </w:rPr>
        <w:t>soursodeoxycholate</w:t>
      </w:r>
      <w:proofErr w:type="spellEnd"/>
      <w:r w:rsidRPr="00C428D5">
        <w:rPr>
          <w:rFonts w:ascii="Times New Roman" w:hAnsi="Times New Roman" w:cs="Times New Roman"/>
          <w:sz w:val="20"/>
          <w:szCs w:val="20"/>
        </w:rPr>
        <w:t xml:space="preserve"> sul</w:t>
      </w:r>
      <w:r w:rsidR="00C31AA8" w:rsidRPr="00C428D5">
        <w:rPr>
          <w:rFonts w:ascii="Times New Roman" w:hAnsi="Times New Roman" w:cs="Times New Roman"/>
          <w:sz w:val="20"/>
          <w:szCs w:val="20"/>
        </w:rPr>
        <w:t>f</w:t>
      </w:r>
      <w:r w:rsidRPr="00C428D5">
        <w:rPr>
          <w:rFonts w:ascii="Times New Roman" w:hAnsi="Times New Roman" w:cs="Times New Roman"/>
          <w:sz w:val="20"/>
          <w:szCs w:val="20"/>
        </w:rPr>
        <w:t xml:space="preserve">ate </w:t>
      </w:r>
      <w:r w:rsidR="002148D4" w:rsidRPr="00C428D5">
        <w:rPr>
          <w:rFonts w:ascii="Times New Roman" w:hAnsi="Times New Roman" w:cs="Times New Roman"/>
          <w:sz w:val="20"/>
          <w:szCs w:val="20"/>
        </w:rPr>
        <w:t xml:space="preserve">has been recently identified a serum biomarker associated to post-prandial lipemia, inflammation and worse hepatic function and </w:t>
      </w:r>
      <w:r w:rsidRPr="00C428D5">
        <w:rPr>
          <w:rFonts w:ascii="Times New Roman" w:hAnsi="Times New Roman" w:cs="Times New Roman"/>
          <w:sz w:val="20"/>
          <w:szCs w:val="20"/>
        </w:rPr>
        <w:t xml:space="preserve">anticorrelated with </w:t>
      </w:r>
      <w:r w:rsidR="00912C24" w:rsidRPr="00C428D5">
        <w:rPr>
          <w:rFonts w:ascii="Times New Roman" w:hAnsi="Times New Roman" w:cs="Times New Roman"/>
          <w:sz w:val="20"/>
          <w:szCs w:val="20"/>
        </w:rPr>
        <w:t>S</w:t>
      </w:r>
      <w:r w:rsidRPr="00C428D5">
        <w:rPr>
          <w:rFonts w:ascii="Times New Roman" w:hAnsi="Times New Roman" w:cs="Times New Roman"/>
          <w:sz w:val="20"/>
          <w:szCs w:val="20"/>
        </w:rPr>
        <w:t xml:space="preserve">hannon diversity in human </w:t>
      </w:r>
      <w:r w:rsidR="00912C24" w:rsidRPr="00C428D5">
        <w:rPr>
          <w:rFonts w:ascii="Times New Roman" w:hAnsi="Times New Roman" w:cs="Times New Roman"/>
          <w:sz w:val="20"/>
          <w:szCs w:val="20"/>
        </w:rPr>
        <w:t>gut microbiome</w:t>
      </w:r>
      <w:r w:rsidR="00912C24"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{"citationID":"kWtYalt6","properties":{"formattedCitation":"\\super 35,36\\nosupersub{}","plainCitation":"35,36","noteIndex":0},"citationItems":[{"id":8172,"uris":["http://zotero.org/users/1824097/items/63RISK6S"],"itemData":{"id":8172,"type":"report","abstract":"Abstract\n          Defining a ‘healthy’ gut microbiome has been a challenge in the absence of detailed information on both host health and microbiome composition. Here, we analyzed a multi-omics dataset from hundreds of individuals (discovery n=399, validation n=540) enrolled in a consumer scientific wellness program to identify robust associations between host physiology and gut microbiome structure. We attempted to predict gut microbiome α-diversity from nearly 1000 analytes measured from blood, including clinical laboratory tests, proteomics and metabolomics. While a broad panel of 77 standard clinical laboratory tests and a set of 263 proteins from blood could not accurately predict gut microbial α-diversity, we found that 45% of the variance in microbial community diversity was explained by a subset of 40 blood metabolites, many of microbial origin. This relationship between the host metabolome and gut microbiome α-diversity was very robust, persisting across disease conditions and antibiotics use. Several of these novel metabolic biomarkers of gut microbial diversity were previously associated with host health (e.g. cardiovascular disease risk, diabetes, and kidney function). A subset of 11 metabolites classified participants with potentially problematic low α-diversity (ROC AUC=0.88, Precision-Recall AUC=0.76). Relationships between host metabolites and α-diversity remained consistent across most of the Body Mass Index (BMI) spectrum, but were modified in extreme obesity (class II/III, but not class I), suggesting a significant metabolic shift. Out-of-sample prediction accuracy of α-diversity from the 40 identified blood metabolites in a validation cohort, whose microbiome samples were analyzed by a different vendor, confirmed the robust correspondence between gut microbiome structure and host physiology. Collectively, our results reveal a strong coupling between the human blood metabolome and gut microbial diversity, with implications for human health.","genre":"preprint","language":"en","note":"DOI: 10.1101/561209","publisher":"Bioinformatics","source":"DOI.org (Crossref)","title":"Blood metabolome signature predicts gut microbiome α-diversity in health and disease","URL":"http://biorxiv.org/lookup/doi/10.1101/561209","author":[{"family":"Wilmanski","given":"Tomasz"},{"family":"Rappaport","given":"Noa"},{"family":"Earls","given":"John C."},{"family":"Magis","given":"Andrew T."},{"family":"Manor","given":"Ohad"},{"family":"Lovejoy","given":"Jennifer"},{"family":"Omenn","given":"Gilbert S."},{"family":"Hood","given":"Leroy"},{"family":"Gibbons","given":"Sean M."},{"family":"Price","given":"Nathan D."}],"accessed":{"date-parts":[["2023",1,24]]},"issued":{"date-parts":[["2019",2,26]]}}},{"id":8286,"uris":["http://zotero.org/users/1824097/items/YREUAH59"],"itemData":{"id":8286,"type":"article-journal","abstract":"Primary and secondary bile acids (BAs) influence metabolism and inflammation, and the gut microbiome modulates levels of BAs. We systematically explore the host genetic, gut microbial, and habitual dietary contribution to a panel of 19 serum and 15 stool BAs in two population-based cohorts (TwinsUK, n = 2,382; ZOE PREDICT-1, n = 327) and assess changes post-bariatric surgery and after nutritional interventions. We report that BAs have a moderately heritable genetic component, and the gut microbiome accurately predicts their levels in serum and stool. The secondary BA isoursodeoxycholate (isoUDCA) can be explained mostly by gut microbes (area under the receiver operating characteristic curve [AUC] = </w:instrText>
      </w:r>
      <w:r w:rsidR="00FD17E6" w:rsidRPr="00C428D5">
        <w:rPr>
          <w:rFonts w:ascii="Cambria Math" w:hAnsi="Cambria Math" w:cs="Cambria Math"/>
          <w:sz w:val="20"/>
          <w:szCs w:val="20"/>
        </w:rPr>
        <w:instrText>∼</w:instrText>
      </w:r>
      <w:r w:rsidR="00FD17E6" w:rsidRPr="00C428D5">
        <w:rPr>
          <w:rFonts w:ascii="Times New Roman" w:hAnsi="Times New Roman" w:cs="Times New Roman"/>
          <w:sz w:val="20"/>
          <w:szCs w:val="20"/>
        </w:rPr>
        <w:instrText xml:space="preserve">80%) and associates with post-prandial lipemia and inflammation (GlycA). Furthermore, circulating isoUDCA decreases significantly 1 year after bariatric surgery (β = -0.72, p = 1 × 10-5) and in response to fiber supplementation (β = -0.37, p &lt; 0.03) but not omega-3 supplementation. In healthy individuals, isoUDCA fasting levels correlate with pre-meal appetite (p &lt; 1 × 10-4). Our findings indicate an important role for isoUDCA in lipid metabolism, appetite, and, potentially, cardiometabolic risk.","container-title":"Cell Reports. Medicine","DOI":"10.1016/j.xcrm.2023.100993","ISSN":"2666-3791","issue":"4","journalAbbreviation":"Cell Rep Med","language":"eng","note":"number: 4\nPMID: 37023745\nPMCID: PMC10140478","page":"100993","source":"PubMed","title":"The secondary bile acid isoursodeoxycholate correlates with post-prandial lipemia, inflammation, and appetite and changes post-bariatric surgery","volume":"4","author":[{"family":"Louca","given":"Panayiotis"},{"family":"Meijnikman","given":"Abraham S."},{"family":"Nogal","given":"Ana"},{"family":"Asnicar","given":"Francesco"},{"family":"Attaye","given":"Ilias"},{"family":"Vijay","given":"Amrita"},{"family":"Kouraki","given":"Afroditi"},{"family":"Visconti","given":"Alessia"},{"family":"Wong","given":"Kari"},{"family":"Berry","given":"Sarah E."},{"family":"Leeming","given":"Emily R."},{"family":"Mompeo","given":"Olatz"},{"family":"Tettamanzi","given":"Francesca"},{"family":"Baleanu","given":"Andrei-Florin"},{"family":"Falchi","given":"Mario"},{"family":"Hadjigeorgiou","given":"George"},{"family":"Wolf","given":"Jonathan"},{"family":"Acherman","given":"Yair I. Z."},{"family":"Van de Laar","given":"Arnold W."},{"family":"Gerdes","given":"Victor E. A."},{"family":"Michelotti","given":"Gregory A."},{"family":"Franks","given":"Paul W."},{"family":"Segata","given":"Nicola"},{"family":"Mangino","given":"Massimo"},{"family":"Spector","given":"Tim D."},{"family":"Bulsiewicz","given":"William J."},{"family":"Nieuwdorp","given":"Max"},{"family":"Valdes","given":"Ana M."},{"family":"Menni","given":"Cristina"}],"issued":{"date-parts":[["2023",4,18]]}}}],"schema":"https://github.com/citation-style-language/schema/raw/master/csl-citation.json"} </w:instrText>
      </w:r>
      <w:r w:rsidR="00912C24"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35,36</w:t>
      </w:r>
      <w:r w:rsidR="00912C24" w:rsidRPr="00C428D5">
        <w:rPr>
          <w:rFonts w:ascii="Times New Roman" w:hAnsi="Times New Roman" w:cs="Times New Roman"/>
          <w:sz w:val="20"/>
          <w:szCs w:val="20"/>
        </w:rPr>
        <w:fldChar w:fldCharType="end"/>
      </w:r>
      <w:r w:rsidRPr="00C428D5">
        <w:rPr>
          <w:rFonts w:ascii="Times New Roman" w:hAnsi="Times New Roman" w:cs="Times New Roman"/>
          <w:sz w:val="20"/>
          <w:szCs w:val="20"/>
        </w:rPr>
        <w:t>, whereas increased levels of glycochenodeoxycholate 3−sulfate has been observed in patients with Crohn disease and in bariatric surgery patients suffering from gallstones</w:t>
      </w:r>
      <w:r w:rsidR="002148D4"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{"citationID":"P0aZG3eS","properties":{"formattedCitation":"\\super 37,38\\nosupersub{}","plainCitation":"37,38","noteIndex":0},"citationItems":[{"id":8171,"uris":["http://zotero.org/users/1824097/items/8QQTMAT6"],"itemData":{"id":8171,"type":"article-journal","container-title":"The FASEB Journal","DOI":"10.1096/fj.202101088RRR","ISSN":"0892-6638, 1530-6860","issue":"1","journalAbbreviation":"The FASEB Journal","language":"en","note":"number: 1","source":"DOI.org (Crossref)","title":"Co‐occurrence of gut microbiota dysbiosis and bile acid metabolism alteration is associated with psychological disorders in Crohn's disease","URL":"https://onlinelibrary.wiley.com/doi/10.1096/fj.202101088RRR","volume":"36","author":[{"family":"Feng","given":"Lijuan"},{"family":"Zhou","given":"Nan"},{"family":"Li","given":"Zichun"},{"family":"Fu","given":"Dongni"},{"family":"Guo","given":"Ying"},{"family":"Gao","given":"Xuefeng"},{"family":"Liu","given":"Xiaowei"}],"accessed":{"date-parts":[["2023",1,24]]},"issued":{"date-parts":[["2022",1]]}}},{"id":8169,"uris":["http://zotero.org/users/1824097/items/TDZ6BJVX"],"itemData":{"id":8169,"type":"article-journal","container-title":"Journal of Lipid Research","DOI":"10.1016/j.jlr.2022.100280","ISSN":"00222275","issue":"11","journalAbbreviation":"Journal of Lipid Research","language":"en","note":"number: 11","page":"100280","source":"DOI.org (Crossref)","title":"Adipose Tissue, Bile Acids, and Gut Microbiome Species Associated With Gallstones After Bariatric Surgery","URL":"https://linkinghub.elsevier.com/retrieve/pii/S0022227522001134","volume":"63","author":[{"family":"Guman","given":"M.S.S."},{"family":"Hoozemans","given":"J.B."},{"family":"Haal","given":"S."},{"family":"Jonge","given":"P.A.","non-dropping-particle":"de"},{"family":"Aydin","given":"Ö."},{"family":"Lappa","given":"D."},{"family":"Meijnikman","given":"A.S."},{"family":"Westerink","given":"F."},{"family":"Acherman","given":"Y."},{"family":"Bäckhed","given":"F."},{"family":"Brauw","given":"M.","non-dropping-particle":"de"},{"family":"Nielsen","given":"J."},{"family":"Nieuwdorp","given":"M."},{"family":"Groen","given":"A.K."},{"family":"Gerdes","given":"V.E.A."}],"accessed":{"date-parts":[["2023",1,24]]},"issued":{"date-parts":[["2022",11]]}}}],"schema":"https://github.com/citation-style-language/schema/raw/master/csl-citation.json"} </w:instrText>
      </w:r>
      <w:r w:rsidR="002148D4"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37,38</w:t>
      </w:r>
      <w:r w:rsidR="002148D4"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Finally, among the compounds </w:t>
      </w:r>
      <w:r w:rsidR="002148D4" w:rsidRPr="00C428D5">
        <w:rPr>
          <w:rFonts w:ascii="Times New Roman" w:hAnsi="Times New Roman" w:cs="Times New Roman"/>
          <w:sz w:val="20"/>
          <w:szCs w:val="20"/>
        </w:rPr>
        <w:t xml:space="preserve">enriched in individuals with low QASD </w:t>
      </w:r>
      <w:r w:rsidRPr="00C428D5">
        <w:rPr>
          <w:rFonts w:ascii="Times New Roman" w:hAnsi="Times New Roman" w:cs="Times New Roman"/>
          <w:sz w:val="20"/>
          <w:szCs w:val="20"/>
        </w:rPr>
        <w:t xml:space="preserve">score we found also </w:t>
      </w:r>
      <w:proofErr w:type="spellStart"/>
      <w:r w:rsidRPr="00C428D5">
        <w:rPr>
          <w:rFonts w:ascii="Times New Roman" w:hAnsi="Times New Roman" w:cs="Times New Roman"/>
          <w:sz w:val="20"/>
          <w:szCs w:val="20"/>
        </w:rPr>
        <w:t>GlycA</w:t>
      </w:r>
      <w:proofErr w:type="spellEnd"/>
      <w:r w:rsidRPr="00C428D5">
        <w:rPr>
          <w:rFonts w:ascii="Times New Roman" w:hAnsi="Times New Roman" w:cs="Times New Roman"/>
          <w:sz w:val="20"/>
          <w:szCs w:val="20"/>
        </w:rPr>
        <w:t>, a novel spectroscopic marker of systemic inflammation with low intra-individual variability and other attributes favoring its clinical use in patients with chronic inflammatory and autoimmune diseases</w:t>
      </w:r>
      <w:r w:rsidR="002148D4"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{"citationID":"H5V3dVLU","properties":{"formattedCitation":"\\super 39\\nosupersub{}","plainCitation":"39","noteIndex":0},"citationItems":[{"id":8167,"uris":["http://zotero.org/users/1824097/items/4MUM3TM5"],"itemData":{"id":8167,"type":"article-journal","container-title":"Journal of Translational Medicine","DOI":"10.1186/s12967-017-1321-6","ISSN":"1479-5876","issue":"1","journalAbbreviation":"J Transl Med","language":"en","note":"number: 1","page":"219","source":"DOI.org (Crossref)","title":"GlycA, a novel biomarker of systemic inflammation and cardiovascular disease risk","URL":"https://translational-medicine.biomedcentral.com/articles/10.1186/s12967-017-1321-6","volume":"15","author":[{"family":"Connelly","given":"Margery A."},{"family":"Otvos","given":"James D."},{"family":"Shalaurova","given":"Irina"},{"family":"Playford","given":"Martin P."},{"family":"Mehta","given":"Nehal N."}],"accessed":{"date-parts":[["2023",1,24]]},"issued":{"date-parts":[["2017",12]]}}}],"schema":"https://github.com/citation-style-language/schema/raw/master/csl-citation.json"} </w:instrText>
      </w:r>
      <w:r w:rsidR="002148D4"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39</w:t>
      </w:r>
      <w:r w:rsidR="002148D4"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2-hydroxybutyrate, a </w:t>
      </w:r>
      <w:r w:rsidR="002148D4" w:rsidRPr="00C428D5">
        <w:rPr>
          <w:rFonts w:ascii="Times New Roman" w:hAnsi="Times New Roman" w:cs="Times New Roman"/>
          <w:sz w:val="20"/>
          <w:szCs w:val="20"/>
        </w:rPr>
        <w:t xml:space="preserve">biomarker of T2D derived from </w:t>
      </w:r>
      <w:r w:rsidRPr="00C428D5">
        <w:rPr>
          <w:rFonts w:ascii="Times New Roman" w:hAnsi="Times New Roman" w:cs="Times New Roman"/>
          <w:sz w:val="20"/>
          <w:szCs w:val="20"/>
        </w:rPr>
        <w:t>protein metabolism whose levels increases in parallel with the progression of insulin resistance</w:t>
      </w:r>
      <w:r w:rsidR="002148D4"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{"citationID":"edPfmSTP","properties":{"formattedCitation":"\\super 40\\nosupersub{}","plainCitation":"40","noteIndex":0},"citationItems":[{"id":8165,"uris":["http://zotero.org/users/1824097/items/J6E9DL4S"],"itemData":{"id":8165,"type":"article-journal","abstract":"Type 2 Diabetes Mellitus (T2D) is defined as a chronic condition caused by beta cell loss and/or dysfunction and insulin resistance (IR). The discovering of novel biomarkers capable of identifying T2D and other metabolic disorders associated with IR in a timely and accurate way is critical. In this review, 2-hydroxybutyric acid (2HB) is presented as that upheaval biomarker with an unexplored potential ahead. Due to the activation of other metabolic pathways during IR, 2HB is synthesized as a coproduct of protein metabolism, being the progression of IR intrinsically related to the increasing of 2HB levels. Hence, the focus of this review will be on the 2HB metabolite and its involvement in glucose homeostasis. A literature review was conducted, which comprised an examination of publications from different databases that had been published over the previous ten years. A total of 19 articles fulfilled the intended set of criteria. The use of 2HB as an early indicator of IR was separated into subjects based on the number of analytes examined simultaneously. In terms of the association between 2HB and IR, it has been established that increasing 2HB levels can predict the development of IR. Thus, 2HB has demonstrated considerable promise as a clinical monitoring molecule, not only as an IR biomarker, but also for disease follow-up throughout IR treatment.","container-title":"Metabolites","DOI":"10.3390/metabo11120835","ISSN":"2218-1989","issue":"12","journalAbbreviation":"Metabolites","language":"en","note":"number: 12","page":"835","source":"DOI.org (Crossref)","title":"Which Role Plays 2-Hydroxybutyric Acid on Insulin Resistance?","URL":"https://www.mdpi.com/2218-1989/11/12/835","volume":"11","author":[{"family":"Sousa","given":"André P."},{"family":"Cunha","given":"Diogo M."},{"family":"Franco","given":"Carolina"},{"family":"Teixeira","given":"Catarina"},{"family":"Gojon","given":"Frantz"},{"family":"Baylina","given":"Pilar"},{"family":"Fernandes","given":"Ruben"}],"accessed":{"date-parts":[["2023",1,24]]},"issued":{"date-parts":[["2021",12,3]]}}}],"schema":"https://github.com/citation-style-language/schema/raw/master/csl-citation.json"} </w:instrText>
      </w:r>
      <w:r w:rsidR="002148D4"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40</w:t>
      </w:r>
      <w:r w:rsidR="002148D4"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r w:rsidR="002148D4" w:rsidRPr="00C428D5">
        <w:rPr>
          <w:rFonts w:ascii="Times New Roman" w:hAnsi="Times New Roman" w:cs="Times New Roman"/>
          <w:sz w:val="20"/>
          <w:szCs w:val="20"/>
        </w:rPr>
        <w:t xml:space="preserve">but also </w:t>
      </w:r>
      <w:r w:rsidRPr="00C428D5">
        <w:rPr>
          <w:rFonts w:ascii="Times New Roman" w:hAnsi="Times New Roman" w:cs="Times New Roman"/>
          <w:sz w:val="20"/>
          <w:szCs w:val="20"/>
        </w:rPr>
        <w:t xml:space="preserve">azelate, </w:t>
      </w:r>
      <w:r w:rsidR="002148D4" w:rsidRPr="00C428D5">
        <w:rPr>
          <w:rFonts w:ascii="Times New Roman" w:hAnsi="Times New Roman" w:cs="Times New Roman"/>
          <w:sz w:val="20"/>
          <w:szCs w:val="20"/>
        </w:rPr>
        <w:t xml:space="preserve">a </w:t>
      </w:r>
      <w:r w:rsidRPr="00C428D5">
        <w:rPr>
          <w:rFonts w:ascii="Times New Roman" w:hAnsi="Times New Roman" w:cs="Times New Roman"/>
          <w:sz w:val="20"/>
          <w:szCs w:val="20"/>
        </w:rPr>
        <w:t>compound occurring naturally in organisms ranging from plants to humans with a broad range of immunomodulatory activities in vitro and in vivo that can mitigate insulin resistance</w:t>
      </w:r>
      <w:r w:rsidR="002148D4"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ZOTERO_ITEM CSL_CITATION {"citationID":"O3vYvSQM","properties":{"formattedCitation":"\\super 41\\nosupersub{}","plainCitation":"41","noteIndex":0},"citationItems":[{"id":8163,"uris":["http://zotero.org/users/1824097/items/D8Y8BG3S"],"itemData":{"id":8163,"type":"article-journal","abstract":"Azelaic acid and its esters, the azelates, occur naturally in organisms ranging from plants to humans. We have shown that diethyl azelate (DEA) exhibits a broad range of immunomodulatory activities in vitro and in vivo, and mitigates insulin resistance. To further investigate the therapeutic utility of DEA, we evaluated its mutagenicity in Salmonella typhimurium strains, examined metabolism of DEA in rat, dog, monkey and human primary hepatocytes and in human saliva, determined pharmacokinetics of DEA after an oral dose in rats, and queried its physicochemical properties for drug-like characteristics. DEA was not mutagenic in bacterial strains ± rat liver metabolic activation system S-9. It was chemically unstable in hepatocyte culture medium with a half-life of &lt;1 h and was depleted by the hepatocytes in &lt;5 min, suggesting rapid hepatic metabolism. DEA was also quickly degraded by human saliva in vitro. After an oral administration of DEA to rats, the di- and monoester were undetectable in plasma while the levels of azelaic acid increased over time, reached maximum at &lt;2 h, and declined rapidly thereafter. The observed pharmacological properties of DEA suggest that it has value both as a drug or a nutritional supplement.","container-title":"Nutraceuticals","DOI":"10.3390/nutraceuticals1010006","ISSN":"1661-3821","issue":"1","journalAbbreviation":"Nutraceuticals","language":"en","note":"number: 1","page":"42-53","source":"DOI.org (Crossref)","title":"Azelaic Acid Esters as Pluripotent Immunomodulatory Molecules: Nutritional Supplements or Drugs","title-short":"Azelaic Acid Esters as Pluripotent Immunomodulatory Molecules","URL":"https://www.mdpi.com/1661-3821/1/1/6","volume":"1","author":[{"family":"Izbicka","given":"Elzbieta"},{"family":"Streeper","given":"Robert T."}],"accessed":{"date-parts":[["2023",1,24]]},"issued":{"date-parts":[["2021",12,17]]}}}],"schema":"https://github.com/citation-style-language/schema/raw/master/csl-citation.json"} </w:instrText>
      </w:r>
      <w:r w:rsidR="002148D4"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vertAlign w:val="superscript"/>
          <w:lang w:val="en-GB"/>
        </w:rPr>
        <w:t>41</w:t>
      </w:r>
      <w:r w:rsidR="002148D4" w:rsidRPr="00C428D5">
        <w:rPr>
          <w:rFonts w:ascii="Times New Roman" w:hAnsi="Times New Roman" w:cs="Times New Roman"/>
          <w:sz w:val="20"/>
          <w:szCs w:val="20"/>
        </w:rPr>
        <w:fldChar w:fldCharType="end"/>
      </w:r>
      <w:r w:rsidRPr="00C428D5">
        <w:rPr>
          <w:rFonts w:ascii="Times New Roman" w:hAnsi="Times New Roman" w:cs="Times New Roman"/>
          <w:sz w:val="20"/>
          <w:szCs w:val="20"/>
        </w:rPr>
        <w:t xml:space="preserve">. </w:t>
      </w:r>
    </w:p>
    <w:p w14:paraId="47FC74FF" w14:textId="77777777" w:rsidR="00F278CD" w:rsidRPr="00C428D5" w:rsidRDefault="00F278CD" w:rsidP="00D1061D">
      <w:pPr>
        <w:ind w:firstLine="0"/>
        <w:rPr>
          <w:rFonts w:ascii="Times New Roman" w:hAnsi="Times New Roman" w:cs="Times New Roman"/>
          <w:sz w:val="20"/>
          <w:szCs w:val="20"/>
        </w:rPr>
      </w:pPr>
    </w:p>
    <w:p w14:paraId="73E1CD39" w14:textId="3B21433D" w:rsidR="00F278CD" w:rsidRPr="00C428D5" w:rsidRDefault="00F278CD" w:rsidP="00F278CD">
      <w:pPr>
        <w:ind w:firstLine="0"/>
        <w:rPr>
          <w:rFonts w:ascii="Times New Roman" w:hAnsi="Times New Roman" w:cs="Times New Roman"/>
          <w:b/>
          <w:bCs/>
          <w:sz w:val="20"/>
          <w:szCs w:val="20"/>
        </w:rPr>
      </w:pPr>
      <w:r w:rsidRPr="00C428D5">
        <w:rPr>
          <w:rFonts w:ascii="Times New Roman" w:hAnsi="Times New Roman" w:cs="Times New Roman"/>
          <w:b/>
          <w:bCs/>
          <w:sz w:val="20"/>
          <w:szCs w:val="20"/>
        </w:rPr>
        <w:t>References</w:t>
      </w:r>
    </w:p>
    <w:p w14:paraId="5820EEF7" w14:textId="77777777" w:rsidR="00FD17E6" w:rsidRPr="00C428D5" w:rsidRDefault="00F278CD"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rPr>
        <w:fldChar w:fldCharType="begin"/>
      </w:r>
      <w:r w:rsidR="00FD17E6" w:rsidRPr="00C428D5">
        <w:rPr>
          <w:rFonts w:ascii="Times New Roman" w:hAnsi="Times New Roman" w:cs="Times New Roman"/>
          <w:sz w:val="20"/>
          <w:szCs w:val="20"/>
        </w:rPr>
        <w:instrText xml:space="preserve"> ADDIN ZOTERO_BIBL {"uncited":[],"omitted":[],"custom":[]} CSL_BIBLIOGRAPHY </w:instrText>
      </w:r>
      <w:r w:rsidRPr="00C428D5">
        <w:rPr>
          <w:rFonts w:ascii="Times New Roman" w:hAnsi="Times New Roman" w:cs="Times New Roman"/>
          <w:sz w:val="20"/>
          <w:szCs w:val="20"/>
        </w:rPr>
        <w:fldChar w:fldCharType="separate"/>
      </w:r>
      <w:r w:rsidR="00FD17E6" w:rsidRPr="00C428D5">
        <w:rPr>
          <w:rFonts w:ascii="Times New Roman" w:hAnsi="Times New Roman" w:cs="Times New Roman"/>
          <w:sz w:val="20"/>
          <w:szCs w:val="20"/>
          <w:lang w:val="en-GB"/>
        </w:rPr>
        <w:t>1.</w:t>
      </w:r>
      <w:r w:rsidR="00FD17E6" w:rsidRPr="00C428D5">
        <w:rPr>
          <w:rFonts w:ascii="Times New Roman" w:hAnsi="Times New Roman" w:cs="Times New Roman"/>
          <w:sz w:val="20"/>
          <w:szCs w:val="20"/>
          <w:lang w:val="en-GB"/>
        </w:rPr>
        <w:tab/>
        <w:t xml:space="preserve">Lopez-Siles, M., Duncan, S. H., Garcia-Gil, L. J. &amp; Martinez-Medina, M. Faecalibacterium prausnitzii: from microbiology to diagnostics and prognostics. </w:t>
      </w:r>
      <w:r w:rsidR="00FD17E6" w:rsidRPr="00C428D5">
        <w:rPr>
          <w:rFonts w:ascii="Times New Roman" w:hAnsi="Times New Roman" w:cs="Times New Roman"/>
          <w:i/>
          <w:iCs/>
          <w:sz w:val="20"/>
          <w:szCs w:val="20"/>
          <w:lang w:val="en-GB"/>
        </w:rPr>
        <w:t>ISME J.</w:t>
      </w:r>
      <w:r w:rsidR="00FD17E6" w:rsidRPr="00C428D5">
        <w:rPr>
          <w:rFonts w:ascii="Times New Roman" w:hAnsi="Times New Roman" w:cs="Times New Roman"/>
          <w:sz w:val="20"/>
          <w:szCs w:val="20"/>
          <w:lang w:val="en-GB"/>
        </w:rPr>
        <w:t xml:space="preserve"> </w:t>
      </w:r>
      <w:r w:rsidR="00FD17E6" w:rsidRPr="00C428D5">
        <w:rPr>
          <w:rFonts w:ascii="Times New Roman" w:hAnsi="Times New Roman" w:cs="Times New Roman"/>
          <w:b/>
          <w:bCs/>
          <w:sz w:val="20"/>
          <w:szCs w:val="20"/>
          <w:lang w:val="en-GB"/>
        </w:rPr>
        <w:t>11</w:t>
      </w:r>
      <w:r w:rsidR="00FD17E6" w:rsidRPr="00C428D5">
        <w:rPr>
          <w:rFonts w:ascii="Times New Roman" w:hAnsi="Times New Roman" w:cs="Times New Roman"/>
          <w:sz w:val="20"/>
          <w:szCs w:val="20"/>
          <w:lang w:val="en-GB"/>
        </w:rPr>
        <w:t>, 841–852 (2017).</w:t>
      </w:r>
    </w:p>
    <w:p w14:paraId="027C6D20"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w:t>
      </w:r>
      <w:r w:rsidRPr="00C428D5">
        <w:rPr>
          <w:rFonts w:ascii="Times New Roman" w:hAnsi="Times New Roman" w:cs="Times New Roman"/>
          <w:sz w:val="20"/>
          <w:szCs w:val="20"/>
          <w:lang w:val="en-GB"/>
        </w:rPr>
        <w:tab/>
        <w:t xml:space="preserve">Munukka, E.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Faecalibacterium prausnitzii treatment improves hepatic health and reduces adipose tissue inflammation in high-fat fed mice. </w:t>
      </w:r>
      <w:r w:rsidRPr="00C428D5">
        <w:rPr>
          <w:rFonts w:ascii="Times New Roman" w:hAnsi="Times New Roman" w:cs="Times New Roman"/>
          <w:i/>
          <w:iCs/>
          <w:sz w:val="20"/>
          <w:szCs w:val="20"/>
          <w:lang w:val="en-GB"/>
        </w:rPr>
        <w:t>ISME J.</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11</w:t>
      </w:r>
      <w:r w:rsidRPr="00C428D5">
        <w:rPr>
          <w:rFonts w:ascii="Times New Roman" w:hAnsi="Times New Roman" w:cs="Times New Roman"/>
          <w:sz w:val="20"/>
          <w:szCs w:val="20"/>
          <w:lang w:val="en-GB"/>
        </w:rPr>
        <w:t>, 1667–1679 (2017).</w:t>
      </w:r>
    </w:p>
    <w:p w14:paraId="7A730D9C"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w:t>
      </w:r>
      <w:r w:rsidRPr="00C428D5">
        <w:rPr>
          <w:rFonts w:ascii="Times New Roman" w:hAnsi="Times New Roman" w:cs="Times New Roman"/>
          <w:sz w:val="20"/>
          <w:szCs w:val="20"/>
          <w:lang w:val="en-GB"/>
        </w:rPr>
        <w:tab/>
        <w:t xml:space="preserve">Sokol, H.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Faecalibacterium prausnitzii is an anti-inflammatory commensal bacterium identified by gut microbiota analysis of Crohn disease patients. </w:t>
      </w:r>
      <w:r w:rsidRPr="00C428D5">
        <w:rPr>
          <w:rFonts w:ascii="Times New Roman" w:hAnsi="Times New Roman" w:cs="Times New Roman"/>
          <w:i/>
          <w:iCs/>
          <w:sz w:val="20"/>
          <w:szCs w:val="20"/>
          <w:lang w:val="en-GB"/>
        </w:rPr>
        <w:t>Proc. Natl. Acad. Sci. U. S. A.</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105</w:t>
      </w:r>
      <w:r w:rsidRPr="00C428D5">
        <w:rPr>
          <w:rFonts w:ascii="Times New Roman" w:hAnsi="Times New Roman" w:cs="Times New Roman"/>
          <w:sz w:val="20"/>
          <w:szCs w:val="20"/>
          <w:lang w:val="en-GB"/>
        </w:rPr>
        <w:t>, 16731–16736 (2008).</w:t>
      </w:r>
    </w:p>
    <w:p w14:paraId="2ADE013A"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4.</w:t>
      </w:r>
      <w:r w:rsidRPr="00C428D5">
        <w:rPr>
          <w:rFonts w:ascii="Times New Roman" w:hAnsi="Times New Roman" w:cs="Times New Roman"/>
          <w:sz w:val="20"/>
          <w:szCs w:val="20"/>
          <w:lang w:val="en-GB"/>
        </w:rPr>
        <w:tab/>
        <w:t xml:space="preserve">Asnicar, F.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Microbiome connections with host metabolism and habitual diet from 1,098 deeply phenotyped individuals. </w:t>
      </w:r>
      <w:r w:rsidRPr="00C428D5">
        <w:rPr>
          <w:rFonts w:ascii="Times New Roman" w:hAnsi="Times New Roman" w:cs="Times New Roman"/>
          <w:i/>
          <w:iCs/>
          <w:sz w:val="20"/>
          <w:szCs w:val="20"/>
          <w:lang w:val="en-GB"/>
        </w:rPr>
        <w:t>Nat. Med.</w:t>
      </w:r>
      <w:r w:rsidRPr="00C428D5">
        <w:rPr>
          <w:rFonts w:ascii="Times New Roman" w:hAnsi="Times New Roman" w:cs="Times New Roman"/>
          <w:sz w:val="20"/>
          <w:szCs w:val="20"/>
          <w:lang w:val="en-GB"/>
        </w:rPr>
        <w:t xml:space="preserve"> (2021) doi:10.1038/s41591-020-01183-8.</w:t>
      </w:r>
    </w:p>
    <w:p w14:paraId="21E1D986"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5.</w:t>
      </w:r>
      <w:r w:rsidRPr="00C428D5">
        <w:rPr>
          <w:rFonts w:ascii="Times New Roman" w:hAnsi="Times New Roman" w:cs="Times New Roman"/>
          <w:sz w:val="20"/>
          <w:szCs w:val="20"/>
          <w:lang w:val="en-GB"/>
        </w:rPr>
        <w:tab/>
        <w:t xml:space="preserve">Li, R.-J.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Network of Interactions Between Gut Microbiome, Host Biomarkers, and Urine Metabolome in Carotid Atherosclerosis. </w:t>
      </w:r>
      <w:r w:rsidRPr="00C428D5">
        <w:rPr>
          <w:rFonts w:ascii="Times New Roman" w:hAnsi="Times New Roman" w:cs="Times New Roman"/>
          <w:i/>
          <w:iCs/>
          <w:sz w:val="20"/>
          <w:szCs w:val="20"/>
          <w:lang w:val="en-GB"/>
        </w:rPr>
        <w:t>Front. Cell. Infect. Microbiol.</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11</w:t>
      </w:r>
      <w:r w:rsidRPr="00C428D5">
        <w:rPr>
          <w:rFonts w:ascii="Times New Roman" w:hAnsi="Times New Roman" w:cs="Times New Roman"/>
          <w:sz w:val="20"/>
          <w:szCs w:val="20"/>
          <w:lang w:val="en-GB"/>
        </w:rPr>
        <w:t>, 708088 (2021).</w:t>
      </w:r>
    </w:p>
    <w:p w14:paraId="7062C025"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6.</w:t>
      </w:r>
      <w:r w:rsidRPr="00C428D5">
        <w:rPr>
          <w:rFonts w:ascii="Times New Roman" w:hAnsi="Times New Roman" w:cs="Times New Roman"/>
          <w:sz w:val="20"/>
          <w:szCs w:val="20"/>
          <w:lang w:val="en-GB"/>
        </w:rPr>
        <w:tab/>
        <w:t xml:space="preserve">Simmering, R., Pforte, H., Jacobasch, G. &amp; Blaut, M. The growth of the flavonoid-degrading intestinal bacterium, Eubacterium ramulus, is stimulated by dietary flavonoids in vivo. </w:t>
      </w:r>
      <w:r w:rsidRPr="00C428D5">
        <w:rPr>
          <w:rFonts w:ascii="Times New Roman" w:hAnsi="Times New Roman" w:cs="Times New Roman"/>
          <w:i/>
          <w:iCs/>
          <w:sz w:val="20"/>
          <w:szCs w:val="20"/>
          <w:lang w:val="en-GB"/>
        </w:rPr>
        <w:t>FEMS Microbiol. Ecol.</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40</w:t>
      </w:r>
      <w:r w:rsidRPr="00C428D5">
        <w:rPr>
          <w:rFonts w:ascii="Times New Roman" w:hAnsi="Times New Roman" w:cs="Times New Roman"/>
          <w:sz w:val="20"/>
          <w:szCs w:val="20"/>
          <w:lang w:val="en-GB"/>
        </w:rPr>
        <w:t>, 243–248 (2002).</w:t>
      </w:r>
    </w:p>
    <w:p w14:paraId="17723CD0"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lastRenderedPageBreak/>
        <w:t>7.</w:t>
      </w:r>
      <w:r w:rsidRPr="00C428D5">
        <w:rPr>
          <w:rFonts w:ascii="Times New Roman" w:hAnsi="Times New Roman" w:cs="Times New Roman"/>
          <w:sz w:val="20"/>
          <w:szCs w:val="20"/>
          <w:lang w:val="en-GB"/>
        </w:rPr>
        <w:tab/>
        <w:t xml:space="preserve">Brial, F.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Human and preclinical studies of the host–gut microbiome co-metabolite hippurate as a marker and mediator of metabolic health. </w:t>
      </w:r>
      <w:r w:rsidRPr="00C428D5">
        <w:rPr>
          <w:rFonts w:ascii="Times New Roman" w:hAnsi="Times New Roman" w:cs="Times New Roman"/>
          <w:i/>
          <w:iCs/>
          <w:sz w:val="20"/>
          <w:szCs w:val="20"/>
          <w:lang w:val="en-GB"/>
        </w:rPr>
        <w:t>Gut</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70</w:t>
      </w:r>
      <w:r w:rsidRPr="00C428D5">
        <w:rPr>
          <w:rFonts w:ascii="Times New Roman" w:hAnsi="Times New Roman" w:cs="Times New Roman"/>
          <w:sz w:val="20"/>
          <w:szCs w:val="20"/>
          <w:lang w:val="en-GB"/>
        </w:rPr>
        <w:t>, 2105–2114 (2021).</w:t>
      </w:r>
    </w:p>
    <w:p w14:paraId="1493A44C"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8.</w:t>
      </w:r>
      <w:r w:rsidRPr="00C428D5">
        <w:rPr>
          <w:rFonts w:ascii="Times New Roman" w:hAnsi="Times New Roman" w:cs="Times New Roman"/>
          <w:sz w:val="20"/>
          <w:szCs w:val="20"/>
          <w:lang w:val="en-GB"/>
        </w:rPr>
        <w:tab/>
        <w:t xml:space="preserve">de Mello, V. D.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Indolepropionic acid and novel lipid metabolites are associated with a lower risk of type 2 diabetes in the Finnish Diabetes Prevention Study. </w:t>
      </w:r>
      <w:r w:rsidRPr="00C428D5">
        <w:rPr>
          <w:rFonts w:ascii="Times New Roman" w:hAnsi="Times New Roman" w:cs="Times New Roman"/>
          <w:i/>
          <w:iCs/>
          <w:sz w:val="20"/>
          <w:szCs w:val="20"/>
          <w:lang w:val="en-GB"/>
        </w:rPr>
        <w:t>Sci. Rep.</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7</w:t>
      </w:r>
      <w:r w:rsidRPr="00C428D5">
        <w:rPr>
          <w:rFonts w:ascii="Times New Roman" w:hAnsi="Times New Roman" w:cs="Times New Roman"/>
          <w:sz w:val="20"/>
          <w:szCs w:val="20"/>
          <w:lang w:val="en-GB"/>
        </w:rPr>
        <w:t>, 46337 (2017).</w:t>
      </w:r>
    </w:p>
    <w:p w14:paraId="7F12BBF1"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9.</w:t>
      </w:r>
      <w:r w:rsidRPr="00C428D5">
        <w:rPr>
          <w:rFonts w:ascii="Times New Roman" w:hAnsi="Times New Roman" w:cs="Times New Roman"/>
          <w:sz w:val="20"/>
          <w:szCs w:val="20"/>
          <w:lang w:val="en-GB"/>
        </w:rPr>
        <w:tab/>
        <w:t xml:space="preserve">Venkatesh, M.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Symbiotic Bacterial Metabolites Regulate Gastrointestinal Barrier Function via the Xenobiotic Sensor PXR and Toll-like Receptor 4. </w:t>
      </w:r>
      <w:r w:rsidRPr="00C428D5">
        <w:rPr>
          <w:rFonts w:ascii="Times New Roman" w:hAnsi="Times New Roman" w:cs="Times New Roman"/>
          <w:i/>
          <w:iCs/>
          <w:sz w:val="20"/>
          <w:szCs w:val="20"/>
          <w:lang w:val="en-GB"/>
        </w:rPr>
        <w:t>Immunity</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41</w:t>
      </w:r>
      <w:r w:rsidRPr="00C428D5">
        <w:rPr>
          <w:rFonts w:ascii="Times New Roman" w:hAnsi="Times New Roman" w:cs="Times New Roman"/>
          <w:sz w:val="20"/>
          <w:szCs w:val="20"/>
          <w:lang w:val="en-GB"/>
        </w:rPr>
        <w:t>, 296–310 (2014).</w:t>
      </w:r>
    </w:p>
    <w:p w14:paraId="0CC0FF92"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10.</w:t>
      </w:r>
      <w:r w:rsidRPr="00C428D5">
        <w:rPr>
          <w:rFonts w:ascii="Times New Roman" w:hAnsi="Times New Roman" w:cs="Times New Roman"/>
          <w:sz w:val="20"/>
          <w:szCs w:val="20"/>
          <w:lang w:val="en-GB"/>
        </w:rPr>
        <w:tab/>
        <w:t xml:space="preserve">Pallister, T.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Characterizing Blood Metabolomics Profiles Associated with Self-Reported Food Intakes in Female Twins. </w:t>
      </w:r>
      <w:r w:rsidRPr="00C428D5">
        <w:rPr>
          <w:rFonts w:ascii="Times New Roman" w:hAnsi="Times New Roman" w:cs="Times New Roman"/>
          <w:i/>
          <w:iCs/>
          <w:sz w:val="20"/>
          <w:szCs w:val="20"/>
          <w:lang w:val="en-GB"/>
        </w:rPr>
        <w:t>PLOS ONE</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11</w:t>
      </w:r>
      <w:r w:rsidRPr="00C428D5">
        <w:rPr>
          <w:rFonts w:ascii="Times New Roman" w:hAnsi="Times New Roman" w:cs="Times New Roman"/>
          <w:sz w:val="20"/>
          <w:szCs w:val="20"/>
          <w:lang w:val="en-GB"/>
        </w:rPr>
        <w:t>, e0158568 (2016).</w:t>
      </w:r>
    </w:p>
    <w:p w14:paraId="6319309F"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11.</w:t>
      </w:r>
      <w:r w:rsidRPr="00C428D5">
        <w:rPr>
          <w:rFonts w:ascii="Times New Roman" w:hAnsi="Times New Roman" w:cs="Times New Roman"/>
          <w:sz w:val="20"/>
          <w:szCs w:val="20"/>
          <w:lang w:val="en-GB"/>
        </w:rPr>
        <w:tab/>
        <w:t xml:space="preserve">Menni, C.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Circulating levels of the anti-oxidant indoleproprionic acid are associated with higher gut microbiome diversity. </w:t>
      </w:r>
      <w:r w:rsidRPr="00C428D5">
        <w:rPr>
          <w:rFonts w:ascii="Times New Roman" w:hAnsi="Times New Roman" w:cs="Times New Roman"/>
          <w:i/>
          <w:iCs/>
          <w:sz w:val="20"/>
          <w:szCs w:val="20"/>
          <w:lang w:val="en-GB"/>
        </w:rPr>
        <w:t>Gut Microbes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10</w:t>
      </w:r>
      <w:r w:rsidRPr="00C428D5">
        <w:rPr>
          <w:rFonts w:ascii="Times New Roman" w:hAnsi="Times New Roman" w:cs="Times New Roman"/>
          <w:sz w:val="20"/>
          <w:szCs w:val="20"/>
          <w:lang w:val="en-GB"/>
        </w:rPr>
        <w:t>, 688–695 (2019).</w:t>
      </w:r>
    </w:p>
    <w:p w14:paraId="586B2086"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12.</w:t>
      </w:r>
      <w:r w:rsidRPr="00C428D5">
        <w:rPr>
          <w:rFonts w:ascii="Times New Roman" w:hAnsi="Times New Roman" w:cs="Times New Roman"/>
          <w:sz w:val="20"/>
          <w:szCs w:val="20"/>
          <w:lang w:val="en-GB"/>
        </w:rPr>
        <w:tab/>
        <w:t xml:space="preserve">Natividad, J. M.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Impaired Aryl Hydrocarbon Receptor Ligand Production by the Gut Microbiota Is a Key Factor in Metabolic Syndrome. </w:t>
      </w:r>
      <w:r w:rsidRPr="00C428D5">
        <w:rPr>
          <w:rFonts w:ascii="Times New Roman" w:hAnsi="Times New Roman" w:cs="Times New Roman"/>
          <w:i/>
          <w:iCs/>
          <w:sz w:val="20"/>
          <w:szCs w:val="20"/>
          <w:lang w:val="en-GB"/>
        </w:rPr>
        <w:t>Cell Metab.</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28</w:t>
      </w:r>
      <w:r w:rsidRPr="00C428D5">
        <w:rPr>
          <w:rFonts w:ascii="Times New Roman" w:hAnsi="Times New Roman" w:cs="Times New Roman"/>
          <w:sz w:val="20"/>
          <w:szCs w:val="20"/>
          <w:lang w:val="en-GB"/>
        </w:rPr>
        <w:t>, 737-749.e4 (2018).</w:t>
      </w:r>
    </w:p>
    <w:p w14:paraId="20CB8993"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13.</w:t>
      </w:r>
      <w:r w:rsidRPr="00C428D5">
        <w:rPr>
          <w:rFonts w:ascii="Times New Roman" w:hAnsi="Times New Roman" w:cs="Times New Roman"/>
          <w:sz w:val="20"/>
          <w:szCs w:val="20"/>
          <w:lang w:val="en-GB"/>
        </w:rPr>
        <w:tab/>
        <w:t xml:space="preserve">Krishnan, S.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Gut Microbiota-Derived Tryptophan Metabolites Modulate Inflammatory Response in Hepatocytes and Macrophages. </w:t>
      </w:r>
      <w:r w:rsidRPr="00C428D5">
        <w:rPr>
          <w:rFonts w:ascii="Times New Roman" w:hAnsi="Times New Roman" w:cs="Times New Roman"/>
          <w:i/>
          <w:iCs/>
          <w:sz w:val="20"/>
          <w:szCs w:val="20"/>
          <w:lang w:val="en-GB"/>
        </w:rPr>
        <w:t>Cell Rep.</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23</w:t>
      </w:r>
      <w:r w:rsidRPr="00C428D5">
        <w:rPr>
          <w:rFonts w:ascii="Times New Roman" w:hAnsi="Times New Roman" w:cs="Times New Roman"/>
          <w:sz w:val="20"/>
          <w:szCs w:val="20"/>
          <w:lang w:val="en-GB"/>
        </w:rPr>
        <w:t>, 1099–1111 (2018).</w:t>
      </w:r>
    </w:p>
    <w:p w14:paraId="3B699E86"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14.</w:t>
      </w:r>
      <w:r w:rsidRPr="00C428D5">
        <w:rPr>
          <w:rFonts w:ascii="Times New Roman" w:hAnsi="Times New Roman" w:cs="Times New Roman"/>
          <w:sz w:val="20"/>
          <w:szCs w:val="20"/>
          <w:lang w:val="en-GB"/>
        </w:rPr>
        <w:tab/>
        <w:t xml:space="preserve">Kennedy, P. J., Cryan, J. F., Dinan, T. G. &amp; Clarke, G. Kynurenine pathway metabolism and the microbiota-gut-brain axis. </w:t>
      </w:r>
      <w:r w:rsidRPr="00C428D5">
        <w:rPr>
          <w:rFonts w:ascii="Times New Roman" w:hAnsi="Times New Roman" w:cs="Times New Roman"/>
          <w:i/>
          <w:iCs/>
          <w:sz w:val="20"/>
          <w:szCs w:val="20"/>
          <w:lang w:val="en-GB"/>
        </w:rPr>
        <w:t>Neuropharmacology</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112</w:t>
      </w:r>
      <w:r w:rsidRPr="00C428D5">
        <w:rPr>
          <w:rFonts w:ascii="Times New Roman" w:hAnsi="Times New Roman" w:cs="Times New Roman"/>
          <w:sz w:val="20"/>
          <w:szCs w:val="20"/>
          <w:lang w:val="en-GB"/>
        </w:rPr>
        <w:t>, 399–412 (2017).</w:t>
      </w:r>
    </w:p>
    <w:p w14:paraId="5DF35784"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15.</w:t>
      </w:r>
      <w:r w:rsidRPr="00C428D5">
        <w:rPr>
          <w:rFonts w:ascii="Times New Roman" w:hAnsi="Times New Roman" w:cs="Times New Roman"/>
          <w:sz w:val="20"/>
          <w:szCs w:val="20"/>
          <w:lang w:val="en-GB"/>
        </w:rPr>
        <w:tab/>
        <w:t xml:space="preserve">Stone, T. W. &amp; Darlington, L. G. The kynurenine pathway as a therapeutic target in cognitive and neurodegenerative disorders: Kynurenines and CNS disorders. </w:t>
      </w:r>
      <w:r w:rsidRPr="00C428D5">
        <w:rPr>
          <w:rFonts w:ascii="Times New Roman" w:hAnsi="Times New Roman" w:cs="Times New Roman"/>
          <w:i/>
          <w:iCs/>
          <w:sz w:val="20"/>
          <w:szCs w:val="20"/>
          <w:lang w:val="en-GB"/>
        </w:rPr>
        <w:t>Br. J. Pharmacol.</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169</w:t>
      </w:r>
      <w:r w:rsidRPr="00C428D5">
        <w:rPr>
          <w:rFonts w:ascii="Times New Roman" w:hAnsi="Times New Roman" w:cs="Times New Roman"/>
          <w:sz w:val="20"/>
          <w:szCs w:val="20"/>
          <w:lang w:val="en-GB"/>
        </w:rPr>
        <w:t>, 1211–1227 (2013).</w:t>
      </w:r>
    </w:p>
    <w:p w14:paraId="5B713ED0"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16.</w:t>
      </w:r>
      <w:r w:rsidRPr="00C428D5">
        <w:rPr>
          <w:rFonts w:ascii="Times New Roman" w:hAnsi="Times New Roman" w:cs="Times New Roman"/>
          <w:sz w:val="20"/>
          <w:szCs w:val="20"/>
          <w:lang w:val="en-GB"/>
        </w:rPr>
        <w:tab/>
        <w:t xml:space="preserve">Akimov, M. G.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Arachidonoylcholine and Other Unsaturated Long-Chain Acylcholines Are Endogenous Modulators of the Acetylcholine Signaling System. </w:t>
      </w:r>
      <w:r w:rsidRPr="00C428D5">
        <w:rPr>
          <w:rFonts w:ascii="Times New Roman" w:hAnsi="Times New Roman" w:cs="Times New Roman"/>
          <w:i/>
          <w:iCs/>
          <w:sz w:val="20"/>
          <w:szCs w:val="20"/>
          <w:lang w:val="en-GB"/>
        </w:rPr>
        <w:t>Biomolecules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10</w:t>
      </w:r>
      <w:r w:rsidRPr="00C428D5">
        <w:rPr>
          <w:rFonts w:ascii="Times New Roman" w:hAnsi="Times New Roman" w:cs="Times New Roman"/>
          <w:sz w:val="20"/>
          <w:szCs w:val="20"/>
          <w:lang w:val="en-GB"/>
        </w:rPr>
        <w:t>, 283 (2020).</w:t>
      </w:r>
    </w:p>
    <w:p w14:paraId="2283A5EE"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17.</w:t>
      </w:r>
      <w:r w:rsidRPr="00C428D5">
        <w:rPr>
          <w:rFonts w:ascii="Times New Roman" w:hAnsi="Times New Roman" w:cs="Times New Roman"/>
          <w:sz w:val="20"/>
          <w:szCs w:val="20"/>
          <w:lang w:val="en-GB"/>
        </w:rPr>
        <w:tab/>
        <w:t xml:space="preserve">Yousri, N. A.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Metabolic and Metabo-Clinical Signatures of Type 2 Diabetes, Obesity, Retinopathy, and Dyslipidemia. </w:t>
      </w:r>
      <w:r w:rsidRPr="00C428D5">
        <w:rPr>
          <w:rFonts w:ascii="Times New Roman" w:hAnsi="Times New Roman" w:cs="Times New Roman"/>
          <w:i/>
          <w:iCs/>
          <w:sz w:val="20"/>
          <w:szCs w:val="20"/>
          <w:lang w:val="en-GB"/>
        </w:rPr>
        <w:t>Diabetes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71</w:t>
      </w:r>
      <w:r w:rsidRPr="00C428D5">
        <w:rPr>
          <w:rFonts w:ascii="Times New Roman" w:hAnsi="Times New Roman" w:cs="Times New Roman"/>
          <w:sz w:val="20"/>
          <w:szCs w:val="20"/>
          <w:lang w:val="en-GB"/>
        </w:rPr>
        <w:t>, 184–205 (2022).</w:t>
      </w:r>
    </w:p>
    <w:p w14:paraId="2F81524F"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18.</w:t>
      </w:r>
      <w:r w:rsidRPr="00C428D5">
        <w:rPr>
          <w:rFonts w:ascii="Times New Roman" w:hAnsi="Times New Roman" w:cs="Times New Roman"/>
          <w:sz w:val="20"/>
          <w:szCs w:val="20"/>
          <w:lang w:val="en-GB"/>
        </w:rPr>
        <w:tab/>
        <w:t xml:space="preserve">Lee, K.-A.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Bacterial-Derived Uracil as a Modulator of Mucosal Immunity and Gut-Microbe Homeostasis in Drosophila. </w:t>
      </w:r>
      <w:r w:rsidRPr="00C428D5">
        <w:rPr>
          <w:rFonts w:ascii="Times New Roman" w:hAnsi="Times New Roman" w:cs="Times New Roman"/>
          <w:i/>
          <w:iCs/>
          <w:sz w:val="20"/>
          <w:szCs w:val="20"/>
          <w:lang w:val="en-GB"/>
        </w:rPr>
        <w:t>Cell</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153</w:t>
      </w:r>
      <w:r w:rsidRPr="00C428D5">
        <w:rPr>
          <w:rFonts w:ascii="Times New Roman" w:hAnsi="Times New Roman" w:cs="Times New Roman"/>
          <w:sz w:val="20"/>
          <w:szCs w:val="20"/>
          <w:lang w:val="en-GB"/>
        </w:rPr>
        <w:t>, 797–811 (2013).</w:t>
      </w:r>
    </w:p>
    <w:p w14:paraId="0F3F790B"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19.</w:t>
      </w:r>
      <w:r w:rsidRPr="00C428D5">
        <w:rPr>
          <w:rFonts w:ascii="Times New Roman" w:hAnsi="Times New Roman" w:cs="Times New Roman"/>
          <w:sz w:val="20"/>
          <w:szCs w:val="20"/>
          <w:lang w:val="en-GB"/>
        </w:rPr>
        <w:tab/>
        <w:t xml:space="preserve">Liu, Y.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Uridine attenuates obesity, ameliorates hepatic lipid accumulation and modifies the gut microbiota composition in mice fed with a high-fat diet. </w:t>
      </w:r>
      <w:r w:rsidRPr="00C428D5">
        <w:rPr>
          <w:rFonts w:ascii="Times New Roman" w:hAnsi="Times New Roman" w:cs="Times New Roman"/>
          <w:i/>
          <w:iCs/>
          <w:sz w:val="20"/>
          <w:szCs w:val="20"/>
          <w:lang w:val="en-GB"/>
        </w:rPr>
        <w:t>Food Funct.</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12</w:t>
      </w:r>
      <w:r w:rsidRPr="00C428D5">
        <w:rPr>
          <w:rFonts w:ascii="Times New Roman" w:hAnsi="Times New Roman" w:cs="Times New Roman"/>
          <w:sz w:val="20"/>
          <w:szCs w:val="20"/>
          <w:lang w:val="en-GB"/>
        </w:rPr>
        <w:t>, 1829–1840 (2021).</w:t>
      </w:r>
    </w:p>
    <w:p w14:paraId="11135465"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lastRenderedPageBreak/>
        <w:t>20.</w:t>
      </w:r>
      <w:r w:rsidRPr="00C428D5">
        <w:rPr>
          <w:rFonts w:ascii="Times New Roman" w:hAnsi="Times New Roman" w:cs="Times New Roman"/>
          <w:sz w:val="20"/>
          <w:szCs w:val="20"/>
          <w:lang w:val="en-GB"/>
        </w:rPr>
        <w:tab/>
        <w:t xml:space="preserve">Farias-Pereira, R., Park, C.-S. &amp; Park, Y. Mechanisms of action of coffee bioactive components on lipid metabolism. </w:t>
      </w:r>
      <w:r w:rsidRPr="00C428D5">
        <w:rPr>
          <w:rFonts w:ascii="Times New Roman" w:hAnsi="Times New Roman" w:cs="Times New Roman"/>
          <w:i/>
          <w:iCs/>
          <w:sz w:val="20"/>
          <w:szCs w:val="20"/>
          <w:lang w:val="en-GB"/>
        </w:rPr>
        <w:t>Food Sci. Biotechnol.</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28</w:t>
      </w:r>
      <w:r w:rsidRPr="00C428D5">
        <w:rPr>
          <w:rFonts w:ascii="Times New Roman" w:hAnsi="Times New Roman" w:cs="Times New Roman"/>
          <w:sz w:val="20"/>
          <w:szCs w:val="20"/>
          <w:lang w:val="en-GB"/>
        </w:rPr>
        <w:t>, 1287–1296 (2019).</w:t>
      </w:r>
    </w:p>
    <w:p w14:paraId="2D995F6A"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21.</w:t>
      </w:r>
      <w:r w:rsidRPr="00C428D5">
        <w:rPr>
          <w:rFonts w:ascii="Times New Roman" w:hAnsi="Times New Roman" w:cs="Times New Roman"/>
          <w:sz w:val="20"/>
          <w:szCs w:val="20"/>
          <w:lang w:val="en-GB"/>
        </w:rPr>
        <w:tab/>
        <w:t xml:space="preserve">Grosso, G., Godos, J., Galvano, F. &amp; Giovannucci, E. L. Coffee, Caffeine, and Health Outcomes: An Umbrella Review. </w:t>
      </w:r>
      <w:r w:rsidRPr="00C428D5">
        <w:rPr>
          <w:rFonts w:ascii="Times New Roman" w:hAnsi="Times New Roman" w:cs="Times New Roman"/>
          <w:i/>
          <w:iCs/>
          <w:sz w:val="20"/>
          <w:szCs w:val="20"/>
          <w:lang w:val="en-GB"/>
        </w:rPr>
        <w:t>Annu. Rev. Nutr.</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37</w:t>
      </w:r>
      <w:r w:rsidRPr="00C428D5">
        <w:rPr>
          <w:rFonts w:ascii="Times New Roman" w:hAnsi="Times New Roman" w:cs="Times New Roman"/>
          <w:sz w:val="20"/>
          <w:szCs w:val="20"/>
          <w:lang w:val="en-GB"/>
        </w:rPr>
        <w:t>, 131–156 (2017).</w:t>
      </w:r>
    </w:p>
    <w:p w14:paraId="6FEE2C3D"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22.</w:t>
      </w:r>
      <w:r w:rsidRPr="00C428D5">
        <w:rPr>
          <w:rFonts w:ascii="Times New Roman" w:hAnsi="Times New Roman" w:cs="Times New Roman"/>
          <w:sz w:val="20"/>
          <w:szCs w:val="20"/>
          <w:lang w:val="en-GB"/>
        </w:rPr>
        <w:tab/>
        <w:t xml:space="preserve">O’Keefe, J. H., DiNicolantonio, J. J. &amp; Lavie, C. J. Coffee for Cardioprotection and Longevity. </w:t>
      </w:r>
      <w:r w:rsidRPr="00C428D5">
        <w:rPr>
          <w:rFonts w:ascii="Times New Roman" w:hAnsi="Times New Roman" w:cs="Times New Roman"/>
          <w:i/>
          <w:iCs/>
          <w:sz w:val="20"/>
          <w:szCs w:val="20"/>
          <w:lang w:val="en-GB"/>
        </w:rPr>
        <w:t>Prog. Cardiovasc. Dis.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61</w:t>
      </w:r>
      <w:r w:rsidRPr="00C428D5">
        <w:rPr>
          <w:rFonts w:ascii="Times New Roman" w:hAnsi="Times New Roman" w:cs="Times New Roman"/>
          <w:sz w:val="20"/>
          <w:szCs w:val="20"/>
          <w:lang w:val="en-GB"/>
        </w:rPr>
        <w:t>, 38–42 (2018).</w:t>
      </w:r>
    </w:p>
    <w:p w14:paraId="1F240BFC"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23.</w:t>
      </w:r>
      <w:r w:rsidRPr="00C428D5">
        <w:rPr>
          <w:rFonts w:ascii="Times New Roman" w:hAnsi="Times New Roman" w:cs="Times New Roman"/>
          <w:sz w:val="20"/>
          <w:szCs w:val="20"/>
          <w:lang w:val="en-GB"/>
        </w:rPr>
        <w:tab/>
        <w:t xml:space="preserve">Manor, O.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Health and disease markers correlate with gut microbiome composition across thousands of people. </w:t>
      </w:r>
      <w:r w:rsidRPr="00C428D5">
        <w:rPr>
          <w:rFonts w:ascii="Times New Roman" w:hAnsi="Times New Roman" w:cs="Times New Roman"/>
          <w:i/>
          <w:iCs/>
          <w:sz w:val="20"/>
          <w:szCs w:val="20"/>
          <w:lang w:val="en-GB"/>
        </w:rPr>
        <w:t>Nat. Commun.</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11</w:t>
      </w:r>
      <w:r w:rsidRPr="00C428D5">
        <w:rPr>
          <w:rFonts w:ascii="Times New Roman" w:hAnsi="Times New Roman" w:cs="Times New Roman"/>
          <w:sz w:val="20"/>
          <w:szCs w:val="20"/>
          <w:lang w:val="en-GB"/>
        </w:rPr>
        <w:t>, 5206 (2020).</w:t>
      </w:r>
    </w:p>
    <w:p w14:paraId="44EC84B5"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24.</w:t>
      </w:r>
      <w:r w:rsidRPr="00C428D5">
        <w:rPr>
          <w:rFonts w:ascii="Times New Roman" w:hAnsi="Times New Roman" w:cs="Times New Roman"/>
          <w:sz w:val="20"/>
          <w:szCs w:val="20"/>
          <w:lang w:val="en-GB"/>
        </w:rPr>
        <w:tab/>
        <w:t xml:space="preserve">Carlsten, A., Hallgren, B., Jagenburg, R., Svanborg, A. &amp; Werkö, L. Amino Acids and Free Fatty Acids in Plasma in Diabetes: I. The Effect of Insulin on the Arterial Levels. </w:t>
      </w:r>
      <w:r w:rsidRPr="00C428D5">
        <w:rPr>
          <w:rFonts w:ascii="Times New Roman" w:hAnsi="Times New Roman" w:cs="Times New Roman"/>
          <w:i/>
          <w:iCs/>
          <w:sz w:val="20"/>
          <w:szCs w:val="20"/>
          <w:lang w:val="en-GB"/>
        </w:rPr>
        <w:t>Acta Med. Scand.</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179</w:t>
      </w:r>
      <w:r w:rsidRPr="00C428D5">
        <w:rPr>
          <w:rFonts w:ascii="Times New Roman" w:hAnsi="Times New Roman" w:cs="Times New Roman"/>
          <w:sz w:val="20"/>
          <w:szCs w:val="20"/>
          <w:lang w:val="en-GB"/>
        </w:rPr>
        <w:t>, 361–370 (2009).</w:t>
      </w:r>
    </w:p>
    <w:p w14:paraId="40ABFC81" w14:textId="77777777" w:rsidR="00FD17E6" w:rsidRPr="00C428D5" w:rsidRDefault="00FD17E6" w:rsidP="00FD17E6">
      <w:pPr>
        <w:pStyle w:val="Bibliography"/>
        <w:rPr>
          <w:rFonts w:ascii="Times New Roman" w:hAnsi="Times New Roman" w:cs="Times New Roman"/>
          <w:sz w:val="20"/>
          <w:szCs w:val="20"/>
          <w:lang w:val="es-ES"/>
        </w:rPr>
      </w:pPr>
      <w:r w:rsidRPr="00C428D5">
        <w:rPr>
          <w:rFonts w:ascii="Times New Roman" w:hAnsi="Times New Roman" w:cs="Times New Roman"/>
          <w:sz w:val="20"/>
          <w:szCs w:val="20"/>
          <w:lang w:val="en-GB"/>
        </w:rPr>
        <w:t>25.</w:t>
      </w:r>
      <w:r w:rsidRPr="00C428D5">
        <w:rPr>
          <w:rFonts w:ascii="Times New Roman" w:hAnsi="Times New Roman" w:cs="Times New Roman"/>
          <w:sz w:val="20"/>
          <w:szCs w:val="20"/>
          <w:lang w:val="en-GB"/>
        </w:rPr>
        <w:tab/>
        <w:t xml:space="preserve">She, P.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Obesity-related elevations in plasma leucine are associated with alterations in enzymes involved in branched-chain amino acid metabolism. </w:t>
      </w:r>
      <w:r w:rsidRPr="00C428D5">
        <w:rPr>
          <w:rFonts w:ascii="Times New Roman" w:hAnsi="Times New Roman" w:cs="Times New Roman"/>
          <w:i/>
          <w:iCs/>
          <w:sz w:val="20"/>
          <w:szCs w:val="20"/>
          <w:lang w:val="es-ES"/>
        </w:rPr>
        <w:t>Am. J. Physiol.-Endocrinol. Metab.</w:t>
      </w:r>
      <w:r w:rsidRPr="00C428D5">
        <w:rPr>
          <w:rFonts w:ascii="Times New Roman" w:hAnsi="Times New Roman" w:cs="Times New Roman"/>
          <w:sz w:val="20"/>
          <w:szCs w:val="20"/>
          <w:lang w:val="es-ES"/>
        </w:rPr>
        <w:t xml:space="preserve"> </w:t>
      </w:r>
      <w:r w:rsidRPr="00C428D5">
        <w:rPr>
          <w:rFonts w:ascii="Times New Roman" w:hAnsi="Times New Roman" w:cs="Times New Roman"/>
          <w:b/>
          <w:bCs/>
          <w:sz w:val="20"/>
          <w:szCs w:val="20"/>
          <w:lang w:val="es-ES"/>
        </w:rPr>
        <w:t>293</w:t>
      </w:r>
      <w:r w:rsidRPr="00C428D5">
        <w:rPr>
          <w:rFonts w:ascii="Times New Roman" w:hAnsi="Times New Roman" w:cs="Times New Roman"/>
          <w:sz w:val="20"/>
          <w:szCs w:val="20"/>
          <w:lang w:val="es-ES"/>
        </w:rPr>
        <w:t>, E1552–E1563 (2007).</w:t>
      </w:r>
    </w:p>
    <w:p w14:paraId="2102B828"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s-ES"/>
        </w:rPr>
        <w:t>26.</w:t>
      </w:r>
      <w:r w:rsidRPr="00C428D5">
        <w:rPr>
          <w:rFonts w:ascii="Times New Roman" w:hAnsi="Times New Roman" w:cs="Times New Roman"/>
          <w:sz w:val="20"/>
          <w:szCs w:val="20"/>
          <w:lang w:val="es-ES"/>
        </w:rPr>
        <w:tab/>
        <w:t xml:space="preserve">Kuzuya, T. </w:t>
      </w:r>
      <w:r w:rsidRPr="00C428D5">
        <w:rPr>
          <w:rFonts w:ascii="Times New Roman" w:hAnsi="Times New Roman" w:cs="Times New Roman"/>
          <w:i/>
          <w:iCs/>
          <w:sz w:val="20"/>
          <w:szCs w:val="20"/>
          <w:lang w:val="es-ES"/>
        </w:rPr>
        <w:t>et al.</w:t>
      </w:r>
      <w:r w:rsidRPr="00C428D5">
        <w:rPr>
          <w:rFonts w:ascii="Times New Roman" w:hAnsi="Times New Roman" w:cs="Times New Roman"/>
          <w:sz w:val="20"/>
          <w:szCs w:val="20"/>
          <w:lang w:val="es-ES"/>
        </w:rPr>
        <w:t xml:space="preserve"> </w:t>
      </w:r>
      <w:r w:rsidRPr="00C428D5">
        <w:rPr>
          <w:rFonts w:ascii="Times New Roman" w:hAnsi="Times New Roman" w:cs="Times New Roman"/>
          <w:sz w:val="20"/>
          <w:szCs w:val="20"/>
          <w:lang w:val="en-GB"/>
        </w:rPr>
        <w:t xml:space="preserve">Regulation of branched-chain amino acid catabolism in rat models for spontaneous type 2 diabetes mellitus. </w:t>
      </w:r>
      <w:r w:rsidRPr="00C428D5">
        <w:rPr>
          <w:rFonts w:ascii="Times New Roman" w:hAnsi="Times New Roman" w:cs="Times New Roman"/>
          <w:i/>
          <w:iCs/>
          <w:sz w:val="20"/>
          <w:szCs w:val="20"/>
          <w:lang w:val="en-GB"/>
        </w:rPr>
        <w:t>Biochem. Biophys. Res. Commun.</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373</w:t>
      </w:r>
      <w:r w:rsidRPr="00C428D5">
        <w:rPr>
          <w:rFonts w:ascii="Times New Roman" w:hAnsi="Times New Roman" w:cs="Times New Roman"/>
          <w:sz w:val="20"/>
          <w:szCs w:val="20"/>
          <w:lang w:val="en-GB"/>
        </w:rPr>
        <w:t>, 94–98 (2008).</w:t>
      </w:r>
    </w:p>
    <w:p w14:paraId="005FA177"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27.</w:t>
      </w:r>
      <w:r w:rsidRPr="00C428D5">
        <w:rPr>
          <w:rFonts w:ascii="Times New Roman" w:hAnsi="Times New Roman" w:cs="Times New Roman"/>
          <w:sz w:val="20"/>
          <w:szCs w:val="20"/>
          <w:lang w:val="en-GB"/>
        </w:rPr>
        <w:tab/>
        <w:t xml:space="preserve">Wu, Q.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Gamma-glutamyl-leucine levels are causally associated with elevated cardio-metabolic risks. </w:t>
      </w:r>
      <w:r w:rsidRPr="00C428D5">
        <w:rPr>
          <w:rFonts w:ascii="Times New Roman" w:hAnsi="Times New Roman" w:cs="Times New Roman"/>
          <w:i/>
          <w:iCs/>
          <w:sz w:val="20"/>
          <w:szCs w:val="20"/>
          <w:lang w:val="en-GB"/>
        </w:rPr>
        <w:t>Front. Nutr.</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9</w:t>
      </w:r>
      <w:r w:rsidRPr="00C428D5">
        <w:rPr>
          <w:rFonts w:ascii="Times New Roman" w:hAnsi="Times New Roman" w:cs="Times New Roman"/>
          <w:sz w:val="20"/>
          <w:szCs w:val="20"/>
          <w:lang w:val="en-GB"/>
        </w:rPr>
        <w:t>, 936220 (2022).</w:t>
      </w:r>
    </w:p>
    <w:p w14:paraId="6FC1F7EB"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28.</w:t>
      </w:r>
      <w:r w:rsidRPr="00C428D5">
        <w:rPr>
          <w:rFonts w:ascii="Times New Roman" w:hAnsi="Times New Roman" w:cs="Times New Roman"/>
          <w:sz w:val="20"/>
          <w:szCs w:val="20"/>
          <w:lang w:val="en-GB"/>
        </w:rPr>
        <w:tab/>
        <w:t xml:space="preserve">Li, J.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Tyrosine and Glutamine-Leucine Are Metabolic Markers of Early-Stage Colorectal Cancers. </w:t>
      </w:r>
      <w:r w:rsidRPr="00C428D5">
        <w:rPr>
          <w:rFonts w:ascii="Times New Roman" w:hAnsi="Times New Roman" w:cs="Times New Roman"/>
          <w:i/>
          <w:iCs/>
          <w:sz w:val="20"/>
          <w:szCs w:val="20"/>
          <w:lang w:val="en-GB"/>
        </w:rPr>
        <w:t>Gastroenterology</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157</w:t>
      </w:r>
      <w:r w:rsidRPr="00C428D5">
        <w:rPr>
          <w:rFonts w:ascii="Times New Roman" w:hAnsi="Times New Roman" w:cs="Times New Roman"/>
          <w:sz w:val="20"/>
          <w:szCs w:val="20"/>
          <w:lang w:val="en-GB"/>
        </w:rPr>
        <w:t>, 257-259.e5 (2019).</w:t>
      </w:r>
    </w:p>
    <w:p w14:paraId="7F50DA38"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29.</w:t>
      </w:r>
      <w:r w:rsidRPr="00C428D5">
        <w:rPr>
          <w:rFonts w:ascii="Times New Roman" w:hAnsi="Times New Roman" w:cs="Times New Roman"/>
          <w:sz w:val="20"/>
          <w:szCs w:val="20"/>
          <w:lang w:val="en-GB"/>
        </w:rPr>
        <w:tab/>
        <w:t xml:space="preserve">Thacker, J. B., He, C. &amp; Pennathur, S. Quantitative analysis of γ‐glutamylisoleucine, γ‐glutamylthreonine, and γ‐glutamylvaline in HeLa cells using UHPLC‐MS/MS. </w:t>
      </w:r>
      <w:r w:rsidRPr="00C428D5">
        <w:rPr>
          <w:rFonts w:ascii="Times New Roman" w:hAnsi="Times New Roman" w:cs="Times New Roman"/>
          <w:i/>
          <w:iCs/>
          <w:sz w:val="20"/>
          <w:szCs w:val="20"/>
          <w:lang w:val="en-GB"/>
        </w:rPr>
        <w:t>J. Sep. Sci.</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44</w:t>
      </w:r>
      <w:r w:rsidRPr="00C428D5">
        <w:rPr>
          <w:rFonts w:ascii="Times New Roman" w:hAnsi="Times New Roman" w:cs="Times New Roman"/>
          <w:sz w:val="20"/>
          <w:szCs w:val="20"/>
          <w:lang w:val="en-GB"/>
        </w:rPr>
        <w:t>, 2898–2907 (2021).</w:t>
      </w:r>
    </w:p>
    <w:p w14:paraId="5BD09B7D"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30.</w:t>
      </w:r>
      <w:r w:rsidRPr="00C428D5">
        <w:rPr>
          <w:rFonts w:ascii="Times New Roman" w:hAnsi="Times New Roman" w:cs="Times New Roman"/>
          <w:sz w:val="20"/>
          <w:szCs w:val="20"/>
          <w:lang w:val="en-GB"/>
        </w:rPr>
        <w:tab/>
        <w:t xml:space="preserve">Yang, J., Bai, W., Zeng, X. &amp; Cui, C. Gamma glutamyl peptides: The food source, enzymatic synthesis, kokumi-active and the potential functional properties – A review. </w:t>
      </w:r>
      <w:r w:rsidRPr="00C428D5">
        <w:rPr>
          <w:rFonts w:ascii="Times New Roman" w:hAnsi="Times New Roman" w:cs="Times New Roman"/>
          <w:i/>
          <w:iCs/>
          <w:sz w:val="20"/>
          <w:szCs w:val="20"/>
          <w:lang w:val="en-GB"/>
        </w:rPr>
        <w:t>Trends Food Sci. Technol.</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91</w:t>
      </w:r>
      <w:r w:rsidRPr="00C428D5">
        <w:rPr>
          <w:rFonts w:ascii="Times New Roman" w:hAnsi="Times New Roman" w:cs="Times New Roman"/>
          <w:sz w:val="20"/>
          <w:szCs w:val="20"/>
          <w:lang w:val="en-GB"/>
        </w:rPr>
        <w:t>, 339–346 (2019).</w:t>
      </w:r>
    </w:p>
    <w:p w14:paraId="6CEA0211"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31.</w:t>
      </w:r>
      <w:r w:rsidRPr="00C428D5">
        <w:rPr>
          <w:rFonts w:ascii="Times New Roman" w:hAnsi="Times New Roman" w:cs="Times New Roman"/>
          <w:sz w:val="20"/>
          <w:szCs w:val="20"/>
          <w:lang w:val="en-GB"/>
        </w:rPr>
        <w:tab/>
        <w:t xml:space="preserve">Guha, S., Alvarez, S. &amp; Majumder, K. Transport of Dietary Anti-Inflammatory Peptide, γ-Glutamyl Valine (γ-EV), across the Intestinal Caco-2 Monolayer. </w:t>
      </w:r>
      <w:r w:rsidRPr="00C428D5">
        <w:rPr>
          <w:rFonts w:ascii="Times New Roman" w:hAnsi="Times New Roman" w:cs="Times New Roman"/>
          <w:i/>
          <w:iCs/>
          <w:sz w:val="20"/>
          <w:szCs w:val="20"/>
          <w:lang w:val="en-GB"/>
        </w:rPr>
        <w:t>Nutrients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13</w:t>
      </w:r>
      <w:r w:rsidRPr="00C428D5">
        <w:rPr>
          <w:rFonts w:ascii="Times New Roman" w:hAnsi="Times New Roman" w:cs="Times New Roman"/>
          <w:sz w:val="20"/>
          <w:szCs w:val="20"/>
          <w:lang w:val="en-GB"/>
        </w:rPr>
        <w:t>, 1448 (2021).</w:t>
      </w:r>
    </w:p>
    <w:p w14:paraId="685E4973"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32.</w:t>
      </w:r>
      <w:r w:rsidRPr="00C428D5">
        <w:rPr>
          <w:rFonts w:ascii="Times New Roman" w:hAnsi="Times New Roman" w:cs="Times New Roman"/>
          <w:sz w:val="20"/>
          <w:szCs w:val="20"/>
          <w:lang w:val="en-GB"/>
        </w:rPr>
        <w:tab/>
        <w:t xml:space="preserve">Zhang, H., Kovacs-Nolan, J., Kodera, T., Eto, Y. &amp; Mine, Y. γ-Glutamyl cysteine and γ-glutamyl valine inhibit TNF-α signaling in intestinal epithelial cells and reduce inflammation in a mouse model of colitis via </w:t>
      </w:r>
      <w:r w:rsidRPr="00C428D5">
        <w:rPr>
          <w:rFonts w:ascii="Times New Roman" w:hAnsi="Times New Roman" w:cs="Times New Roman"/>
          <w:sz w:val="20"/>
          <w:szCs w:val="20"/>
          <w:lang w:val="en-GB"/>
        </w:rPr>
        <w:lastRenderedPageBreak/>
        <w:t xml:space="preserve">allosteric activation of the calcium-sensing receptor. </w:t>
      </w:r>
      <w:r w:rsidRPr="00C428D5">
        <w:rPr>
          <w:rFonts w:ascii="Times New Roman" w:hAnsi="Times New Roman" w:cs="Times New Roman"/>
          <w:i/>
          <w:iCs/>
          <w:sz w:val="20"/>
          <w:szCs w:val="20"/>
          <w:lang w:val="en-GB"/>
        </w:rPr>
        <w:t>Biochim. Biophys. Acta BBA - Mol. Basis Dis.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1852</w:t>
      </w:r>
      <w:r w:rsidRPr="00C428D5">
        <w:rPr>
          <w:rFonts w:ascii="Times New Roman" w:hAnsi="Times New Roman" w:cs="Times New Roman"/>
          <w:sz w:val="20"/>
          <w:szCs w:val="20"/>
          <w:lang w:val="en-GB"/>
        </w:rPr>
        <w:t>, 792–804 (2015).</w:t>
      </w:r>
    </w:p>
    <w:p w14:paraId="0434A39D"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33.</w:t>
      </w:r>
      <w:r w:rsidRPr="00C428D5">
        <w:rPr>
          <w:rFonts w:ascii="Times New Roman" w:hAnsi="Times New Roman" w:cs="Times New Roman"/>
          <w:sz w:val="20"/>
          <w:szCs w:val="20"/>
          <w:lang w:val="en-GB"/>
        </w:rPr>
        <w:tab/>
        <w:t xml:space="preserve">Xing, L., Zhang, H., Majumder, K., Zhang, W. &amp; Mine, Y. γ-Glutamylvaline Prevents Low-Grade Chronic Inflammation via Activation of a Calcium-Sensing Receptor Pathway in 3T3-L1Mouse Adipocytes. </w:t>
      </w:r>
      <w:r w:rsidRPr="00C428D5">
        <w:rPr>
          <w:rFonts w:ascii="Times New Roman" w:hAnsi="Times New Roman" w:cs="Times New Roman"/>
          <w:i/>
          <w:iCs/>
          <w:sz w:val="20"/>
          <w:szCs w:val="20"/>
          <w:lang w:val="en-GB"/>
        </w:rPr>
        <w:t>J. Agric. Food Chem.</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67</w:t>
      </w:r>
      <w:r w:rsidRPr="00C428D5">
        <w:rPr>
          <w:rFonts w:ascii="Times New Roman" w:hAnsi="Times New Roman" w:cs="Times New Roman"/>
          <w:sz w:val="20"/>
          <w:szCs w:val="20"/>
          <w:lang w:val="en-GB"/>
        </w:rPr>
        <w:t>, 8361–8369 (2019).</w:t>
      </w:r>
    </w:p>
    <w:p w14:paraId="7275618C"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34.</w:t>
      </w:r>
      <w:r w:rsidRPr="00C428D5">
        <w:rPr>
          <w:rFonts w:ascii="Times New Roman" w:hAnsi="Times New Roman" w:cs="Times New Roman"/>
          <w:sz w:val="20"/>
          <w:szCs w:val="20"/>
          <w:lang w:val="en-GB"/>
        </w:rPr>
        <w:tab/>
        <w:t xml:space="preserve">Guha, S., Paul, C., Alvarez, S., Mine, Y. &amp; Majumder, K. Dietary γ-Glutamyl Valine Ameliorates TNF-α-Induced Vascular Inflammation </w:t>
      </w:r>
      <w:r w:rsidRPr="00C428D5">
        <w:rPr>
          <w:rFonts w:ascii="Times New Roman" w:hAnsi="Times New Roman" w:cs="Times New Roman"/>
          <w:i/>
          <w:iCs/>
          <w:sz w:val="20"/>
          <w:szCs w:val="20"/>
          <w:lang w:val="en-GB"/>
        </w:rPr>
        <w:t>via</w:t>
      </w:r>
      <w:r w:rsidRPr="00C428D5">
        <w:rPr>
          <w:rFonts w:ascii="Times New Roman" w:hAnsi="Times New Roman" w:cs="Times New Roman"/>
          <w:sz w:val="20"/>
          <w:szCs w:val="20"/>
          <w:lang w:val="en-GB"/>
        </w:rPr>
        <w:t xml:space="preserve"> Endothelial Calcium-Sensing Receptors. </w:t>
      </w:r>
      <w:r w:rsidRPr="00C428D5">
        <w:rPr>
          <w:rFonts w:ascii="Times New Roman" w:hAnsi="Times New Roman" w:cs="Times New Roman"/>
          <w:i/>
          <w:iCs/>
          <w:sz w:val="20"/>
          <w:szCs w:val="20"/>
          <w:lang w:val="en-GB"/>
        </w:rPr>
        <w:t>J. Agric. Food Chem.</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68</w:t>
      </w:r>
      <w:r w:rsidRPr="00C428D5">
        <w:rPr>
          <w:rFonts w:ascii="Times New Roman" w:hAnsi="Times New Roman" w:cs="Times New Roman"/>
          <w:sz w:val="20"/>
          <w:szCs w:val="20"/>
          <w:lang w:val="en-GB"/>
        </w:rPr>
        <w:t>, 9139–9149 (2020).</w:t>
      </w:r>
    </w:p>
    <w:p w14:paraId="1C2C3BD0"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35.</w:t>
      </w:r>
      <w:r w:rsidRPr="00C428D5">
        <w:rPr>
          <w:rFonts w:ascii="Times New Roman" w:hAnsi="Times New Roman" w:cs="Times New Roman"/>
          <w:sz w:val="20"/>
          <w:szCs w:val="20"/>
          <w:lang w:val="en-GB"/>
        </w:rPr>
        <w:tab/>
        <w:t xml:space="preserve">Wilmanski, T.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w:t>
      </w:r>
      <w:r w:rsidRPr="00C428D5">
        <w:rPr>
          <w:rFonts w:ascii="Times New Roman" w:hAnsi="Times New Roman" w:cs="Times New Roman"/>
          <w:i/>
          <w:iCs/>
          <w:sz w:val="20"/>
          <w:szCs w:val="20"/>
          <w:lang w:val="en-GB"/>
        </w:rPr>
        <w:t>Blood Metabolome Signature Predicts Gut Microbiome α-Diversity in Health and Disease</w:t>
      </w:r>
      <w:r w:rsidRPr="00C428D5">
        <w:rPr>
          <w:rFonts w:ascii="Times New Roman" w:hAnsi="Times New Roman" w:cs="Times New Roman"/>
          <w:sz w:val="20"/>
          <w:szCs w:val="20"/>
          <w:lang w:val="en-GB"/>
        </w:rPr>
        <w:t>. http://biorxiv.org/lookup/doi/10.1101/561209 (2019) doi:10.1101/561209.</w:t>
      </w:r>
    </w:p>
    <w:p w14:paraId="67FF4917"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36.</w:t>
      </w:r>
      <w:r w:rsidRPr="00C428D5">
        <w:rPr>
          <w:rFonts w:ascii="Times New Roman" w:hAnsi="Times New Roman" w:cs="Times New Roman"/>
          <w:sz w:val="20"/>
          <w:szCs w:val="20"/>
          <w:lang w:val="en-GB"/>
        </w:rPr>
        <w:tab/>
        <w:t xml:space="preserve">Louca, P.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The secondary bile acid isoursodeoxycholate correlates with post-prandial lipemia, inflammation, and appetite and changes post-bariatric surgery. </w:t>
      </w:r>
      <w:r w:rsidRPr="00C428D5">
        <w:rPr>
          <w:rFonts w:ascii="Times New Roman" w:hAnsi="Times New Roman" w:cs="Times New Roman"/>
          <w:i/>
          <w:iCs/>
          <w:sz w:val="20"/>
          <w:szCs w:val="20"/>
          <w:lang w:val="en-GB"/>
        </w:rPr>
        <w:t>Cell Rep. Med.</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4</w:t>
      </w:r>
      <w:r w:rsidRPr="00C428D5">
        <w:rPr>
          <w:rFonts w:ascii="Times New Roman" w:hAnsi="Times New Roman" w:cs="Times New Roman"/>
          <w:sz w:val="20"/>
          <w:szCs w:val="20"/>
          <w:lang w:val="en-GB"/>
        </w:rPr>
        <w:t>, 100993 (2023).</w:t>
      </w:r>
    </w:p>
    <w:p w14:paraId="47A3EFD7"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37.</w:t>
      </w:r>
      <w:r w:rsidRPr="00C428D5">
        <w:rPr>
          <w:rFonts w:ascii="Times New Roman" w:hAnsi="Times New Roman" w:cs="Times New Roman"/>
          <w:sz w:val="20"/>
          <w:szCs w:val="20"/>
          <w:lang w:val="en-GB"/>
        </w:rPr>
        <w:tab/>
        <w:t xml:space="preserve">Feng, L.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Co‐occurrence of gut microbiota dysbiosis and bile acid metabolism alteration is associated with psychological disorders in Crohn’s disease. </w:t>
      </w:r>
      <w:r w:rsidRPr="00C428D5">
        <w:rPr>
          <w:rFonts w:ascii="Times New Roman" w:hAnsi="Times New Roman" w:cs="Times New Roman"/>
          <w:i/>
          <w:iCs/>
          <w:sz w:val="20"/>
          <w:szCs w:val="20"/>
          <w:lang w:val="en-GB"/>
        </w:rPr>
        <w:t>FASEB J.</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36</w:t>
      </w:r>
      <w:r w:rsidRPr="00C428D5">
        <w:rPr>
          <w:rFonts w:ascii="Times New Roman" w:hAnsi="Times New Roman" w:cs="Times New Roman"/>
          <w:sz w:val="20"/>
          <w:szCs w:val="20"/>
          <w:lang w:val="en-GB"/>
        </w:rPr>
        <w:t>, (2022).</w:t>
      </w:r>
    </w:p>
    <w:p w14:paraId="7734E7F0"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38.</w:t>
      </w:r>
      <w:r w:rsidRPr="00C428D5">
        <w:rPr>
          <w:rFonts w:ascii="Times New Roman" w:hAnsi="Times New Roman" w:cs="Times New Roman"/>
          <w:sz w:val="20"/>
          <w:szCs w:val="20"/>
          <w:lang w:val="en-GB"/>
        </w:rPr>
        <w:tab/>
        <w:t xml:space="preserve">Guman, M. S. S. </w:t>
      </w:r>
      <w:r w:rsidRPr="00C428D5">
        <w:rPr>
          <w:rFonts w:ascii="Times New Roman" w:hAnsi="Times New Roman" w:cs="Times New Roman"/>
          <w:i/>
          <w:iCs/>
          <w:sz w:val="20"/>
          <w:szCs w:val="20"/>
          <w:lang w:val="en-GB"/>
        </w:rPr>
        <w:t>et al.</w:t>
      </w:r>
      <w:r w:rsidRPr="00C428D5">
        <w:rPr>
          <w:rFonts w:ascii="Times New Roman" w:hAnsi="Times New Roman" w:cs="Times New Roman"/>
          <w:sz w:val="20"/>
          <w:szCs w:val="20"/>
          <w:lang w:val="en-GB"/>
        </w:rPr>
        <w:t xml:space="preserve"> Adipose Tissue, Bile Acids, and Gut Microbiome Species Associated With Gallstones After Bariatric Surgery. </w:t>
      </w:r>
      <w:r w:rsidRPr="00C428D5">
        <w:rPr>
          <w:rFonts w:ascii="Times New Roman" w:hAnsi="Times New Roman" w:cs="Times New Roman"/>
          <w:i/>
          <w:iCs/>
          <w:sz w:val="20"/>
          <w:szCs w:val="20"/>
          <w:lang w:val="en-GB"/>
        </w:rPr>
        <w:t>J. Lipid Res.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63</w:t>
      </w:r>
      <w:r w:rsidRPr="00C428D5">
        <w:rPr>
          <w:rFonts w:ascii="Times New Roman" w:hAnsi="Times New Roman" w:cs="Times New Roman"/>
          <w:sz w:val="20"/>
          <w:szCs w:val="20"/>
          <w:lang w:val="en-GB"/>
        </w:rPr>
        <w:t>, 100280 (2022).</w:t>
      </w:r>
    </w:p>
    <w:p w14:paraId="43B2E46A"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39.</w:t>
      </w:r>
      <w:r w:rsidRPr="00C428D5">
        <w:rPr>
          <w:rFonts w:ascii="Times New Roman" w:hAnsi="Times New Roman" w:cs="Times New Roman"/>
          <w:sz w:val="20"/>
          <w:szCs w:val="20"/>
          <w:lang w:val="en-GB"/>
        </w:rPr>
        <w:tab/>
        <w:t xml:space="preserve">Connelly, M. A., Otvos, J. D., Shalaurova, I., Playford, M. P. &amp; Mehta, N. N. GlycA, a novel biomarker of systemic inflammation and cardiovascular disease risk. </w:t>
      </w:r>
      <w:r w:rsidRPr="00C428D5">
        <w:rPr>
          <w:rFonts w:ascii="Times New Roman" w:hAnsi="Times New Roman" w:cs="Times New Roman"/>
          <w:i/>
          <w:iCs/>
          <w:sz w:val="20"/>
          <w:szCs w:val="20"/>
          <w:lang w:val="en-GB"/>
        </w:rPr>
        <w:t>J. Transl. Med.</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15</w:t>
      </w:r>
      <w:r w:rsidRPr="00C428D5">
        <w:rPr>
          <w:rFonts w:ascii="Times New Roman" w:hAnsi="Times New Roman" w:cs="Times New Roman"/>
          <w:sz w:val="20"/>
          <w:szCs w:val="20"/>
          <w:lang w:val="en-GB"/>
        </w:rPr>
        <w:t>, 219 (2017).</w:t>
      </w:r>
    </w:p>
    <w:p w14:paraId="40F18482"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rPr>
        <w:t>40.</w:t>
      </w:r>
      <w:r w:rsidRPr="00C428D5">
        <w:rPr>
          <w:rFonts w:ascii="Times New Roman" w:hAnsi="Times New Roman" w:cs="Times New Roman"/>
          <w:sz w:val="20"/>
          <w:szCs w:val="20"/>
        </w:rPr>
        <w:tab/>
        <w:t xml:space="preserve">Sousa, A. P. </w:t>
      </w:r>
      <w:r w:rsidRPr="00C428D5">
        <w:rPr>
          <w:rFonts w:ascii="Times New Roman" w:hAnsi="Times New Roman" w:cs="Times New Roman"/>
          <w:i/>
          <w:iCs/>
          <w:sz w:val="20"/>
          <w:szCs w:val="20"/>
        </w:rPr>
        <w:t>et al.</w:t>
      </w:r>
      <w:r w:rsidRPr="00C428D5">
        <w:rPr>
          <w:rFonts w:ascii="Times New Roman" w:hAnsi="Times New Roman" w:cs="Times New Roman"/>
          <w:sz w:val="20"/>
          <w:szCs w:val="20"/>
        </w:rPr>
        <w:t xml:space="preserve"> </w:t>
      </w:r>
      <w:r w:rsidRPr="00C428D5">
        <w:rPr>
          <w:rFonts w:ascii="Times New Roman" w:hAnsi="Times New Roman" w:cs="Times New Roman"/>
          <w:sz w:val="20"/>
          <w:szCs w:val="20"/>
          <w:lang w:val="en-GB"/>
        </w:rPr>
        <w:t xml:space="preserve">Which Role Plays 2-Hydroxybutyric Acid on Insulin Resistance? </w:t>
      </w:r>
      <w:r w:rsidRPr="00C428D5">
        <w:rPr>
          <w:rFonts w:ascii="Times New Roman" w:hAnsi="Times New Roman" w:cs="Times New Roman"/>
          <w:i/>
          <w:iCs/>
          <w:sz w:val="20"/>
          <w:szCs w:val="20"/>
          <w:lang w:val="en-GB"/>
        </w:rPr>
        <w:t>Metabolites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11</w:t>
      </w:r>
      <w:r w:rsidRPr="00C428D5">
        <w:rPr>
          <w:rFonts w:ascii="Times New Roman" w:hAnsi="Times New Roman" w:cs="Times New Roman"/>
          <w:sz w:val="20"/>
          <w:szCs w:val="20"/>
          <w:lang w:val="en-GB"/>
        </w:rPr>
        <w:t>, 835 (2021).</w:t>
      </w:r>
    </w:p>
    <w:p w14:paraId="0C754C71" w14:textId="77777777" w:rsidR="00FD17E6" w:rsidRPr="00C428D5" w:rsidRDefault="00FD17E6" w:rsidP="00FD17E6">
      <w:pPr>
        <w:pStyle w:val="Bibliography"/>
        <w:rPr>
          <w:rFonts w:ascii="Times New Roman" w:hAnsi="Times New Roman" w:cs="Times New Roman"/>
          <w:sz w:val="20"/>
          <w:szCs w:val="20"/>
          <w:lang w:val="en-GB"/>
        </w:rPr>
      </w:pPr>
      <w:r w:rsidRPr="00C428D5">
        <w:rPr>
          <w:rFonts w:ascii="Times New Roman" w:hAnsi="Times New Roman" w:cs="Times New Roman"/>
          <w:sz w:val="20"/>
          <w:szCs w:val="20"/>
          <w:lang w:val="en-GB"/>
        </w:rPr>
        <w:t>41.</w:t>
      </w:r>
      <w:r w:rsidRPr="00C428D5">
        <w:rPr>
          <w:rFonts w:ascii="Times New Roman" w:hAnsi="Times New Roman" w:cs="Times New Roman"/>
          <w:sz w:val="20"/>
          <w:szCs w:val="20"/>
          <w:lang w:val="en-GB"/>
        </w:rPr>
        <w:tab/>
        <w:t xml:space="preserve">Izbicka, E. &amp; Streeper, R. T. Azelaic Acid Esters as Pluripotent Immunomodulatory Molecules: Nutritional Supplements or Drugs. </w:t>
      </w:r>
      <w:r w:rsidRPr="00C428D5">
        <w:rPr>
          <w:rFonts w:ascii="Times New Roman" w:hAnsi="Times New Roman" w:cs="Times New Roman"/>
          <w:i/>
          <w:iCs/>
          <w:sz w:val="20"/>
          <w:szCs w:val="20"/>
          <w:lang w:val="en-GB"/>
        </w:rPr>
        <w:t>Nutraceuticals</w:t>
      </w:r>
      <w:r w:rsidRPr="00C428D5">
        <w:rPr>
          <w:rFonts w:ascii="Times New Roman" w:hAnsi="Times New Roman" w:cs="Times New Roman"/>
          <w:sz w:val="20"/>
          <w:szCs w:val="20"/>
          <w:lang w:val="en-GB"/>
        </w:rPr>
        <w:t xml:space="preserve"> </w:t>
      </w:r>
      <w:r w:rsidRPr="00C428D5">
        <w:rPr>
          <w:rFonts w:ascii="Times New Roman" w:hAnsi="Times New Roman" w:cs="Times New Roman"/>
          <w:b/>
          <w:bCs/>
          <w:sz w:val="20"/>
          <w:szCs w:val="20"/>
          <w:lang w:val="en-GB"/>
        </w:rPr>
        <w:t>1</w:t>
      </w:r>
      <w:r w:rsidRPr="00C428D5">
        <w:rPr>
          <w:rFonts w:ascii="Times New Roman" w:hAnsi="Times New Roman" w:cs="Times New Roman"/>
          <w:sz w:val="20"/>
          <w:szCs w:val="20"/>
          <w:lang w:val="en-GB"/>
        </w:rPr>
        <w:t>, 42–53 (2021).</w:t>
      </w:r>
    </w:p>
    <w:p w14:paraId="20AF29EA" w14:textId="7C025501" w:rsidR="00D1061D" w:rsidRPr="00671FE4" w:rsidRDefault="00F278CD" w:rsidP="00FD17E6">
      <w:pPr>
        <w:ind w:firstLine="0"/>
        <w:rPr>
          <w:rFonts w:ascii="Times New Roman" w:hAnsi="Times New Roman" w:cs="Times New Roman"/>
          <w:sz w:val="20"/>
          <w:szCs w:val="20"/>
        </w:rPr>
      </w:pPr>
      <w:r w:rsidRPr="00C428D5">
        <w:rPr>
          <w:rFonts w:ascii="Times New Roman" w:hAnsi="Times New Roman" w:cs="Times New Roman"/>
          <w:sz w:val="20"/>
          <w:szCs w:val="20"/>
        </w:rPr>
        <w:fldChar w:fldCharType="end"/>
      </w:r>
    </w:p>
    <w:sectPr w:rsidR="00D1061D" w:rsidRPr="00671FE4" w:rsidSect="00604EAA">
      <w:pgSz w:w="11906" w:h="16838"/>
      <w:pgMar w:top="1440" w:right="1440" w:bottom="1440" w:left="1440" w:header="709" w:footer="709"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3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061D"/>
    <w:rsid w:val="00007826"/>
    <w:rsid w:val="00047720"/>
    <w:rsid w:val="000A37C7"/>
    <w:rsid w:val="000C6ECB"/>
    <w:rsid w:val="000D1D8E"/>
    <w:rsid w:val="000D2EA1"/>
    <w:rsid w:val="00176F16"/>
    <w:rsid w:val="002148D4"/>
    <w:rsid w:val="0024385E"/>
    <w:rsid w:val="002500E4"/>
    <w:rsid w:val="00304F7B"/>
    <w:rsid w:val="00341D5C"/>
    <w:rsid w:val="00342AF1"/>
    <w:rsid w:val="00383812"/>
    <w:rsid w:val="003C5C7A"/>
    <w:rsid w:val="00577AAD"/>
    <w:rsid w:val="00581FD5"/>
    <w:rsid w:val="00594D11"/>
    <w:rsid w:val="005A239C"/>
    <w:rsid w:val="005B67FE"/>
    <w:rsid w:val="005D12C9"/>
    <w:rsid w:val="00604EAA"/>
    <w:rsid w:val="0062296A"/>
    <w:rsid w:val="00644227"/>
    <w:rsid w:val="00671FE4"/>
    <w:rsid w:val="00754990"/>
    <w:rsid w:val="008146FA"/>
    <w:rsid w:val="00817607"/>
    <w:rsid w:val="00820C83"/>
    <w:rsid w:val="0085679A"/>
    <w:rsid w:val="008B21E6"/>
    <w:rsid w:val="008D1651"/>
    <w:rsid w:val="00906AFE"/>
    <w:rsid w:val="00912C24"/>
    <w:rsid w:val="00925E17"/>
    <w:rsid w:val="00957502"/>
    <w:rsid w:val="00960AC8"/>
    <w:rsid w:val="009B4204"/>
    <w:rsid w:val="009E57A8"/>
    <w:rsid w:val="009F1718"/>
    <w:rsid w:val="00A16AE4"/>
    <w:rsid w:val="00A4200A"/>
    <w:rsid w:val="00A53971"/>
    <w:rsid w:val="00AE367A"/>
    <w:rsid w:val="00AF5E59"/>
    <w:rsid w:val="00B26C2A"/>
    <w:rsid w:val="00B95616"/>
    <w:rsid w:val="00BA55C2"/>
    <w:rsid w:val="00BC1A97"/>
    <w:rsid w:val="00BF723E"/>
    <w:rsid w:val="00C10133"/>
    <w:rsid w:val="00C31AA8"/>
    <w:rsid w:val="00C33167"/>
    <w:rsid w:val="00C428D5"/>
    <w:rsid w:val="00C747ED"/>
    <w:rsid w:val="00C760B5"/>
    <w:rsid w:val="00CE70AE"/>
    <w:rsid w:val="00D1061D"/>
    <w:rsid w:val="00D11695"/>
    <w:rsid w:val="00D44F77"/>
    <w:rsid w:val="00E17300"/>
    <w:rsid w:val="00E440EA"/>
    <w:rsid w:val="00EB652A"/>
    <w:rsid w:val="00EC7D14"/>
    <w:rsid w:val="00EF1563"/>
    <w:rsid w:val="00F07C8F"/>
    <w:rsid w:val="00F278CD"/>
    <w:rsid w:val="00F65CA7"/>
    <w:rsid w:val="00FB5CA1"/>
    <w:rsid w:val="00FD17E6"/>
  </w:rsids>
  <m:mathPr>
    <m:mathFont m:val="Cambria Math"/>
    <m:brkBin m:val="before"/>
    <m:brkBinSub m:val="--"/>
    <m:smallFrac m:val="0"/>
    <m:dispDef/>
    <m:lMargin m:val="0"/>
    <m:rMargin m:val="0"/>
    <m:defJc m:val="centerGroup"/>
    <m:wrapIndent m:val="1440"/>
    <m:intLim m:val="subSup"/>
    <m:naryLim m:val="undOvr"/>
  </m:mathPr>
  <w:themeFontLang w:val="en-FR"/>
  <w:clrSchemeMapping w:bg1="light1" w:t1="dark1" w:bg2="light2" w:t2="dark2" w:accent1="accent1" w:accent2="accent2" w:accent3="accent3" w:accent4="accent4" w:accent5="accent5" w:accent6="accent6" w:hyperlink="hyperlink" w:followedHyperlink="followedHyperlink"/>
  <w:decimalSymbol w:val=","/>
  <w:listSeparator w:val=","/>
  <w14:docId w14:val="2820C065"/>
  <w15:chartTrackingRefBased/>
  <w15:docId w15:val="{8E058AFA-5AE4-554B-B23A-43AA2C020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061D"/>
    <w:pPr>
      <w:spacing w:before="120" w:line="360" w:lineRule="auto"/>
      <w:ind w:firstLine="425"/>
      <w:jc w:val="both"/>
    </w:pPr>
    <w:rPr>
      <w:rFonts w:ascii="Arial" w:eastAsia="Arial" w:hAnsi="Arial" w:cs="Arial"/>
      <w:kern w:val="0"/>
      <w:lang w:val="en-US" w:eastAsia="fr-FR"/>
      <w14:ligatures w14:val="none"/>
    </w:rPr>
  </w:style>
  <w:style w:type="paragraph" w:styleId="Heading1">
    <w:name w:val="heading 1"/>
    <w:basedOn w:val="Normal"/>
    <w:next w:val="Normal"/>
    <w:link w:val="Heading1Char"/>
    <w:uiPriority w:val="9"/>
    <w:qFormat/>
    <w:rsid w:val="00D1061D"/>
    <w:pPr>
      <w:keepNext/>
      <w:keepLines/>
      <w:spacing w:before="480" w:after="120" w:line="240" w:lineRule="auto"/>
      <w:ind w:firstLine="0"/>
      <w:jc w:val="center"/>
      <w:outlineLvl w:val="0"/>
    </w:pPr>
    <w:rPr>
      <w:b/>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qFormat/>
    <w:rsid w:val="00D1061D"/>
    <w:rPr>
      <w:rFonts w:ascii="Arial" w:eastAsia="Arial" w:hAnsi="Arial" w:cs="Arial"/>
      <w:b/>
      <w:kern w:val="0"/>
      <w:sz w:val="48"/>
      <w:szCs w:val="48"/>
      <w:lang w:val="en-US" w:eastAsia="fr-FR"/>
      <w14:ligatures w14:val="none"/>
    </w:rPr>
  </w:style>
  <w:style w:type="character" w:styleId="Hyperlink">
    <w:name w:val="Hyperlink"/>
    <w:basedOn w:val="DefaultParagraphFont"/>
    <w:uiPriority w:val="99"/>
    <w:unhideWhenUsed/>
    <w:rsid w:val="00D1061D"/>
    <w:rPr>
      <w:color w:val="0000FF"/>
      <w:u w:val="single"/>
    </w:rPr>
  </w:style>
  <w:style w:type="character" w:styleId="FollowedHyperlink">
    <w:name w:val="FollowedHyperlink"/>
    <w:basedOn w:val="DefaultParagraphFont"/>
    <w:uiPriority w:val="99"/>
    <w:semiHidden/>
    <w:unhideWhenUsed/>
    <w:rsid w:val="00B26C2A"/>
    <w:rPr>
      <w:color w:val="954F72" w:themeColor="followedHyperlink"/>
      <w:u w:val="single"/>
    </w:rPr>
  </w:style>
  <w:style w:type="paragraph" w:styleId="Bibliography">
    <w:name w:val="Bibliography"/>
    <w:basedOn w:val="Normal"/>
    <w:next w:val="Normal"/>
    <w:uiPriority w:val="37"/>
    <w:unhideWhenUsed/>
    <w:rsid w:val="00F278CD"/>
    <w:pPr>
      <w:tabs>
        <w:tab w:val="left" w:pos="380"/>
      </w:tabs>
      <w:spacing w:line="480" w:lineRule="auto"/>
      <w:ind w:left="384" w:hanging="384"/>
    </w:pPr>
  </w:style>
  <w:style w:type="paragraph" w:styleId="Revision">
    <w:name w:val="Revision"/>
    <w:hidden/>
    <w:uiPriority w:val="99"/>
    <w:semiHidden/>
    <w:rsid w:val="000D2EA1"/>
    <w:rPr>
      <w:rFonts w:ascii="Arial" w:eastAsia="Arial" w:hAnsi="Arial" w:cs="Arial"/>
      <w:kern w:val="0"/>
      <w:lang w:val="en-US" w:eastAsia="fr-FR"/>
      <w14:ligatures w14:val="none"/>
    </w:rPr>
  </w:style>
  <w:style w:type="character" w:styleId="CommentReference">
    <w:name w:val="annotation reference"/>
    <w:basedOn w:val="DefaultParagraphFont"/>
    <w:uiPriority w:val="99"/>
    <w:semiHidden/>
    <w:unhideWhenUsed/>
    <w:rsid w:val="00957502"/>
    <w:rPr>
      <w:sz w:val="16"/>
      <w:szCs w:val="16"/>
    </w:rPr>
  </w:style>
  <w:style w:type="paragraph" w:styleId="CommentText">
    <w:name w:val="annotation text"/>
    <w:basedOn w:val="Normal"/>
    <w:link w:val="CommentTextChar"/>
    <w:uiPriority w:val="99"/>
    <w:semiHidden/>
    <w:unhideWhenUsed/>
    <w:rsid w:val="00957502"/>
    <w:pPr>
      <w:spacing w:line="240" w:lineRule="auto"/>
    </w:pPr>
    <w:rPr>
      <w:sz w:val="20"/>
      <w:szCs w:val="20"/>
    </w:rPr>
  </w:style>
  <w:style w:type="character" w:customStyle="1" w:styleId="CommentTextChar">
    <w:name w:val="Comment Text Char"/>
    <w:basedOn w:val="DefaultParagraphFont"/>
    <w:link w:val="CommentText"/>
    <w:uiPriority w:val="99"/>
    <w:semiHidden/>
    <w:rsid w:val="00957502"/>
    <w:rPr>
      <w:rFonts w:ascii="Arial" w:eastAsia="Arial" w:hAnsi="Arial" w:cs="Arial"/>
      <w:kern w:val="0"/>
      <w:sz w:val="20"/>
      <w:szCs w:val="20"/>
      <w:lang w:val="en-US" w:eastAsia="fr-FR"/>
      <w14:ligatures w14:val="none"/>
    </w:rPr>
  </w:style>
  <w:style w:type="paragraph" w:styleId="CommentSubject">
    <w:name w:val="annotation subject"/>
    <w:basedOn w:val="CommentText"/>
    <w:next w:val="CommentText"/>
    <w:link w:val="CommentSubjectChar"/>
    <w:uiPriority w:val="99"/>
    <w:semiHidden/>
    <w:unhideWhenUsed/>
    <w:rsid w:val="00957502"/>
    <w:rPr>
      <w:b/>
      <w:bCs/>
    </w:rPr>
  </w:style>
  <w:style w:type="character" w:customStyle="1" w:styleId="CommentSubjectChar">
    <w:name w:val="Comment Subject Char"/>
    <w:basedOn w:val="CommentTextChar"/>
    <w:link w:val="CommentSubject"/>
    <w:uiPriority w:val="99"/>
    <w:semiHidden/>
    <w:rsid w:val="00957502"/>
    <w:rPr>
      <w:rFonts w:ascii="Arial" w:eastAsia="Arial" w:hAnsi="Arial" w:cs="Arial"/>
      <w:b/>
      <w:bCs/>
      <w:kern w:val="0"/>
      <w:sz w:val="20"/>
      <w:szCs w:val="20"/>
      <w:lang w:val="en-US" w:eastAsia="fr-FR"/>
      <w14:ligatures w14:val="none"/>
    </w:rPr>
  </w:style>
  <w:style w:type="character" w:styleId="LineNumber">
    <w:name w:val="line number"/>
    <w:basedOn w:val="DefaultParagraphFont"/>
    <w:uiPriority w:val="99"/>
    <w:semiHidden/>
    <w:unhideWhenUsed/>
    <w:rsid w:val="00604EAA"/>
  </w:style>
  <w:style w:type="character" w:styleId="Strong">
    <w:name w:val="Strong"/>
    <w:basedOn w:val="DefaultParagraphFont"/>
    <w:uiPriority w:val="22"/>
    <w:qFormat/>
    <w:rsid w:val="00925E17"/>
    <w:rPr>
      <w:b/>
      <w:bCs/>
    </w:rPr>
  </w:style>
  <w:style w:type="character" w:customStyle="1" w:styleId="apple-converted-space">
    <w:name w:val="apple-converted-space"/>
    <w:basedOn w:val="DefaultParagraphFont"/>
    <w:rsid w:val="00925E17"/>
  </w:style>
  <w:style w:type="paragraph" w:styleId="NormalWeb">
    <w:name w:val="Normal (Web)"/>
    <w:basedOn w:val="Normal"/>
    <w:uiPriority w:val="99"/>
    <w:unhideWhenUsed/>
    <w:rsid w:val="00925E17"/>
    <w:pPr>
      <w:spacing w:before="100" w:beforeAutospacing="1" w:after="100" w:afterAutospacing="1" w:line="240" w:lineRule="auto"/>
      <w:ind w:firstLine="0"/>
      <w:jc w:val="left"/>
    </w:pPr>
    <w:rPr>
      <w:rFonts w:ascii="Times New Roman" w:eastAsia="Times New Roman" w:hAnsi="Times New Roman" w:cs="Times New Roman"/>
      <w:lang w:val="fr-FR"/>
    </w:rPr>
  </w:style>
  <w:style w:type="paragraph" w:styleId="TOCHeading">
    <w:name w:val="TOC Heading"/>
    <w:basedOn w:val="Heading1"/>
    <w:next w:val="Normal"/>
    <w:uiPriority w:val="39"/>
    <w:unhideWhenUsed/>
    <w:qFormat/>
    <w:rsid w:val="00925E17"/>
    <w:pPr>
      <w:spacing w:after="0" w:line="276" w:lineRule="auto"/>
      <w:jc w:val="left"/>
      <w:outlineLvl w:val="9"/>
    </w:pPr>
    <w:rPr>
      <w:rFonts w:asciiTheme="majorHAnsi" w:eastAsiaTheme="majorEastAsia" w:hAnsiTheme="majorHAnsi" w:cstheme="majorBidi"/>
      <w:bCs/>
      <w:color w:val="2F5496" w:themeColor="accent1" w:themeShade="BF"/>
      <w:sz w:val="28"/>
      <w:szCs w:val="28"/>
      <w:lang w:eastAsia="en-US"/>
    </w:rPr>
  </w:style>
  <w:style w:type="paragraph" w:styleId="TOC1">
    <w:name w:val="toc 1"/>
    <w:basedOn w:val="Normal"/>
    <w:next w:val="Normal"/>
    <w:autoRedefine/>
    <w:uiPriority w:val="39"/>
    <w:unhideWhenUsed/>
    <w:rsid w:val="00925E17"/>
    <w:pPr>
      <w:jc w:val="left"/>
    </w:pPr>
    <w:rPr>
      <w:rFonts w:asciiTheme="minorHAnsi" w:hAnsiTheme="minorHAnsi" w:cstheme="minorHAnsi"/>
      <w:b/>
      <w:bCs/>
      <w:i/>
      <w:iCs/>
    </w:rPr>
  </w:style>
  <w:style w:type="paragraph" w:styleId="TOC2">
    <w:name w:val="toc 2"/>
    <w:basedOn w:val="Normal"/>
    <w:next w:val="Normal"/>
    <w:autoRedefine/>
    <w:uiPriority w:val="39"/>
    <w:semiHidden/>
    <w:unhideWhenUsed/>
    <w:rsid w:val="00925E17"/>
    <w:pPr>
      <w:ind w:left="240"/>
      <w:jc w:val="left"/>
    </w:pPr>
    <w:rPr>
      <w:rFonts w:asciiTheme="minorHAnsi" w:hAnsiTheme="minorHAnsi" w:cstheme="minorHAnsi"/>
      <w:b/>
      <w:bCs/>
      <w:sz w:val="22"/>
      <w:szCs w:val="22"/>
    </w:rPr>
  </w:style>
  <w:style w:type="paragraph" w:styleId="TOC3">
    <w:name w:val="toc 3"/>
    <w:basedOn w:val="Normal"/>
    <w:next w:val="Normal"/>
    <w:autoRedefine/>
    <w:uiPriority w:val="39"/>
    <w:semiHidden/>
    <w:unhideWhenUsed/>
    <w:rsid w:val="00925E17"/>
    <w:pPr>
      <w:spacing w:before="0"/>
      <w:ind w:left="480"/>
      <w:jc w:val="left"/>
    </w:pPr>
    <w:rPr>
      <w:rFonts w:asciiTheme="minorHAnsi" w:hAnsiTheme="minorHAnsi" w:cstheme="minorHAnsi"/>
      <w:sz w:val="20"/>
      <w:szCs w:val="20"/>
    </w:rPr>
  </w:style>
  <w:style w:type="paragraph" w:styleId="TOC4">
    <w:name w:val="toc 4"/>
    <w:basedOn w:val="Normal"/>
    <w:next w:val="Normal"/>
    <w:autoRedefine/>
    <w:uiPriority w:val="39"/>
    <w:semiHidden/>
    <w:unhideWhenUsed/>
    <w:rsid w:val="00925E17"/>
    <w:pPr>
      <w:spacing w:before="0"/>
      <w:ind w:left="720"/>
      <w:jc w:val="left"/>
    </w:pPr>
    <w:rPr>
      <w:rFonts w:asciiTheme="minorHAnsi" w:hAnsiTheme="minorHAnsi" w:cstheme="minorHAnsi"/>
      <w:sz w:val="20"/>
      <w:szCs w:val="20"/>
    </w:rPr>
  </w:style>
  <w:style w:type="paragraph" w:styleId="TOC5">
    <w:name w:val="toc 5"/>
    <w:basedOn w:val="Normal"/>
    <w:next w:val="Normal"/>
    <w:autoRedefine/>
    <w:uiPriority w:val="39"/>
    <w:semiHidden/>
    <w:unhideWhenUsed/>
    <w:rsid w:val="00925E17"/>
    <w:pPr>
      <w:spacing w:before="0"/>
      <w:ind w:left="960"/>
      <w:jc w:val="left"/>
    </w:pPr>
    <w:rPr>
      <w:rFonts w:asciiTheme="minorHAnsi" w:hAnsiTheme="minorHAnsi" w:cstheme="minorHAnsi"/>
      <w:sz w:val="20"/>
      <w:szCs w:val="20"/>
    </w:rPr>
  </w:style>
  <w:style w:type="paragraph" w:styleId="TOC6">
    <w:name w:val="toc 6"/>
    <w:basedOn w:val="Normal"/>
    <w:next w:val="Normal"/>
    <w:autoRedefine/>
    <w:uiPriority w:val="39"/>
    <w:semiHidden/>
    <w:unhideWhenUsed/>
    <w:rsid w:val="00925E17"/>
    <w:pPr>
      <w:spacing w:before="0"/>
      <w:ind w:left="1200"/>
      <w:jc w:val="left"/>
    </w:pPr>
    <w:rPr>
      <w:rFonts w:asciiTheme="minorHAnsi" w:hAnsiTheme="minorHAnsi" w:cstheme="minorHAnsi"/>
      <w:sz w:val="20"/>
      <w:szCs w:val="20"/>
    </w:rPr>
  </w:style>
  <w:style w:type="paragraph" w:styleId="TOC7">
    <w:name w:val="toc 7"/>
    <w:basedOn w:val="Normal"/>
    <w:next w:val="Normal"/>
    <w:autoRedefine/>
    <w:uiPriority w:val="39"/>
    <w:semiHidden/>
    <w:unhideWhenUsed/>
    <w:rsid w:val="00925E17"/>
    <w:pPr>
      <w:spacing w:before="0"/>
      <w:ind w:left="1440"/>
      <w:jc w:val="left"/>
    </w:pPr>
    <w:rPr>
      <w:rFonts w:asciiTheme="minorHAnsi" w:hAnsiTheme="minorHAnsi" w:cstheme="minorHAnsi"/>
      <w:sz w:val="20"/>
      <w:szCs w:val="20"/>
    </w:rPr>
  </w:style>
  <w:style w:type="paragraph" w:styleId="TOC8">
    <w:name w:val="toc 8"/>
    <w:basedOn w:val="Normal"/>
    <w:next w:val="Normal"/>
    <w:autoRedefine/>
    <w:uiPriority w:val="39"/>
    <w:semiHidden/>
    <w:unhideWhenUsed/>
    <w:rsid w:val="00925E17"/>
    <w:pPr>
      <w:spacing w:before="0"/>
      <w:ind w:left="1680"/>
      <w:jc w:val="left"/>
    </w:pPr>
    <w:rPr>
      <w:rFonts w:asciiTheme="minorHAnsi" w:hAnsiTheme="minorHAnsi" w:cstheme="minorHAnsi"/>
      <w:sz w:val="20"/>
      <w:szCs w:val="20"/>
    </w:rPr>
  </w:style>
  <w:style w:type="paragraph" w:styleId="TOC9">
    <w:name w:val="toc 9"/>
    <w:basedOn w:val="Normal"/>
    <w:next w:val="Normal"/>
    <w:autoRedefine/>
    <w:uiPriority w:val="39"/>
    <w:semiHidden/>
    <w:unhideWhenUsed/>
    <w:rsid w:val="00925E17"/>
    <w:pPr>
      <w:spacing w:before="0"/>
      <w:ind w:left="1920"/>
      <w:jc w:val="left"/>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em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5" Type="http://schemas.openxmlformats.org/officeDocument/2006/relationships/theme" Target="theme/theme1.xml"/><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409498847475F4AA3711BF5C9913F68"/>
        <w:category>
          <w:name w:val="General"/>
          <w:gallery w:val="placeholder"/>
        </w:category>
        <w:types>
          <w:type w:val="bbPlcHdr"/>
        </w:types>
        <w:behaviors>
          <w:behavior w:val="content"/>
        </w:behaviors>
        <w:guid w:val="{5576D1A6-6D1C-2E42-BB28-CD87443F7288}"/>
      </w:docPartPr>
      <w:docPartBody>
        <w:p w:rsidR="00D32364" w:rsidRDefault="00D32364"/>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1892"/>
    <w:rsid w:val="00037EB5"/>
    <w:rsid w:val="00103DC7"/>
    <w:rsid w:val="0014148A"/>
    <w:rsid w:val="00154B1C"/>
    <w:rsid w:val="00191892"/>
    <w:rsid w:val="001B53C0"/>
    <w:rsid w:val="002968F1"/>
    <w:rsid w:val="0033692A"/>
    <w:rsid w:val="00383812"/>
    <w:rsid w:val="00436984"/>
    <w:rsid w:val="005649DB"/>
    <w:rsid w:val="00577AAD"/>
    <w:rsid w:val="005A239C"/>
    <w:rsid w:val="005B67FE"/>
    <w:rsid w:val="006F7214"/>
    <w:rsid w:val="008B21E6"/>
    <w:rsid w:val="00A5284A"/>
    <w:rsid w:val="00A52FA2"/>
    <w:rsid w:val="00AE367A"/>
    <w:rsid w:val="00B232DE"/>
    <w:rsid w:val="00BD10BA"/>
    <w:rsid w:val="00C33167"/>
    <w:rsid w:val="00C747ED"/>
    <w:rsid w:val="00CC3F2C"/>
    <w:rsid w:val="00D32364"/>
    <w:rsid w:val="00E440EA"/>
    <w:rsid w:val="00E5562A"/>
    <w:rsid w:val="00F36274"/>
    <w:rsid w:val="00F44AD1"/>
  </w:rsids>
  <m:mathPr>
    <m:mathFont m:val="Cambria Math"/>
    <m:brkBin m:val="before"/>
    <m:brkBinSub m:val="--"/>
    <m:smallFrac m:val="0"/>
    <m:dispDef/>
    <m:lMargin m:val="0"/>
    <m:rMargin m:val="0"/>
    <m:defJc m:val="centerGroup"/>
    <m:wrapIndent m:val="1440"/>
    <m:intLim m:val="subSup"/>
    <m:naryLim m:val="undOvr"/>
  </m:mathPr>
  <w:themeFontLang w:val="en-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FR" w:eastAsia="en-GB"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CDFBCF-F073-D247-BC67-AA035D75F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16928</Words>
  <Characters>96490</Characters>
  <Application>Microsoft Office Word</Application>
  <DocSecurity>0</DocSecurity>
  <Lines>804</Lines>
  <Paragraphs>226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113192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Eugeni Belda</dc:creator>
  <cp:keywords/>
  <dc:description/>
  <cp:lastModifiedBy>eugeni belda cuesta</cp:lastModifiedBy>
  <cp:revision>2</cp:revision>
  <dcterms:created xsi:type="dcterms:W3CDTF">2025-11-26T17:29:00Z</dcterms:created>
  <dcterms:modified xsi:type="dcterms:W3CDTF">2025-11-26T17:29:00Z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zotero-version="6.0.37"&gt;&lt;session id="HkajhTM2"/&gt;&lt;style id="http://www.zotero.org/styles/nature" hasBibliography="1" bibliographyStyleHasBeenSet="1"/&gt;&lt;prefs&gt;&lt;pref name="fieldType" value="Field"/&gt;&lt;pref name="automaticJournalAbbreviati</vt:lpwstr>
  </property>
  <property fmtid="{D5CDD505-2E9C-101B-9397-08002B2CF9AE}" pid="3" name="ZOTERO_PREF_2">
    <vt:lpwstr>ons" value="true"/&gt;&lt;/prefs&gt;&lt;/data&gt;</vt:lpwstr>
  </property>
</Properties>
</file>