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4D725" w14:textId="77777777" w:rsidR="00246146" w:rsidRPr="00E3732C" w:rsidRDefault="00246146" w:rsidP="00246146">
      <w:pPr>
        <w:pBdr>
          <w:bottom w:val="single" w:sz="4" w:space="1" w:color="auto"/>
        </w:pBdr>
        <w:rPr>
          <w:rFonts w:ascii="Aptos" w:hAnsi="Aptos"/>
          <w:b/>
          <w:bCs/>
          <w:sz w:val="32"/>
          <w:szCs w:val="32"/>
        </w:rPr>
      </w:pPr>
      <w:r w:rsidRPr="00E3732C">
        <w:rPr>
          <w:rFonts w:ascii="Aptos" w:hAnsi="Aptos"/>
          <w:b/>
          <w:bCs/>
          <w:sz w:val="32"/>
          <w:szCs w:val="32"/>
        </w:rPr>
        <w:t>Supplementary material</w:t>
      </w:r>
    </w:p>
    <w:p w14:paraId="005235BA" w14:textId="77777777" w:rsidR="00246146" w:rsidRDefault="00246146" w:rsidP="00246146">
      <w:pPr>
        <w:spacing w:line="276" w:lineRule="auto"/>
        <w:jc w:val="both"/>
        <w:rPr>
          <w:rFonts w:ascii="Aptos" w:hAnsi="Aptos"/>
          <w:b/>
          <w:bCs/>
        </w:rPr>
      </w:pPr>
    </w:p>
    <w:p w14:paraId="7FAE7C22" w14:textId="77777777" w:rsidR="009072EB" w:rsidRDefault="009072EB" w:rsidP="009072EB">
      <w:pPr>
        <w:spacing w:after="0" w:line="276" w:lineRule="auto"/>
        <w:jc w:val="both"/>
        <w:rPr>
          <w:rFonts w:ascii="Aptos" w:hAnsi="Aptos"/>
          <w:b/>
          <w:bCs/>
          <w:sz w:val="28"/>
          <w:szCs w:val="28"/>
        </w:rPr>
      </w:pPr>
      <w:r w:rsidRPr="00246146">
        <w:rPr>
          <w:rFonts w:ascii="Aptos" w:hAnsi="Aptos"/>
          <w:b/>
          <w:bCs/>
          <w:sz w:val="28"/>
          <w:szCs w:val="28"/>
        </w:rPr>
        <w:t>Supplementary Methods</w:t>
      </w:r>
    </w:p>
    <w:p w14:paraId="63DD2D8B" w14:textId="77777777" w:rsidR="009072EB" w:rsidRPr="00246146" w:rsidRDefault="009072EB" w:rsidP="009072EB">
      <w:pPr>
        <w:spacing w:after="0" w:line="276" w:lineRule="auto"/>
        <w:jc w:val="both"/>
        <w:rPr>
          <w:rFonts w:ascii="Aptos" w:hAnsi="Aptos"/>
          <w:b/>
          <w:bCs/>
          <w:sz w:val="28"/>
          <w:szCs w:val="28"/>
        </w:rPr>
      </w:pPr>
    </w:p>
    <w:p w14:paraId="37291DD1" w14:textId="77777777" w:rsidR="009072EB" w:rsidRPr="00E3732C" w:rsidRDefault="009072EB" w:rsidP="009072EB">
      <w:pPr>
        <w:spacing w:line="276" w:lineRule="auto"/>
        <w:jc w:val="both"/>
        <w:rPr>
          <w:rFonts w:ascii="Aptos" w:hAnsi="Aptos"/>
          <w:b/>
          <w:bCs/>
        </w:rPr>
      </w:pPr>
      <w:r w:rsidRPr="00E3732C">
        <w:rPr>
          <w:rFonts w:ascii="Aptos" w:hAnsi="Aptos"/>
          <w:b/>
          <w:bCs/>
        </w:rPr>
        <w:t>List of key journals searched to identify eligible studies</w:t>
      </w:r>
    </w:p>
    <w:p w14:paraId="2E8E295A" w14:textId="1ED52582" w:rsidR="00CB0851" w:rsidRPr="007947C3" w:rsidRDefault="009072EB" w:rsidP="009072EB">
      <w:pPr>
        <w:spacing w:line="276" w:lineRule="auto"/>
        <w:jc w:val="both"/>
        <w:rPr>
          <w:rFonts w:ascii="Aptos" w:hAnsi="Aptos"/>
        </w:rPr>
      </w:pPr>
      <w:r w:rsidRPr="00E3732C">
        <w:rPr>
          <w:rFonts w:ascii="Aptos" w:hAnsi="Aptos"/>
        </w:rPr>
        <w:t xml:space="preserve">American Journal of Neuroradiology; Annals of Clinical and Translational Neurology; Annals of Neurology; Archives of Neurology; Biological Psychiatry; BMC Neurology; BMJ Neurology Open; Brain; Brain Communications; Clinical Neurology and Neurosurgery; Clinical Neurophysiology; Cortex; European Journal of Neurology; European Neurology; Frontiers in Immunology, Frontiers in Neurology; JAMA; JAMA Neurology; Journal of Cerebral Blood Flow &amp; Metabolism; Journal of Clinical Neurology; Journal of Clinical Neurophysiology; Journal of Clinical Neuroscience; Journal of Neuroimaging; Journal of Neuroimmunology; Journal of Neuroinflammation; Journal of Neurology; Journal of Neuroradiology; Journal of the Neurological Sciences; Multiple Sclerosis Journal - Experimental, Translational and Clinical; Multiple Sclerosis and Related Disorders; Multiple Sclerosis Journal; </w:t>
      </w:r>
      <w:r w:rsidRPr="007947C3">
        <w:rPr>
          <w:rFonts w:ascii="Aptos" w:hAnsi="Aptos"/>
        </w:rPr>
        <w:t>Nature Neuroscience; Nature Reviews Neurology; Neurodegenerative Diseases; NeuroImage; NeuroImage: Clinical; Neurological Research; Neurology; Neurology and Neuroscience; Neurology: Clinical Practice; Neurology Clinics; Neurology Neuroimmunology &amp; Neuroinflammation; Neurology, Psychiatry and Brain Research; Neurorehabilitation &amp; Neural Repair; Neurosurgery &amp; Psychiatry; PLOS one; Practical Neurology; Radiology; Science; Scientific Reports, The Journal of Neuropsychiatry and Clinical Neurosciences; The Lancet, The Lancet Neurology</w:t>
      </w:r>
    </w:p>
    <w:p w14:paraId="1CB63513" w14:textId="77777777" w:rsidR="00CB0E4F" w:rsidRDefault="00CB0E4F" w:rsidP="00246146">
      <w:pPr>
        <w:spacing w:line="276" w:lineRule="auto"/>
        <w:jc w:val="both"/>
        <w:rPr>
          <w:rFonts w:ascii="Aptos" w:hAnsi="Aptos"/>
          <w:b/>
          <w:bCs/>
        </w:rPr>
      </w:pPr>
    </w:p>
    <w:p w14:paraId="4A417222" w14:textId="77777777" w:rsidR="00CB0851" w:rsidRDefault="00CB0851">
      <w:pPr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br w:type="page"/>
      </w:r>
    </w:p>
    <w:p w14:paraId="372A6843" w14:textId="77777777" w:rsidR="00A365CD" w:rsidRDefault="00A365CD" w:rsidP="00CB0851">
      <w:pPr>
        <w:spacing w:after="0" w:line="276" w:lineRule="auto"/>
        <w:jc w:val="both"/>
        <w:rPr>
          <w:rFonts w:ascii="Aptos" w:hAnsi="Aptos"/>
          <w:b/>
          <w:bCs/>
          <w:sz w:val="28"/>
          <w:szCs w:val="28"/>
        </w:rPr>
        <w:sectPr w:rsidR="00A365CD">
          <w:footerReference w:type="default" r:id="rId6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5CF5CE56" w14:textId="77777777" w:rsidR="00CB0851" w:rsidRDefault="00CB0851" w:rsidP="00CB0851">
      <w:pPr>
        <w:spacing w:after="0" w:line="276" w:lineRule="auto"/>
        <w:jc w:val="both"/>
        <w:rPr>
          <w:rFonts w:ascii="Aptos" w:hAnsi="Aptos"/>
          <w:b/>
          <w:bCs/>
          <w:sz w:val="28"/>
          <w:szCs w:val="28"/>
        </w:rPr>
      </w:pPr>
      <w:r w:rsidRPr="00246146">
        <w:rPr>
          <w:rFonts w:ascii="Aptos" w:hAnsi="Aptos"/>
          <w:b/>
          <w:bCs/>
          <w:sz w:val="28"/>
          <w:szCs w:val="28"/>
        </w:rPr>
        <w:lastRenderedPageBreak/>
        <w:t xml:space="preserve">Supplementary </w:t>
      </w:r>
      <w:r>
        <w:rPr>
          <w:rFonts w:ascii="Aptos" w:hAnsi="Aptos"/>
          <w:b/>
          <w:bCs/>
          <w:sz w:val="28"/>
          <w:szCs w:val="28"/>
        </w:rPr>
        <w:t>Table 1</w:t>
      </w:r>
    </w:p>
    <w:p w14:paraId="5CF9A5A9" w14:textId="77777777" w:rsidR="00CB0851" w:rsidRDefault="00CB0851" w:rsidP="00CB0851">
      <w:pPr>
        <w:spacing w:line="276" w:lineRule="auto"/>
        <w:jc w:val="both"/>
        <w:rPr>
          <w:rFonts w:ascii="Aptos" w:hAnsi="Aptos"/>
          <w:b/>
          <w:bCs/>
        </w:rPr>
      </w:pPr>
    </w:p>
    <w:p w14:paraId="75910DD8" w14:textId="397647A8" w:rsidR="00FE787D" w:rsidRDefault="00FE787D" w:rsidP="0013233D">
      <w:pPr>
        <w:spacing w:line="276" w:lineRule="auto"/>
        <w:jc w:val="both"/>
        <w:rPr>
          <w:rFonts w:ascii="Aptos" w:hAnsi="Aptos"/>
        </w:rPr>
      </w:pPr>
      <w:r>
        <w:rPr>
          <w:rFonts w:ascii="Aptos" w:hAnsi="Aptos"/>
          <w:b/>
          <w:bCs/>
        </w:rPr>
        <w:t>Table</w:t>
      </w:r>
      <w:r w:rsidRPr="00FE787D">
        <w:rPr>
          <w:rFonts w:ascii="Aptos" w:hAnsi="Aptos"/>
          <w:b/>
          <w:bCs/>
        </w:rPr>
        <w:t xml:space="preserve"> S1. </w:t>
      </w:r>
      <w:r>
        <w:rPr>
          <w:rFonts w:ascii="Aptos" w:hAnsi="Aptos"/>
          <w:b/>
          <w:bCs/>
        </w:rPr>
        <w:t xml:space="preserve">Effect of methods. </w:t>
      </w:r>
      <w:r>
        <w:rPr>
          <w:rFonts w:ascii="Aptos" w:hAnsi="Aptos"/>
        </w:rPr>
        <w:t xml:space="preserve">The </w:t>
      </w:r>
      <w:r w:rsidR="00343A9B">
        <w:rPr>
          <w:rFonts w:ascii="Aptos" w:hAnsi="Aptos"/>
        </w:rPr>
        <w:t xml:space="preserve">non-parametric </w:t>
      </w:r>
      <w:r w:rsidRPr="00FE787D">
        <w:rPr>
          <w:rFonts w:ascii="Aptos" w:hAnsi="Aptos"/>
        </w:rPr>
        <w:t>Kruskal-</w:t>
      </w:r>
      <w:proofErr w:type="gramStart"/>
      <w:r w:rsidRPr="00FE787D">
        <w:rPr>
          <w:rFonts w:ascii="Aptos" w:hAnsi="Aptos"/>
        </w:rPr>
        <w:t>Wallis</w:t>
      </w:r>
      <w:proofErr w:type="gramEnd"/>
      <w:r w:rsidRPr="00FE787D">
        <w:rPr>
          <w:rFonts w:ascii="Aptos" w:hAnsi="Aptos"/>
        </w:rPr>
        <w:t xml:space="preserve"> test</w:t>
      </w:r>
      <w:r>
        <w:rPr>
          <w:rFonts w:ascii="Aptos" w:hAnsi="Aptos"/>
        </w:rPr>
        <w:t xml:space="preserve"> did not </w:t>
      </w:r>
      <w:r w:rsidR="008D4F1F">
        <w:rPr>
          <w:rFonts w:ascii="Aptos" w:hAnsi="Aptos"/>
        </w:rPr>
        <w:t>show</w:t>
      </w:r>
      <w:r>
        <w:rPr>
          <w:rFonts w:ascii="Aptos" w:hAnsi="Aptos"/>
        </w:rPr>
        <w:t xml:space="preserve"> any influence of scanner model, field strength, voxel size, lesion filling, and segmentation method on any of the investigated volumes. </w:t>
      </w:r>
      <w:r w:rsidRPr="00FE787D">
        <w:rPr>
          <w:rFonts w:ascii="Aptos" w:hAnsi="Aptos"/>
        </w:rPr>
        <w:t>Abbreviations: MUCCA – mean upper cervical cord area.</w:t>
      </w:r>
    </w:p>
    <w:p w14:paraId="3B2BF147" w14:textId="77777777" w:rsidR="0013233D" w:rsidRPr="0013233D" w:rsidRDefault="0013233D" w:rsidP="0013233D">
      <w:pPr>
        <w:spacing w:after="0" w:line="276" w:lineRule="auto"/>
        <w:jc w:val="both"/>
        <w:rPr>
          <w:rFonts w:ascii="Aptos" w:hAnsi="Aptos"/>
        </w:rPr>
      </w:pPr>
    </w:p>
    <w:tbl>
      <w:tblPr>
        <w:tblStyle w:val="TableGrid"/>
        <w:tblW w:w="14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1710"/>
        <w:gridCol w:w="1980"/>
        <w:gridCol w:w="1980"/>
        <w:gridCol w:w="1980"/>
        <w:gridCol w:w="1980"/>
        <w:gridCol w:w="2070"/>
      </w:tblGrid>
      <w:tr w:rsidR="00FF2158" w14:paraId="0ACBDD7A" w14:textId="77777777" w:rsidTr="00B57064"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70553E3A" w14:textId="77777777" w:rsidR="00CB0851" w:rsidRDefault="00CB0851" w:rsidP="000E55BA">
            <w:pPr>
              <w:spacing w:line="276" w:lineRule="auto"/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Volume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1411E40" w14:textId="77777777" w:rsidR="00CB0851" w:rsidRDefault="00CB0851" w:rsidP="000E55BA">
            <w:pPr>
              <w:spacing w:line="276" w:lineRule="auto"/>
              <w:jc w:val="center"/>
              <w:rPr>
                <w:rFonts w:ascii="Aptos" w:hAnsi="Aptos"/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0A323560" w14:textId="77777777" w:rsidR="00CB0851" w:rsidRDefault="00CB0851" w:rsidP="000E55BA">
            <w:pPr>
              <w:spacing w:line="276" w:lineRule="auto"/>
              <w:jc w:val="center"/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Type of scanner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43365939" w14:textId="77777777" w:rsidR="00CB0851" w:rsidRDefault="00CB0851" w:rsidP="000E55BA">
            <w:pPr>
              <w:spacing w:line="276" w:lineRule="auto"/>
              <w:jc w:val="center"/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Field strength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1709C623" w14:textId="77777777" w:rsidR="00CB0851" w:rsidRDefault="00CB0851" w:rsidP="000E55BA">
            <w:pPr>
              <w:spacing w:line="276" w:lineRule="auto"/>
              <w:jc w:val="center"/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Voxel size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6D02EBCD" w14:textId="77777777" w:rsidR="00CB0851" w:rsidRDefault="00CB0851" w:rsidP="000E55BA">
            <w:pPr>
              <w:spacing w:line="276" w:lineRule="auto"/>
              <w:jc w:val="center"/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Lesion filling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14:paraId="241D156E" w14:textId="77777777" w:rsidR="00CB0851" w:rsidRDefault="00CB0851" w:rsidP="000E55BA">
            <w:pPr>
              <w:spacing w:line="276" w:lineRule="auto"/>
              <w:jc w:val="center"/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Segmentation method</w:t>
            </w:r>
          </w:p>
        </w:tc>
      </w:tr>
      <w:tr w:rsidR="00FF2158" w14:paraId="536D3A6C" w14:textId="77777777" w:rsidTr="00B57064">
        <w:tc>
          <w:tcPr>
            <w:tcW w:w="2790" w:type="dxa"/>
            <w:tcBorders>
              <w:top w:val="single" w:sz="4" w:space="0" w:color="auto"/>
            </w:tcBorders>
          </w:tcPr>
          <w:p w14:paraId="49FC53DB" w14:textId="77777777" w:rsidR="00CB0851" w:rsidRPr="00CB0E4F" w:rsidRDefault="00CB0851" w:rsidP="000E55BA">
            <w:pPr>
              <w:spacing w:line="276" w:lineRule="auto"/>
              <w:rPr>
                <w:rFonts w:ascii="Aptos" w:hAnsi="Aptos"/>
                <w:b/>
                <w:bCs/>
              </w:rPr>
            </w:pPr>
            <w:r w:rsidRPr="00CB0E4F">
              <w:rPr>
                <w:rFonts w:ascii="Aptos" w:hAnsi="Aptos"/>
                <w:b/>
                <w:bCs/>
              </w:rPr>
              <w:t xml:space="preserve">Whole brain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029DDC9" w14:textId="6C4F0646" w:rsidR="00CB0851" w:rsidRPr="00FF2158" w:rsidRDefault="00CB0851" w:rsidP="000E55BA">
            <w:pPr>
              <w:spacing w:line="276" w:lineRule="auto"/>
              <w:rPr>
                <w:rFonts w:ascii="Aptos" w:hAnsi="Aptos"/>
                <w:i/>
                <w:iCs/>
              </w:rPr>
            </w:pPr>
            <w:r w:rsidRPr="00FF2158">
              <w:rPr>
                <w:rFonts w:ascii="Aptos" w:hAnsi="Aptos"/>
                <w:i/>
                <w:iCs/>
              </w:rPr>
              <w:t>Mean volume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112E5112" w14:textId="210BFF77" w:rsidR="00CB0851" w:rsidRPr="009406E4" w:rsidRDefault="009406E4" w:rsidP="000E55BA">
            <w:pPr>
              <w:spacing w:line="276" w:lineRule="auto"/>
              <w:rPr>
                <w:rFonts w:ascii="Aptos" w:hAnsi="Aptos"/>
              </w:rPr>
            </w:pPr>
            <w:r w:rsidRPr="009406E4">
              <w:rPr>
                <w:rFonts w:ascii="Aptos" w:hAnsi="Aptos"/>
              </w:rPr>
              <w:t>H(2)=0</w:t>
            </w:r>
            <w:r>
              <w:rPr>
                <w:rFonts w:ascii="Aptos" w:hAnsi="Aptos"/>
              </w:rPr>
              <w:t>.00</w:t>
            </w:r>
            <w:r w:rsidRPr="009406E4">
              <w:rPr>
                <w:rFonts w:ascii="Aptos" w:hAnsi="Aptos"/>
              </w:rPr>
              <w:t>, p=1</w:t>
            </w:r>
            <w:r>
              <w:rPr>
                <w:rFonts w:ascii="Aptos" w:hAnsi="Aptos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38E8EC7E" w14:textId="2036AAA9" w:rsidR="00CB0851" w:rsidRPr="009406E4" w:rsidRDefault="009406E4" w:rsidP="000E55BA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H(1)=0.83, p=0.36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5AC56627" w14:textId="5D38038E" w:rsidR="00CB0851" w:rsidRPr="009406E4" w:rsidRDefault="00B57064" w:rsidP="000E55BA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H(2)=4.50, p=0.11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61ECD1D7" w14:textId="0FF9FA3F" w:rsidR="00CB0851" w:rsidRPr="009406E4" w:rsidRDefault="00B57064" w:rsidP="000E55BA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H(1)=0.00, p=1.00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553AFF9E" w14:textId="5A2F8DCC" w:rsidR="00CB0851" w:rsidRPr="009406E4" w:rsidRDefault="00146843" w:rsidP="000E55BA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H(3)=5.80, p=0.12</w:t>
            </w:r>
          </w:p>
        </w:tc>
      </w:tr>
      <w:tr w:rsidR="00B57064" w14:paraId="21ECB11F" w14:textId="77777777" w:rsidTr="00B57064">
        <w:tc>
          <w:tcPr>
            <w:tcW w:w="2790" w:type="dxa"/>
            <w:tcBorders>
              <w:bottom w:val="single" w:sz="4" w:space="0" w:color="auto"/>
            </w:tcBorders>
          </w:tcPr>
          <w:p w14:paraId="20671BE6" w14:textId="77777777" w:rsidR="00CB0851" w:rsidRPr="00CB0E4F" w:rsidRDefault="00CB0851" w:rsidP="000E55BA">
            <w:pPr>
              <w:spacing w:line="276" w:lineRule="auto"/>
              <w:rPr>
                <w:rFonts w:ascii="Aptos" w:hAnsi="Aptos"/>
                <w:b/>
                <w:b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EA61827" w14:textId="213C6EA0" w:rsidR="00CB0851" w:rsidRPr="00FF2158" w:rsidRDefault="00CB0851" w:rsidP="000E55BA">
            <w:pPr>
              <w:spacing w:line="276" w:lineRule="auto"/>
              <w:rPr>
                <w:rFonts w:ascii="Aptos" w:hAnsi="Aptos"/>
                <w:i/>
                <w:iCs/>
              </w:rPr>
            </w:pPr>
            <w:r w:rsidRPr="00FF2158">
              <w:rPr>
                <w:rFonts w:ascii="Aptos" w:hAnsi="Aptos"/>
                <w:i/>
                <w:iCs/>
              </w:rPr>
              <w:t>Hedges’ g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4F96297" w14:textId="70C633F9" w:rsidR="00CB0851" w:rsidRPr="009406E4" w:rsidRDefault="00B57064" w:rsidP="000E55BA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H(2)=3.98, p=0.13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5E480D33" w14:textId="465EEB18" w:rsidR="00CB0851" w:rsidRPr="009406E4" w:rsidRDefault="00B57064" w:rsidP="000E55BA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H(1)=1.20, p=0.27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0D2F4F46" w14:textId="71347906" w:rsidR="00CB0851" w:rsidRPr="009406E4" w:rsidRDefault="00B57064" w:rsidP="000E55BA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H(2)=4.82, p=0.09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B00D990" w14:textId="4F518B39" w:rsidR="00CB0851" w:rsidRPr="009406E4" w:rsidRDefault="00B57064" w:rsidP="000E55BA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H(1)=0.96, p=0.33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1AA75ECD" w14:textId="04A8FDB3" w:rsidR="00CB0851" w:rsidRPr="009406E4" w:rsidRDefault="00146843" w:rsidP="000E55BA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H(3)=3.37, p=0.34</w:t>
            </w:r>
          </w:p>
        </w:tc>
      </w:tr>
      <w:tr w:rsidR="00E621EB" w14:paraId="20680226" w14:textId="77777777" w:rsidTr="00B57064">
        <w:tc>
          <w:tcPr>
            <w:tcW w:w="2790" w:type="dxa"/>
            <w:tcBorders>
              <w:top w:val="single" w:sz="4" w:space="0" w:color="auto"/>
            </w:tcBorders>
          </w:tcPr>
          <w:p w14:paraId="1053B327" w14:textId="77777777" w:rsidR="00E621EB" w:rsidRPr="00CB0E4F" w:rsidRDefault="00E621EB" w:rsidP="00E621EB">
            <w:pPr>
              <w:spacing w:line="276" w:lineRule="auto"/>
              <w:rPr>
                <w:rFonts w:ascii="Aptos" w:hAnsi="Aptos"/>
                <w:b/>
                <w:bCs/>
              </w:rPr>
            </w:pPr>
            <w:r w:rsidRPr="00CB0E4F">
              <w:rPr>
                <w:rFonts w:ascii="Aptos" w:hAnsi="Aptos"/>
                <w:b/>
                <w:bCs/>
              </w:rPr>
              <w:t xml:space="preserve">T2/FLAIR brain lesion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60C9E2E" w14:textId="547BC1F8" w:rsidR="00E621EB" w:rsidRPr="00FF2158" w:rsidRDefault="00E621EB" w:rsidP="00E621EB">
            <w:pPr>
              <w:spacing w:line="276" w:lineRule="auto"/>
              <w:rPr>
                <w:rFonts w:ascii="Aptos" w:hAnsi="Aptos"/>
                <w:i/>
                <w:iCs/>
              </w:rPr>
            </w:pPr>
            <w:r w:rsidRPr="00FF2158">
              <w:rPr>
                <w:rFonts w:ascii="Aptos" w:hAnsi="Aptos"/>
                <w:i/>
                <w:iCs/>
              </w:rPr>
              <w:t>Mean volume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5D1D41B2" w14:textId="5270362E" w:rsidR="00E621EB" w:rsidRPr="009406E4" w:rsidRDefault="006E4CA9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H(2)=0.15, p=0.93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466E3496" w14:textId="71F4F91E" w:rsidR="00E621EB" w:rsidRPr="009406E4" w:rsidRDefault="006E4CA9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H(2)=1.36, p=0.51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0CE4400D" w14:textId="08D25D89" w:rsidR="00E621EB" w:rsidRPr="009406E4" w:rsidRDefault="006E4CA9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H(2)=1.23, p=0.54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2B79F93B" w14:textId="0ED82824" w:rsidR="00E621EB" w:rsidRPr="009406E4" w:rsidRDefault="00FE787D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-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015B235B" w14:textId="45543CBC" w:rsidR="00E621EB" w:rsidRPr="009406E4" w:rsidRDefault="006E4CA9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H(3)=1.11, p=0.77</w:t>
            </w:r>
          </w:p>
        </w:tc>
      </w:tr>
      <w:tr w:rsidR="00E621EB" w14:paraId="3D109B42" w14:textId="77777777" w:rsidTr="00B57064">
        <w:tc>
          <w:tcPr>
            <w:tcW w:w="2790" w:type="dxa"/>
            <w:tcBorders>
              <w:bottom w:val="single" w:sz="4" w:space="0" w:color="auto"/>
            </w:tcBorders>
          </w:tcPr>
          <w:p w14:paraId="51272619" w14:textId="77777777" w:rsidR="00E621EB" w:rsidRPr="00CB0E4F" w:rsidRDefault="00E621EB" w:rsidP="00E621EB">
            <w:pPr>
              <w:spacing w:line="276" w:lineRule="auto"/>
              <w:rPr>
                <w:rFonts w:ascii="Aptos" w:hAnsi="Aptos"/>
                <w:b/>
                <w:b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5ED7E8F" w14:textId="360E6018" w:rsidR="00E621EB" w:rsidRPr="00FF2158" w:rsidRDefault="00E621EB" w:rsidP="00E621EB">
            <w:pPr>
              <w:spacing w:line="276" w:lineRule="auto"/>
              <w:rPr>
                <w:rFonts w:ascii="Aptos" w:hAnsi="Aptos"/>
                <w:i/>
                <w:iCs/>
              </w:rPr>
            </w:pPr>
            <w:r w:rsidRPr="00FF2158">
              <w:rPr>
                <w:rFonts w:ascii="Aptos" w:hAnsi="Aptos"/>
                <w:i/>
                <w:iCs/>
              </w:rPr>
              <w:t>Hedges’ g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31D24A4" w14:textId="12362529" w:rsidR="00E621EB" w:rsidRPr="009406E4" w:rsidRDefault="00FE787D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-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7013889C" w14:textId="218F0861" w:rsidR="00E621EB" w:rsidRPr="009406E4" w:rsidRDefault="00FE787D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-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86CAB21" w14:textId="6BA59592" w:rsidR="00E621EB" w:rsidRPr="009406E4" w:rsidRDefault="00FE787D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-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BEDDE8A" w14:textId="33D7EC87" w:rsidR="00E621EB" w:rsidRPr="009406E4" w:rsidRDefault="00FE787D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-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2F7F2DE6" w14:textId="10E6A02A" w:rsidR="00E621EB" w:rsidRPr="009406E4" w:rsidRDefault="00FE787D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-</w:t>
            </w:r>
          </w:p>
        </w:tc>
      </w:tr>
      <w:tr w:rsidR="00E621EB" w14:paraId="241DB2A8" w14:textId="77777777" w:rsidTr="00B57064">
        <w:tc>
          <w:tcPr>
            <w:tcW w:w="2790" w:type="dxa"/>
            <w:tcBorders>
              <w:top w:val="single" w:sz="4" w:space="0" w:color="auto"/>
            </w:tcBorders>
          </w:tcPr>
          <w:p w14:paraId="4121107D" w14:textId="38C6F590" w:rsidR="00E621EB" w:rsidRPr="00CB0E4F" w:rsidRDefault="00E03F09" w:rsidP="00E621EB">
            <w:pPr>
              <w:spacing w:line="276" w:lineRule="auto"/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Total</w:t>
            </w:r>
            <w:r w:rsidR="00E621EB" w:rsidRPr="00CB0E4F">
              <w:rPr>
                <w:rFonts w:ascii="Aptos" w:hAnsi="Aptos"/>
                <w:b/>
                <w:bCs/>
              </w:rPr>
              <w:t xml:space="preserve"> grey matter</w:t>
            </w:r>
            <w:r>
              <w:rPr>
                <w:rFonts w:ascii="Aptos" w:hAnsi="Aptos"/>
                <w:b/>
                <w:bCs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C825943" w14:textId="2ACD2654" w:rsidR="00E621EB" w:rsidRPr="00FF2158" w:rsidRDefault="00E621EB" w:rsidP="00E621EB">
            <w:pPr>
              <w:spacing w:line="276" w:lineRule="auto"/>
              <w:rPr>
                <w:rFonts w:ascii="Aptos" w:hAnsi="Aptos"/>
                <w:i/>
                <w:iCs/>
              </w:rPr>
            </w:pPr>
            <w:r w:rsidRPr="00FF2158">
              <w:rPr>
                <w:rFonts w:ascii="Aptos" w:hAnsi="Aptos"/>
                <w:i/>
                <w:iCs/>
              </w:rPr>
              <w:t>Mean volume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1FA72E9E" w14:textId="607351B4" w:rsidR="00E621EB" w:rsidRPr="009406E4" w:rsidRDefault="00BC23B6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H(2)=4.11, p=0.13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6BB41D9E" w14:textId="6A9284E3" w:rsidR="00E621EB" w:rsidRPr="009406E4" w:rsidRDefault="00BC23B6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H(1)=0.07, p=0.80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77E11568" w14:textId="2C0B2E42" w:rsidR="00E621EB" w:rsidRPr="009406E4" w:rsidRDefault="00601C21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H(2)=3.57, p=0.17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10FF1CE9" w14:textId="04EFF6AF" w:rsidR="00E621EB" w:rsidRPr="009406E4" w:rsidRDefault="00E621EB" w:rsidP="00E621EB">
            <w:pPr>
              <w:spacing w:line="276" w:lineRule="auto"/>
              <w:rPr>
                <w:rFonts w:ascii="Aptos" w:hAnsi="Aptos"/>
              </w:rPr>
            </w:pPr>
            <w:r w:rsidRPr="006B6616">
              <w:rPr>
                <w:rFonts w:ascii="Aptos" w:hAnsi="Aptos"/>
              </w:rPr>
              <w:t>H(1)=</w:t>
            </w:r>
            <w:r w:rsidR="00601C21">
              <w:rPr>
                <w:rFonts w:ascii="Aptos" w:hAnsi="Aptos"/>
              </w:rPr>
              <w:t>0.02, p=0.88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2604E04D" w14:textId="1776B80C" w:rsidR="00E621EB" w:rsidRPr="009406E4" w:rsidRDefault="00601C21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H(4)=6.87, p=0.14</w:t>
            </w:r>
          </w:p>
        </w:tc>
      </w:tr>
      <w:tr w:rsidR="00E621EB" w14:paraId="40C97AF1" w14:textId="77777777" w:rsidTr="00B57064">
        <w:tc>
          <w:tcPr>
            <w:tcW w:w="2790" w:type="dxa"/>
            <w:tcBorders>
              <w:bottom w:val="single" w:sz="4" w:space="0" w:color="auto"/>
            </w:tcBorders>
          </w:tcPr>
          <w:p w14:paraId="225B91DA" w14:textId="77777777" w:rsidR="00E621EB" w:rsidRPr="00CB0E4F" w:rsidRDefault="00E621EB" w:rsidP="00E621EB">
            <w:pPr>
              <w:spacing w:line="276" w:lineRule="auto"/>
              <w:rPr>
                <w:rFonts w:ascii="Aptos" w:hAnsi="Aptos"/>
                <w:b/>
                <w:b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DF7223A" w14:textId="6089479E" w:rsidR="00E621EB" w:rsidRPr="00FF2158" w:rsidRDefault="00E621EB" w:rsidP="00E621EB">
            <w:pPr>
              <w:spacing w:line="276" w:lineRule="auto"/>
              <w:rPr>
                <w:rFonts w:ascii="Aptos" w:hAnsi="Aptos"/>
                <w:i/>
                <w:iCs/>
              </w:rPr>
            </w:pPr>
            <w:r w:rsidRPr="00FF2158">
              <w:rPr>
                <w:rFonts w:ascii="Aptos" w:hAnsi="Aptos"/>
                <w:i/>
                <w:iCs/>
              </w:rPr>
              <w:t>Hedges’ g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7CE8D03A" w14:textId="4C916199" w:rsidR="00E621EB" w:rsidRPr="009406E4" w:rsidRDefault="00BC23B6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H(2)=1.81, p=0.41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0A893404" w14:textId="6C56A420" w:rsidR="00E621EB" w:rsidRPr="009406E4" w:rsidRDefault="00BC23B6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H(1)=0.07, p=0.80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C9D2324" w14:textId="4B9299A7" w:rsidR="00E621EB" w:rsidRPr="009406E4" w:rsidRDefault="00601C21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H(2)=2.14, p=0.34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35A03EE" w14:textId="1FB6BFA2" w:rsidR="00E621EB" w:rsidRPr="009406E4" w:rsidRDefault="00E621EB" w:rsidP="00E621EB">
            <w:pPr>
              <w:spacing w:line="276" w:lineRule="auto"/>
              <w:rPr>
                <w:rFonts w:ascii="Aptos" w:hAnsi="Aptos"/>
              </w:rPr>
            </w:pPr>
            <w:r w:rsidRPr="006B6616">
              <w:rPr>
                <w:rFonts w:ascii="Aptos" w:hAnsi="Aptos"/>
              </w:rPr>
              <w:t>H(1)=</w:t>
            </w:r>
            <w:r w:rsidR="00601C21">
              <w:rPr>
                <w:rFonts w:ascii="Aptos" w:hAnsi="Aptos"/>
              </w:rPr>
              <w:t>0.02, p=0.88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6F5591DB" w14:textId="5364F91B" w:rsidR="00E621EB" w:rsidRPr="009406E4" w:rsidRDefault="00601C21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H(4)=2.84, p=0.58</w:t>
            </w:r>
          </w:p>
        </w:tc>
      </w:tr>
      <w:tr w:rsidR="00FF2158" w14:paraId="04013D73" w14:textId="77777777" w:rsidTr="00B57064">
        <w:tc>
          <w:tcPr>
            <w:tcW w:w="2790" w:type="dxa"/>
            <w:tcBorders>
              <w:top w:val="single" w:sz="4" w:space="0" w:color="auto"/>
            </w:tcBorders>
          </w:tcPr>
          <w:p w14:paraId="0C7E371C" w14:textId="3AB47A5C" w:rsidR="00CB0851" w:rsidRPr="00CB0E4F" w:rsidRDefault="00E03F09" w:rsidP="000E55BA">
            <w:pPr>
              <w:spacing w:line="276" w:lineRule="auto"/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Total</w:t>
            </w:r>
            <w:r w:rsidR="00CB0851" w:rsidRPr="00CB0E4F">
              <w:rPr>
                <w:rFonts w:ascii="Aptos" w:hAnsi="Aptos"/>
                <w:b/>
                <w:bCs/>
              </w:rPr>
              <w:t xml:space="preserve"> white matter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6114F28E" w14:textId="1B443930" w:rsidR="00CB0851" w:rsidRPr="00FF2158" w:rsidRDefault="00CB0851" w:rsidP="000E55BA">
            <w:pPr>
              <w:spacing w:line="276" w:lineRule="auto"/>
              <w:rPr>
                <w:rFonts w:ascii="Aptos" w:hAnsi="Aptos"/>
                <w:i/>
                <w:iCs/>
              </w:rPr>
            </w:pPr>
            <w:r w:rsidRPr="00FF2158">
              <w:rPr>
                <w:rFonts w:ascii="Aptos" w:hAnsi="Aptos"/>
                <w:i/>
                <w:iCs/>
              </w:rPr>
              <w:t>Mean volume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7BAA1310" w14:textId="500BE75F" w:rsidR="00CB0851" w:rsidRPr="009406E4" w:rsidRDefault="005231AF" w:rsidP="000E55BA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H(2)=2.38, p=0.30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46AA5914" w14:textId="28AE6247" w:rsidR="00CB0851" w:rsidRPr="009406E4" w:rsidRDefault="005231AF" w:rsidP="000E55BA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H(1)=1.13, p=0.29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10282F4F" w14:textId="20C786A7" w:rsidR="00CB0851" w:rsidRPr="009406E4" w:rsidRDefault="00E621EB" w:rsidP="000E55BA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H(2)=2.70, p=0.26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70AB9169" w14:textId="2DD34681" w:rsidR="00CB0851" w:rsidRPr="009406E4" w:rsidRDefault="00E621EB" w:rsidP="000E55BA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H(1)=0.13, p=0.72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00F64D54" w14:textId="2ED554B2" w:rsidR="00CB0851" w:rsidRPr="009406E4" w:rsidRDefault="00E621EB" w:rsidP="000E55BA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H(3)=5.14, p=0.16</w:t>
            </w:r>
          </w:p>
        </w:tc>
      </w:tr>
      <w:tr w:rsidR="00E621EB" w14:paraId="50AFA9BC" w14:textId="77777777" w:rsidTr="00B57064">
        <w:tc>
          <w:tcPr>
            <w:tcW w:w="2790" w:type="dxa"/>
            <w:tcBorders>
              <w:bottom w:val="single" w:sz="4" w:space="0" w:color="auto"/>
            </w:tcBorders>
          </w:tcPr>
          <w:p w14:paraId="3E9F2584" w14:textId="77777777" w:rsidR="00E621EB" w:rsidRPr="00CB0E4F" w:rsidRDefault="00E621EB" w:rsidP="00E621EB">
            <w:pPr>
              <w:spacing w:line="276" w:lineRule="auto"/>
              <w:rPr>
                <w:rFonts w:ascii="Aptos" w:hAnsi="Aptos"/>
                <w:b/>
                <w:b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A6F1BE3" w14:textId="0D8D5C82" w:rsidR="00E621EB" w:rsidRPr="00FF2158" w:rsidRDefault="00E621EB" w:rsidP="00E621EB">
            <w:pPr>
              <w:spacing w:line="276" w:lineRule="auto"/>
              <w:rPr>
                <w:rFonts w:ascii="Aptos" w:hAnsi="Aptos"/>
                <w:i/>
                <w:iCs/>
              </w:rPr>
            </w:pPr>
            <w:r w:rsidRPr="00FF2158">
              <w:rPr>
                <w:rFonts w:ascii="Aptos" w:hAnsi="Aptos"/>
                <w:i/>
                <w:iCs/>
              </w:rPr>
              <w:t>Hedges’ g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138DD9BD" w14:textId="72CD843F" w:rsidR="00E621EB" w:rsidRPr="009406E4" w:rsidRDefault="00E621EB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H(2)=1.24, p=0.54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3E6EE51" w14:textId="621621AF" w:rsidR="00E621EB" w:rsidRPr="009406E4" w:rsidRDefault="00E621EB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H(1)=0.13, p=0.72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0D517E48" w14:textId="7167ECEF" w:rsidR="00E621EB" w:rsidRPr="009406E4" w:rsidRDefault="00E621EB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H(2)=1.80, p=0.41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0A66565E" w14:textId="39605211" w:rsidR="00E621EB" w:rsidRPr="009406E4" w:rsidRDefault="00E621EB" w:rsidP="00E621EB">
            <w:pPr>
              <w:spacing w:line="276" w:lineRule="auto"/>
              <w:rPr>
                <w:rFonts w:ascii="Aptos" w:hAnsi="Aptos"/>
              </w:rPr>
            </w:pPr>
            <w:r w:rsidRPr="006478B8">
              <w:rPr>
                <w:rFonts w:ascii="Aptos" w:hAnsi="Aptos"/>
              </w:rPr>
              <w:t>H(1)=</w:t>
            </w:r>
            <w:r>
              <w:rPr>
                <w:rFonts w:ascii="Aptos" w:hAnsi="Aptos"/>
              </w:rPr>
              <w:t>0.13, p=0.72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130C0F32" w14:textId="547003EE" w:rsidR="00E621EB" w:rsidRPr="009406E4" w:rsidRDefault="00E621EB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H(3)=1.46, p=0.69</w:t>
            </w:r>
          </w:p>
        </w:tc>
      </w:tr>
      <w:tr w:rsidR="00E621EB" w14:paraId="3982FCB9" w14:textId="77777777" w:rsidTr="00B57064">
        <w:tc>
          <w:tcPr>
            <w:tcW w:w="2790" w:type="dxa"/>
            <w:tcBorders>
              <w:top w:val="single" w:sz="4" w:space="0" w:color="auto"/>
            </w:tcBorders>
          </w:tcPr>
          <w:p w14:paraId="7E0F7074" w14:textId="77777777" w:rsidR="00E621EB" w:rsidRPr="00CB0E4F" w:rsidRDefault="00E621EB" w:rsidP="00E621EB">
            <w:pPr>
              <w:spacing w:line="276" w:lineRule="auto"/>
              <w:rPr>
                <w:rFonts w:ascii="Aptos" w:hAnsi="Aptos"/>
                <w:b/>
                <w:bCs/>
              </w:rPr>
            </w:pPr>
            <w:r w:rsidRPr="00CB0E4F">
              <w:rPr>
                <w:rFonts w:ascii="Aptos" w:hAnsi="Aptos"/>
                <w:b/>
                <w:bCs/>
              </w:rPr>
              <w:t>Thalamus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315A0635" w14:textId="2352A3A8" w:rsidR="00E621EB" w:rsidRPr="00FF2158" w:rsidRDefault="00E621EB" w:rsidP="00E621EB">
            <w:pPr>
              <w:spacing w:line="276" w:lineRule="auto"/>
              <w:rPr>
                <w:rFonts w:ascii="Aptos" w:hAnsi="Aptos"/>
                <w:i/>
                <w:iCs/>
              </w:rPr>
            </w:pPr>
            <w:r w:rsidRPr="00FF2158">
              <w:rPr>
                <w:rFonts w:ascii="Aptos" w:hAnsi="Aptos"/>
                <w:i/>
                <w:iCs/>
              </w:rPr>
              <w:t>Mean volume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65ACE0AA" w14:textId="5925D102" w:rsidR="00E621EB" w:rsidRPr="009406E4" w:rsidRDefault="005D50D0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H(2)=0.29, p=0.87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3433C98D" w14:textId="74FA56C6" w:rsidR="00E621EB" w:rsidRPr="009406E4" w:rsidRDefault="005D50D0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H(1)=0.15, p=0.70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41C8005D" w14:textId="008C6EE8" w:rsidR="00E621EB" w:rsidRPr="009406E4" w:rsidRDefault="005D50D0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H(2)=3.57, p=0.17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30C2B6F8" w14:textId="33506E86" w:rsidR="00E621EB" w:rsidRPr="009406E4" w:rsidRDefault="00E621EB" w:rsidP="00E621EB">
            <w:pPr>
              <w:spacing w:line="276" w:lineRule="auto"/>
              <w:rPr>
                <w:rFonts w:ascii="Aptos" w:hAnsi="Aptos"/>
              </w:rPr>
            </w:pPr>
            <w:r w:rsidRPr="006478B8">
              <w:rPr>
                <w:rFonts w:ascii="Aptos" w:hAnsi="Aptos"/>
              </w:rPr>
              <w:t>H(1)=</w:t>
            </w:r>
            <w:r w:rsidR="003C4DA3">
              <w:rPr>
                <w:rFonts w:ascii="Aptos" w:hAnsi="Aptos"/>
              </w:rPr>
              <w:t>1.19, p=0.28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38F21100" w14:textId="14F56F9D" w:rsidR="00E621EB" w:rsidRPr="009406E4" w:rsidRDefault="003C4DA3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H(1)=1.93, p=0.17</w:t>
            </w:r>
          </w:p>
        </w:tc>
      </w:tr>
      <w:tr w:rsidR="00E621EB" w14:paraId="48C5D0BF" w14:textId="77777777" w:rsidTr="00B57064">
        <w:tc>
          <w:tcPr>
            <w:tcW w:w="2790" w:type="dxa"/>
            <w:tcBorders>
              <w:bottom w:val="single" w:sz="4" w:space="0" w:color="auto"/>
            </w:tcBorders>
          </w:tcPr>
          <w:p w14:paraId="7126293C" w14:textId="77777777" w:rsidR="00E621EB" w:rsidRPr="00CB0E4F" w:rsidRDefault="00E621EB" w:rsidP="00E621EB">
            <w:pPr>
              <w:spacing w:line="276" w:lineRule="auto"/>
              <w:rPr>
                <w:rFonts w:ascii="Aptos" w:hAnsi="Aptos"/>
                <w:b/>
                <w:b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008CF71" w14:textId="03228E1E" w:rsidR="00E621EB" w:rsidRPr="00FF2158" w:rsidRDefault="00E621EB" w:rsidP="00E621EB">
            <w:pPr>
              <w:spacing w:line="276" w:lineRule="auto"/>
              <w:rPr>
                <w:rFonts w:ascii="Aptos" w:hAnsi="Aptos"/>
                <w:i/>
                <w:iCs/>
              </w:rPr>
            </w:pPr>
            <w:r w:rsidRPr="00FF2158">
              <w:rPr>
                <w:rFonts w:ascii="Aptos" w:hAnsi="Aptos"/>
                <w:i/>
                <w:iCs/>
              </w:rPr>
              <w:t>Hedges’ g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D0B0A93" w14:textId="4679B125" w:rsidR="00E621EB" w:rsidRPr="009406E4" w:rsidRDefault="005D50D0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H(2)=1.14, p=0.57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BA19227" w14:textId="76BE6280" w:rsidR="00E621EB" w:rsidRPr="009406E4" w:rsidRDefault="005D50D0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H(1)=1.35, p=0.25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070B976" w14:textId="4A4C3FC3" w:rsidR="00E621EB" w:rsidRPr="009406E4" w:rsidRDefault="005D50D0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H(2)=3.57, p=0.17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F87AECC" w14:textId="5F042C6A" w:rsidR="00E621EB" w:rsidRPr="009406E4" w:rsidRDefault="00E621EB" w:rsidP="00E621EB">
            <w:pPr>
              <w:spacing w:line="276" w:lineRule="auto"/>
              <w:rPr>
                <w:rFonts w:ascii="Aptos" w:hAnsi="Aptos"/>
              </w:rPr>
            </w:pPr>
            <w:r w:rsidRPr="006478B8">
              <w:rPr>
                <w:rFonts w:ascii="Aptos" w:hAnsi="Aptos"/>
              </w:rPr>
              <w:t>H(1)=</w:t>
            </w:r>
            <w:r w:rsidR="003C4DA3">
              <w:rPr>
                <w:rFonts w:ascii="Aptos" w:hAnsi="Aptos"/>
              </w:rPr>
              <w:t>0.05, p=0.83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53499429" w14:textId="36E7AAA5" w:rsidR="00E621EB" w:rsidRPr="009406E4" w:rsidRDefault="003C4DA3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H(1)=0.86, p=0.35</w:t>
            </w:r>
          </w:p>
        </w:tc>
      </w:tr>
      <w:tr w:rsidR="00E621EB" w14:paraId="5BE3A02A" w14:textId="77777777" w:rsidTr="00B57064">
        <w:tc>
          <w:tcPr>
            <w:tcW w:w="2790" w:type="dxa"/>
            <w:tcBorders>
              <w:top w:val="single" w:sz="4" w:space="0" w:color="auto"/>
            </w:tcBorders>
          </w:tcPr>
          <w:p w14:paraId="67E5FFC8" w14:textId="77777777" w:rsidR="00E621EB" w:rsidRPr="00CB0E4F" w:rsidRDefault="00E621EB" w:rsidP="00E621EB">
            <w:pPr>
              <w:spacing w:line="276" w:lineRule="auto"/>
              <w:rPr>
                <w:rFonts w:ascii="Aptos" w:hAnsi="Aptos"/>
                <w:b/>
                <w:bCs/>
              </w:rPr>
            </w:pPr>
            <w:r w:rsidRPr="00CB0E4F">
              <w:rPr>
                <w:rFonts w:ascii="Aptos" w:hAnsi="Aptos"/>
                <w:b/>
                <w:bCs/>
              </w:rPr>
              <w:t>MUCCA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D929809" w14:textId="345D26DE" w:rsidR="00E621EB" w:rsidRPr="00FF2158" w:rsidRDefault="00E621EB" w:rsidP="00E621EB">
            <w:pPr>
              <w:spacing w:line="276" w:lineRule="auto"/>
              <w:rPr>
                <w:rFonts w:ascii="Aptos" w:hAnsi="Aptos"/>
                <w:i/>
                <w:iCs/>
              </w:rPr>
            </w:pPr>
            <w:r w:rsidRPr="00FF2158">
              <w:rPr>
                <w:rFonts w:ascii="Aptos" w:hAnsi="Aptos"/>
                <w:i/>
                <w:iCs/>
              </w:rPr>
              <w:t>Mean volume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7BDF7F30" w14:textId="3A0D2B3C" w:rsidR="00E621EB" w:rsidRPr="009406E4" w:rsidRDefault="00663D4C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H(1)=3.00, p=0.08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481F4042" w14:textId="0F04C297" w:rsidR="00E621EB" w:rsidRPr="009406E4" w:rsidRDefault="00663D4C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H(1)=1.35, p=0.25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71F10C80" w14:textId="673CC89A" w:rsidR="00E621EB" w:rsidRPr="009406E4" w:rsidRDefault="00C13067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H(1)=0.20, p=0.66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47797340" w14:textId="2DC2CF47" w:rsidR="00E621EB" w:rsidRPr="009406E4" w:rsidRDefault="00FE787D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-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194735B2" w14:textId="66F92B94" w:rsidR="00E621EB" w:rsidRPr="009406E4" w:rsidRDefault="004E3853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H(3)=3.57, p=0.31</w:t>
            </w:r>
          </w:p>
        </w:tc>
      </w:tr>
      <w:tr w:rsidR="00E621EB" w14:paraId="5B3C3A95" w14:textId="77777777" w:rsidTr="00B57064">
        <w:tc>
          <w:tcPr>
            <w:tcW w:w="2790" w:type="dxa"/>
            <w:tcBorders>
              <w:bottom w:val="single" w:sz="4" w:space="0" w:color="auto"/>
            </w:tcBorders>
          </w:tcPr>
          <w:p w14:paraId="4684556E" w14:textId="77777777" w:rsidR="00E621EB" w:rsidRPr="00CB0E4F" w:rsidRDefault="00E621EB" w:rsidP="00E621EB">
            <w:pPr>
              <w:spacing w:line="276" w:lineRule="auto"/>
              <w:rPr>
                <w:rFonts w:ascii="Aptos" w:hAnsi="Aptos"/>
                <w:b/>
                <w:b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DCE458F" w14:textId="5FB2D2CA" w:rsidR="00E621EB" w:rsidRPr="00FF2158" w:rsidRDefault="00E621EB" w:rsidP="00E621EB">
            <w:pPr>
              <w:spacing w:line="276" w:lineRule="auto"/>
              <w:rPr>
                <w:rFonts w:ascii="Aptos" w:hAnsi="Aptos"/>
                <w:i/>
                <w:iCs/>
              </w:rPr>
            </w:pPr>
            <w:r w:rsidRPr="00FF2158">
              <w:rPr>
                <w:rFonts w:ascii="Aptos" w:hAnsi="Aptos"/>
                <w:i/>
                <w:iCs/>
              </w:rPr>
              <w:t>Hedges’ g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D4F6EAB" w14:textId="4C8D1745" w:rsidR="00E621EB" w:rsidRPr="009406E4" w:rsidRDefault="00663D4C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H(1)=0.33, p=0.56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7B55694A" w14:textId="55890228" w:rsidR="00E621EB" w:rsidRPr="009406E4" w:rsidRDefault="00663D4C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H(1)=0.15, p=0.70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16B52D8D" w14:textId="49408CB6" w:rsidR="00E621EB" w:rsidRPr="009406E4" w:rsidRDefault="00C13067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H(1)=1.80, p=0.18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FA142D4" w14:textId="1FE39575" w:rsidR="00E621EB" w:rsidRPr="009406E4" w:rsidRDefault="00FE787D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-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288D993B" w14:textId="40467850" w:rsidR="00E621EB" w:rsidRPr="009406E4" w:rsidRDefault="004E3853" w:rsidP="00E621EB">
            <w:pPr>
              <w:spacing w:line="276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H(3)=4.71, p=0.19</w:t>
            </w:r>
          </w:p>
        </w:tc>
      </w:tr>
    </w:tbl>
    <w:p w14:paraId="30A05147" w14:textId="77777777" w:rsidR="00CB0851" w:rsidRDefault="00CB0851" w:rsidP="00CB0851">
      <w:pPr>
        <w:spacing w:line="276" w:lineRule="auto"/>
        <w:jc w:val="both"/>
        <w:rPr>
          <w:rFonts w:ascii="Aptos" w:hAnsi="Aptos"/>
          <w:b/>
          <w:bCs/>
        </w:rPr>
      </w:pPr>
    </w:p>
    <w:p w14:paraId="491F9DCE" w14:textId="77777777" w:rsidR="00CB0851" w:rsidRDefault="00CB0851">
      <w:pPr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br w:type="page"/>
      </w:r>
    </w:p>
    <w:p w14:paraId="70EEB458" w14:textId="77777777" w:rsidR="00A365CD" w:rsidRDefault="00A365CD" w:rsidP="00246146">
      <w:pPr>
        <w:spacing w:after="0" w:line="276" w:lineRule="auto"/>
        <w:jc w:val="both"/>
        <w:rPr>
          <w:rFonts w:ascii="Aptos" w:hAnsi="Aptos"/>
          <w:b/>
          <w:bCs/>
          <w:sz w:val="28"/>
          <w:szCs w:val="28"/>
        </w:rPr>
        <w:sectPr w:rsidR="00A365CD" w:rsidSect="00A365CD"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</w:p>
    <w:p w14:paraId="09AD86E3" w14:textId="4BC469E7" w:rsidR="009072EB" w:rsidRDefault="00246146" w:rsidP="00246146">
      <w:pPr>
        <w:spacing w:after="0" w:line="276" w:lineRule="auto"/>
        <w:jc w:val="both"/>
        <w:rPr>
          <w:rFonts w:ascii="Aptos" w:hAnsi="Aptos"/>
          <w:b/>
          <w:bCs/>
          <w:sz w:val="28"/>
          <w:szCs w:val="28"/>
        </w:rPr>
      </w:pPr>
      <w:r w:rsidRPr="00246146">
        <w:rPr>
          <w:rFonts w:ascii="Aptos" w:hAnsi="Aptos"/>
          <w:b/>
          <w:bCs/>
          <w:sz w:val="28"/>
          <w:szCs w:val="28"/>
        </w:rPr>
        <w:lastRenderedPageBreak/>
        <w:t xml:space="preserve">Supplementary </w:t>
      </w:r>
      <w:r>
        <w:rPr>
          <w:rFonts w:ascii="Aptos" w:hAnsi="Aptos"/>
          <w:b/>
          <w:bCs/>
          <w:sz w:val="28"/>
          <w:szCs w:val="28"/>
        </w:rPr>
        <w:t>Figures</w:t>
      </w:r>
    </w:p>
    <w:p w14:paraId="5CE405AC" w14:textId="77777777" w:rsidR="009072EB" w:rsidRDefault="009072EB" w:rsidP="00246146">
      <w:pPr>
        <w:spacing w:after="0" w:line="276" w:lineRule="auto"/>
        <w:jc w:val="both"/>
        <w:rPr>
          <w:rFonts w:ascii="Aptos" w:hAnsi="Aptos"/>
          <w:b/>
          <w:bCs/>
          <w:sz w:val="28"/>
          <w:szCs w:val="28"/>
        </w:rPr>
      </w:pPr>
    </w:p>
    <w:p w14:paraId="66726B55" w14:textId="77777777" w:rsidR="00CB0851" w:rsidRDefault="00CB0851" w:rsidP="00246146">
      <w:pPr>
        <w:spacing w:after="0" w:line="276" w:lineRule="auto"/>
        <w:jc w:val="both"/>
        <w:rPr>
          <w:rFonts w:ascii="Aptos" w:hAnsi="Aptos"/>
          <w:b/>
          <w:bCs/>
          <w:sz w:val="28"/>
          <w:szCs w:val="28"/>
        </w:rPr>
      </w:pPr>
    </w:p>
    <w:p w14:paraId="3B37B502" w14:textId="6327E5D7" w:rsidR="009C52DF" w:rsidRDefault="009C52DF" w:rsidP="00246146">
      <w:pPr>
        <w:spacing w:after="0" w:line="276" w:lineRule="auto"/>
        <w:jc w:val="both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noProof/>
          <w:sz w:val="28"/>
          <w:szCs w:val="28"/>
        </w:rPr>
        <w:drawing>
          <wp:inline distT="0" distB="0" distL="0" distR="0" wp14:anchorId="4119782F" wp14:editId="5C703A6F">
            <wp:extent cx="5760720" cy="2398395"/>
            <wp:effectExtent l="19050" t="19050" r="11430" b="20955"/>
            <wp:docPr id="172910268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983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9A4EB7E" w14:textId="77777777" w:rsidR="009072EB" w:rsidRDefault="009072EB" w:rsidP="009072EB">
      <w:pPr>
        <w:spacing w:after="0" w:line="276" w:lineRule="auto"/>
        <w:jc w:val="both"/>
        <w:rPr>
          <w:rFonts w:ascii="Aptos" w:hAnsi="Aptos"/>
          <w:b/>
          <w:bCs/>
        </w:rPr>
      </w:pPr>
    </w:p>
    <w:p w14:paraId="57FAE73C" w14:textId="77777777" w:rsidR="009C52DF" w:rsidRDefault="009C52DF" w:rsidP="009C52DF">
      <w:pPr>
        <w:spacing w:after="0" w:line="276" w:lineRule="auto"/>
        <w:jc w:val="both"/>
        <w:rPr>
          <w:rFonts w:ascii="Aptos" w:hAnsi="Aptos"/>
          <w:b/>
          <w:bCs/>
        </w:rPr>
      </w:pPr>
    </w:p>
    <w:p w14:paraId="79B0FC81" w14:textId="0CA95A53" w:rsidR="009072EB" w:rsidRDefault="009072EB" w:rsidP="009072EB">
      <w:pPr>
        <w:spacing w:line="276" w:lineRule="auto"/>
        <w:jc w:val="both"/>
        <w:rPr>
          <w:rFonts w:ascii="Aptos" w:hAnsi="Aptos"/>
        </w:rPr>
      </w:pPr>
      <w:r w:rsidRPr="007947C3">
        <w:rPr>
          <w:rFonts w:ascii="Aptos" w:hAnsi="Aptos"/>
          <w:b/>
          <w:bCs/>
        </w:rPr>
        <w:t xml:space="preserve">Fig S1. Extended forest plot for meta-analysis of whole brain volume. </w:t>
      </w:r>
      <w:r w:rsidRPr="007947C3">
        <w:rPr>
          <w:rFonts w:ascii="Aptos" w:hAnsi="Aptos"/>
          <w:color w:val="000000" w:themeColor="text1"/>
        </w:rPr>
        <w:t xml:space="preserve">Forest plot showing the effect sizes of each study (squares) with their corresponding confidence intervals (horizontal lines) and overall pooled effect size of the meta-analysis (diamond). </w:t>
      </w:r>
      <w:r w:rsidRPr="007947C3">
        <w:rPr>
          <w:rFonts w:ascii="Aptos" w:hAnsi="Aptos"/>
        </w:rPr>
        <w:t>Abbreviations: CI – confidence interval, SD – standard deviation, SMD – standardised mean difference.</w:t>
      </w:r>
    </w:p>
    <w:p w14:paraId="0307A669" w14:textId="77777777" w:rsidR="00CB0851" w:rsidRDefault="00CB0851" w:rsidP="009072EB">
      <w:pPr>
        <w:spacing w:line="276" w:lineRule="auto"/>
        <w:jc w:val="both"/>
        <w:rPr>
          <w:rFonts w:ascii="Aptos" w:hAnsi="Aptos"/>
        </w:rPr>
      </w:pPr>
    </w:p>
    <w:p w14:paraId="7D4A12FC" w14:textId="77777777" w:rsidR="00CB0851" w:rsidRPr="009072EB" w:rsidRDefault="00CB0851" w:rsidP="009072EB">
      <w:pPr>
        <w:spacing w:line="276" w:lineRule="auto"/>
        <w:jc w:val="both"/>
        <w:rPr>
          <w:rFonts w:ascii="Aptos" w:hAnsi="Aptos"/>
        </w:rPr>
      </w:pPr>
    </w:p>
    <w:p w14:paraId="7666EE12" w14:textId="77777777" w:rsidR="003259CE" w:rsidRDefault="003259CE">
      <w:pPr>
        <w:rPr>
          <w:rFonts w:ascii="Aptos" w:hAnsi="Aptos"/>
          <w:b/>
          <w:bCs/>
          <w:lang w:val="de-DE"/>
        </w:rPr>
      </w:pPr>
      <w:r>
        <w:rPr>
          <w:rFonts w:ascii="Aptos" w:hAnsi="Aptos"/>
          <w:b/>
          <w:bCs/>
          <w:lang w:val="de-DE"/>
        </w:rPr>
        <w:br w:type="page"/>
      </w:r>
    </w:p>
    <w:p w14:paraId="70DDC289" w14:textId="3FDB7A9A" w:rsidR="009072EB" w:rsidRDefault="009C52DF" w:rsidP="009072EB">
      <w:pPr>
        <w:spacing w:after="0" w:line="276" w:lineRule="auto"/>
        <w:jc w:val="both"/>
        <w:rPr>
          <w:rFonts w:ascii="Aptos" w:hAnsi="Aptos"/>
          <w:b/>
          <w:bCs/>
          <w:lang w:val="de-DE"/>
        </w:rPr>
      </w:pPr>
      <w:r>
        <w:rPr>
          <w:rFonts w:ascii="Aptos" w:hAnsi="Aptos"/>
          <w:b/>
          <w:bCs/>
          <w:noProof/>
          <w:lang w:val="de-DE"/>
        </w:rPr>
        <w:lastRenderedPageBreak/>
        <w:drawing>
          <wp:inline distT="0" distB="0" distL="0" distR="0" wp14:anchorId="574C6A59" wp14:editId="7DD0BEF0">
            <wp:extent cx="5753735" cy="2194560"/>
            <wp:effectExtent l="19050" t="19050" r="18415" b="15240"/>
            <wp:docPr id="183278167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1945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9A64108" w14:textId="77777777" w:rsidR="009C52DF" w:rsidRPr="009072EB" w:rsidRDefault="009C52DF" w:rsidP="009072EB">
      <w:pPr>
        <w:spacing w:after="0" w:line="276" w:lineRule="auto"/>
        <w:jc w:val="both"/>
        <w:rPr>
          <w:rFonts w:ascii="Aptos" w:hAnsi="Aptos"/>
          <w:b/>
          <w:bCs/>
          <w:lang w:val="de-DE"/>
        </w:rPr>
      </w:pPr>
    </w:p>
    <w:p w14:paraId="60915856" w14:textId="4E253223" w:rsidR="009072EB" w:rsidRDefault="009072EB" w:rsidP="009072EB">
      <w:pPr>
        <w:spacing w:after="0" w:line="276" w:lineRule="auto"/>
        <w:jc w:val="both"/>
        <w:rPr>
          <w:rFonts w:ascii="Aptos" w:hAnsi="Aptos"/>
          <w:b/>
          <w:bCs/>
          <w:lang w:val="de-DE"/>
        </w:rPr>
      </w:pPr>
    </w:p>
    <w:p w14:paraId="455F0F7F" w14:textId="52FAF9D2" w:rsidR="009072EB" w:rsidRDefault="009072EB" w:rsidP="009072EB">
      <w:pPr>
        <w:spacing w:line="276" w:lineRule="auto"/>
        <w:jc w:val="both"/>
        <w:rPr>
          <w:rFonts w:ascii="Aptos" w:hAnsi="Aptos"/>
        </w:rPr>
      </w:pPr>
      <w:r w:rsidRPr="007947C3">
        <w:rPr>
          <w:rFonts w:ascii="Aptos" w:hAnsi="Aptos"/>
          <w:b/>
          <w:bCs/>
        </w:rPr>
        <w:t xml:space="preserve">Fig S2. Extended forest plot for meta-analysis of </w:t>
      </w:r>
      <w:r w:rsidR="00362E20">
        <w:rPr>
          <w:rFonts w:ascii="Aptos" w:hAnsi="Aptos"/>
          <w:b/>
          <w:bCs/>
        </w:rPr>
        <w:t>total</w:t>
      </w:r>
      <w:r w:rsidRPr="007947C3">
        <w:rPr>
          <w:rFonts w:ascii="Aptos" w:hAnsi="Aptos"/>
          <w:b/>
          <w:bCs/>
        </w:rPr>
        <w:t xml:space="preserve"> grey matter volume.</w:t>
      </w:r>
      <w:r w:rsidRPr="007947C3">
        <w:rPr>
          <w:rFonts w:ascii="Aptos" w:hAnsi="Aptos"/>
        </w:rPr>
        <w:t xml:space="preserve"> </w:t>
      </w:r>
      <w:r w:rsidRPr="007947C3">
        <w:rPr>
          <w:rFonts w:ascii="Aptos" w:hAnsi="Aptos"/>
          <w:color w:val="000000" w:themeColor="text1"/>
        </w:rPr>
        <w:t xml:space="preserve">Forest plot showing the effect sizes of each study (squares) with their corresponding confidence intervals (horizontal lines) and overall pooled effect size of the meta-analysis (diamond). </w:t>
      </w:r>
      <w:r w:rsidRPr="007947C3">
        <w:rPr>
          <w:rFonts w:ascii="Aptos" w:hAnsi="Aptos"/>
        </w:rPr>
        <w:t>Abbreviations: CI – confidence interval, SD – standard deviation, SMD – standardised mean difference.</w:t>
      </w:r>
    </w:p>
    <w:p w14:paraId="70EFF664" w14:textId="77777777" w:rsidR="009072EB" w:rsidRDefault="009072EB" w:rsidP="009072EB">
      <w:pPr>
        <w:spacing w:line="276" w:lineRule="auto"/>
        <w:jc w:val="both"/>
        <w:rPr>
          <w:rFonts w:ascii="Aptos" w:hAnsi="Aptos"/>
          <w:color w:val="000000" w:themeColor="text1"/>
        </w:rPr>
      </w:pPr>
    </w:p>
    <w:p w14:paraId="22538850" w14:textId="77777777" w:rsidR="009072EB" w:rsidRPr="009072EB" w:rsidRDefault="009072EB" w:rsidP="009072EB">
      <w:pPr>
        <w:spacing w:line="276" w:lineRule="auto"/>
        <w:jc w:val="both"/>
        <w:rPr>
          <w:rFonts w:ascii="Aptos" w:hAnsi="Aptos"/>
          <w:color w:val="000000" w:themeColor="text1"/>
        </w:rPr>
      </w:pPr>
    </w:p>
    <w:p w14:paraId="47717991" w14:textId="77777777" w:rsidR="003259CE" w:rsidRDefault="003259CE">
      <w:pPr>
        <w:rPr>
          <w:rFonts w:ascii="Aptos" w:hAnsi="Aptos"/>
          <w:b/>
          <w:bCs/>
          <w:lang w:val="de-DE"/>
        </w:rPr>
      </w:pPr>
      <w:r>
        <w:rPr>
          <w:rFonts w:ascii="Aptos" w:hAnsi="Aptos"/>
          <w:b/>
          <w:bCs/>
          <w:lang w:val="de-DE"/>
        </w:rPr>
        <w:br w:type="page"/>
      </w:r>
    </w:p>
    <w:p w14:paraId="7181FCF8" w14:textId="6B069C01" w:rsidR="009072EB" w:rsidRDefault="009C52DF" w:rsidP="009072EB">
      <w:pPr>
        <w:spacing w:after="0" w:line="276" w:lineRule="auto"/>
        <w:jc w:val="both"/>
        <w:rPr>
          <w:rFonts w:ascii="Aptos" w:hAnsi="Aptos"/>
          <w:b/>
          <w:bCs/>
          <w:lang w:val="de-DE"/>
        </w:rPr>
      </w:pPr>
      <w:r>
        <w:rPr>
          <w:rFonts w:ascii="Aptos" w:hAnsi="Aptos"/>
          <w:b/>
          <w:bCs/>
          <w:noProof/>
          <w:lang w:val="de-DE"/>
        </w:rPr>
        <w:lastRenderedPageBreak/>
        <w:drawing>
          <wp:inline distT="0" distB="0" distL="0" distR="0" wp14:anchorId="2F26D63C" wp14:editId="2CAB1BE0">
            <wp:extent cx="5753735" cy="4234180"/>
            <wp:effectExtent l="19050" t="19050" r="18415" b="13970"/>
            <wp:docPr id="24782638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42341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5A5C97C" w14:textId="77777777" w:rsidR="009C52DF" w:rsidRPr="009072EB" w:rsidRDefault="009C52DF" w:rsidP="009072EB">
      <w:pPr>
        <w:spacing w:after="0" w:line="276" w:lineRule="auto"/>
        <w:jc w:val="both"/>
        <w:rPr>
          <w:rFonts w:ascii="Aptos" w:hAnsi="Aptos"/>
          <w:b/>
          <w:bCs/>
          <w:lang w:val="de-DE"/>
        </w:rPr>
      </w:pPr>
    </w:p>
    <w:p w14:paraId="2F111E67" w14:textId="77777777" w:rsidR="009072EB" w:rsidRDefault="009072EB" w:rsidP="009072EB">
      <w:pPr>
        <w:spacing w:after="0" w:line="276" w:lineRule="auto"/>
        <w:jc w:val="both"/>
        <w:rPr>
          <w:rFonts w:ascii="Aptos" w:hAnsi="Aptos"/>
          <w:b/>
          <w:bCs/>
          <w:lang w:val="de-DE"/>
        </w:rPr>
      </w:pPr>
    </w:p>
    <w:p w14:paraId="5240ADB1" w14:textId="6D63EA4C" w:rsidR="009072EB" w:rsidRPr="007947C3" w:rsidRDefault="009072EB" w:rsidP="009072EB">
      <w:pPr>
        <w:spacing w:line="276" w:lineRule="auto"/>
        <w:jc w:val="both"/>
        <w:rPr>
          <w:rFonts w:ascii="Aptos" w:hAnsi="Aptos"/>
          <w:color w:val="000000" w:themeColor="text1"/>
        </w:rPr>
      </w:pPr>
      <w:r w:rsidRPr="007947C3">
        <w:rPr>
          <w:rFonts w:ascii="Aptos" w:hAnsi="Aptos"/>
          <w:b/>
          <w:bCs/>
        </w:rPr>
        <w:t xml:space="preserve">Fig S3. Extended forest plot for meta-analysis of </w:t>
      </w:r>
      <w:r w:rsidR="00E1309E">
        <w:rPr>
          <w:rFonts w:ascii="Aptos" w:hAnsi="Aptos"/>
          <w:b/>
          <w:bCs/>
        </w:rPr>
        <w:t>total</w:t>
      </w:r>
      <w:r w:rsidRPr="007947C3">
        <w:rPr>
          <w:rFonts w:ascii="Aptos" w:hAnsi="Aptos"/>
          <w:b/>
          <w:bCs/>
        </w:rPr>
        <w:t xml:space="preserve"> white matter volume.</w:t>
      </w:r>
      <w:r w:rsidRPr="007947C3">
        <w:rPr>
          <w:rFonts w:ascii="Aptos" w:hAnsi="Aptos"/>
        </w:rPr>
        <w:t xml:space="preserve"> </w:t>
      </w:r>
      <w:r w:rsidRPr="007947C3">
        <w:rPr>
          <w:rFonts w:ascii="Aptos" w:hAnsi="Aptos"/>
          <w:b/>
          <w:bCs/>
          <w:color w:val="000000" w:themeColor="text1"/>
        </w:rPr>
        <w:t xml:space="preserve">(A) </w:t>
      </w:r>
      <w:r w:rsidRPr="007947C3">
        <w:rPr>
          <w:rFonts w:ascii="Aptos" w:hAnsi="Aptos"/>
          <w:color w:val="000000" w:themeColor="text1"/>
        </w:rPr>
        <w:t xml:space="preserve">Forest plot before correction for small study effects. </w:t>
      </w:r>
      <w:r w:rsidRPr="007947C3">
        <w:rPr>
          <w:rFonts w:ascii="Aptos" w:hAnsi="Aptos"/>
          <w:b/>
          <w:bCs/>
          <w:color w:val="000000" w:themeColor="text1"/>
        </w:rPr>
        <w:t xml:space="preserve">(B) </w:t>
      </w:r>
      <w:r w:rsidRPr="007947C3">
        <w:rPr>
          <w:rFonts w:ascii="Aptos" w:hAnsi="Aptos"/>
          <w:color w:val="000000" w:themeColor="text1"/>
        </w:rPr>
        <w:t xml:space="preserve">Funnel plot of </w:t>
      </w:r>
      <w:r>
        <w:rPr>
          <w:rFonts w:ascii="Aptos" w:hAnsi="Aptos"/>
          <w:color w:val="000000" w:themeColor="text1"/>
        </w:rPr>
        <w:t xml:space="preserve">whole brain </w:t>
      </w:r>
      <w:r w:rsidRPr="007947C3">
        <w:rPr>
          <w:rFonts w:ascii="Aptos" w:hAnsi="Aptos"/>
          <w:color w:val="000000" w:themeColor="text1"/>
        </w:rPr>
        <w:t xml:space="preserve">white matter volume SMD after correction for small-study effects. </w:t>
      </w:r>
      <w:r w:rsidRPr="007947C3">
        <w:rPr>
          <w:rFonts w:ascii="Aptos" w:hAnsi="Aptos"/>
          <w:b/>
          <w:bCs/>
          <w:color w:val="000000" w:themeColor="text1"/>
        </w:rPr>
        <w:t xml:space="preserve">(C) </w:t>
      </w:r>
      <w:r w:rsidRPr="007947C3">
        <w:rPr>
          <w:rFonts w:ascii="Aptos" w:hAnsi="Aptos"/>
          <w:color w:val="000000" w:themeColor="text1"/>
        </w:rPr>
        <w:t>Forest plot after correction using the</w:t>
      </w:r>
      <w:r w:rsidRPr="007947C3">
        <w:rPr>
          <w:rFonts w:ascii="Aptos" w:hAnsi="Aptos"/>
        </w:rPr>
        <w:t xml:space="preserve"> Duval and Tweedie trim and fill method.</w:t>
      </w:r>
      <w:r w:rsidRPr="007947C3">
        <w:rPr>
          <w:rFonts w:ascii="Aptos" w:hAnsi="Aptos"/>
          <w:color w:val="000000" w:themeColor="text1"/>
        </w:rPr>
        <w:t xml:space="preserve"> </w:t>
      </w:r>
      <w:r w:rsidRPr="007947C3">
        <w:rPr>
          <w:rFonts w:ascii="Aptos" w:hAnsi="Aptos"/>
        </w:rPr>
        <w:t>Abbreviations: CI – confidence interval, SD – standard deviation, SMD – standardised mean difference.</w:t>
      </w:r>
    </w:p>
    <w:p w14:paraId="0BB2ABB8" w14:textId="77777777" w:rsidR="009072EB" w:rsidRDefault="009072EB" w:rsidP="009072EB">
      <w:pPr>
        <w:spacing w:line="276" w:lineRule="auto"/>
        <w:jc w:val="both"/>
        <w:rPr>
          <w:rFonts w:ascii="Aptos" w:hAnsi="Aptos"/>
          <w:b/>
          <w:bCs/>
          <w:lang w:val="de-DE"/>
        </w:rPr>
      </w:pPr>
    </w:p>
    <w:p w14:paraId="6DD467C1" w14:textId="77777777" w:rsidR="009072EB" w:rsidRDefault="009072EB" w:rsidP="009072EB">
      <w:pPr>
        <w:spacing w:line="276" w:lineRule="auto"/>
        <w:jc w:val="both"/>
        <w:rPr>
          <w:rFonts w:ascii="Aptos" w:hAnsi="Aptos"/>
          <w:b/>
          <w:bCs/>
          <w:lang w:val="de-DE"/>
        </w:rPr>
      </w:pPr>
    </w:p>
    <w:p w14:paraId="405CE45F" w14:textId="77777777" w:rsidR="003259CE" w:rsidRDefault="003259CE">
      <w:pPr>
        <w:rPr>
          <w:rFonts w:ascii="Aptos" w:hAnsi="Aptos"/>
          <w:b/>
          <w:bCs/>
          <w:lang w:val="de-DE"/>
        </w:rPr>
      </w:pPr>
      <w:r>
        <w:rPr>
          <w:rFonts w:ascii="Aptos" w:hAnsi="Aptos"/>
          <w:b/>
          <w:bCs/>
          <w:lang w:val="de-DE"/>
        </w:rPr>
        <w:br w:type="page"/>
      </w:r>
    </w:p>
    <w:p w14:paraId="6C23CF42" w14:textId="0CB33B4E" w:rsidR="009072EB" w:rsidRDefault="009C52DF" w:rsidP="009072EB">
      <w:pPr>
        <w:spacing w:after="0" w:line="276" w:lineRule="auto"/>
        <w:jc w:val="both"/>
        <w:rPr>
          <w:rFonts w:ascii="Aptos" w:hAnsi="Aptos"/>
          <w:b/>
          <w:bCs/>
          <w:lang w:val="de-DE"/>
        </w:rPr>
      </w:pPr>
      <w:r>
        <w:rPr>
          <w:rFonts w:ascii="Aptos" w:hAnsi="Aptos"/>
          <w:b/>
          <w:bCs/>
          <w:noProof/>
          <w:lang w:val="de-DE"/>
        </w:rPr>
        <w:lastRenderedPageBreak/>
        <w:drawing>
          <wp:inline distT="0" distB="0" distL="0" distR="0" wp14:anchorId="49666E6B" wp14:editId="61756D92">
            <wp:extent cx="5760720" cy="4290695"/>
            <wp:effectExtent l="19050" t="19050" r="11430" b="14605"/>
            <wp:docPr id="158767405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906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9867FBB" w14:textId="77777777" w:rsidR="009C52DF" w:rsidRDefault="009C52DF" w:rsidP="009072EB">
      <w:pPr>
        <w:spacing w:after="0" w:line="276" w:lineRule="auto"/>
        <w:jc w:val="both"/>
        <w:rPr>
          <w:rFonts w:ascii="Aptos" w:hAnsi="Aptos"/>
          <w:b/>
          <w:bCs/>
          <w:lang w:val="de-DE"/>
        </w:rPr>
      </w:pPr>
    </w:p>
    <w:p w14:paraId="61B05D85" w14:textId="77777777" w:rsidR="009072EB" w:rsidRDefault="009072EB" w:rsidP="009072EB">
      <w:pPr>
        <w:spacing w:after="0" w:line="276" w:lineRule="auto"/>
        <w:jc w:val="both"/>
        <w:rPr>
          <w:rFonts w:ascii="Aptos" w:hAnsi="Aptos"/>
          <w:b/>
          <w:bCs/>
          <w:lang w:val="de-DE"/>
        </w:rPr>
      </w:pPr>
    </w:p>
    <w:p w14:paraId="3515BF6E" w14:textId="77777777" w:rsidR="009072EB" w:rsidRDefault="009072EB" w:rsidP="009072EB">
      <w:pPr>
        <w:spacing w:line="276" w:lineRule="auto"/>
        <w:jc w:val="both"/>
        <w:rPr>
          <w:rFonts w:ascii="Aptos" w:hAnsi="Aptos"/>
        </w:rPr>
      </w:pPr>
      <w:r w:rsidRPr="007947C3">
        <w:rPr>
          <w:rFonts w:ascii="Aptos" w:hAnsi="Aptos"/>
          <w:b/>
          <w:bCs/>
        </w:rPr>
        <w:t>Fig S4. Extended forest plot for meta-analysis of thalamus volume.</w:t>
      </w:r>
      <w:r w:rsidRPr="007947C3">
        <w:rPr>
          <w:rFonts w:ascii="Aptos" w:hAnsi="Aptos"/>
        </w:rPr>
        <w:t xml:space="preserve"> </w:t>
      </w:r>
      <w:r w:rsidRPr="007947C3">
        <w:rPr>
          <w:rFonts w:ascii="Aptos" w:hAnsi="Aptos"/>
          <w:b/>
          <w:bCs/>
          <w:color w:val="000000" w:themeColor="text1"/>
        </w:rPr>
        <w:t xml:space="preserve">(A) </w:t>
      </w:r>
      <w:r w:rsidRPr="007947C3">
        <w:rPr>
          <w:rFonts w:ascii="Aptos" w:hAnsi="Aptos"/>
          <w:color w:val="000000" w:themeColor="text1"/>
        </w:rPr>
        <w:t xml:space="preserve">Forest plot showing the effect sizes of each study (squares) with their corresponding confidence intervals (horizontal lines) and overall pooled effect size of the meta-analysis (diamond). </w:t>
      </w:r>
      <w:r w:rsidRPr="007947C3">
        <w:rPr>
          <w:rFonts w:ascii="Aptos" w:hAnsi="Aptos"/>
          <w:b/>
          <w:bCs/>
          <w:color w:val="000000" w:themeColor="text1"/>
        </w:rPr>
        <w:t xml:space="preserve">(B) </w:t>
      </w:r>
      <w:r w:rsidRPr="007947C3">
        <w:rPr>
          <w:rFonts w:ascii="Aptos" w:hAnsi="Aptos"/>
          <w:color w:val="000000" w:themeColor="text1"/>
        </w:rPr>
        <w:t xml:space="preserve">Funnel plot of thalamus SMD. </w:t>
      </w:r>
      <w:r w:rsidRPr="007947C3">
        <w:rPr>
          <w:rFonts w:ascii="Aptos" w:hAnsi="Aptos"/>
        </w:rPr>
        <w:t>Abbreviations: CI – confidence interval, SD – standard deviation, SMD – standardised mean difference.</w:t>
      </w:r>
    </w:p>
    <w:p w14:paraId="13A218D7" w14:textId="77777777" w:rsidR="009072EB" w:rsidRDefault="009072EB" w:rsidP="009072EB">
      <w:pPr>
        <w:spacing w:line="276" w:lineRule="auto"/>
        <w:jc w:val="both"/>
        <w:rPr>
          <w:rFonts w:ascii="Aptos" w:hAnsi="Aptos"/>
        </w:rPr>
      </w:pPr>
    </w:p>
    <w:p w14:paraId="022F6E3A" w14:textId="77777777" w:rsidR="00CB0851" w:rsidRDefault="00CB0851" w:rsidP="009072EB">
      <w:pPr>
        <w:spacing w:line="276" w:lineRule="auto"/>
        <w:jc w:val="both"/>
        <w:rPr>
          <w:rFonts w:ascii="Aptos" w:hAnsi="Aptos"/>
        </w:rPr>
      </w:pPr>
    </w:p>
    <w:p w14:paraId="3383A457" w14:textId="77777777" w:rsidR="003259CE" w:rsidRDefault="003259CE">
      <w:pPr>
        <w:rPr>
          <w:rFonts w:ascii="Aptos" w:hAnsi="Aptos"/>
          <w:b/>
          <w:bCs/>
          <w:lang w:val="de-DE"/>
        </w:rPr>
      </w:pPr>
      <w:r>
        <w:rPr>
          <w:rFonts w:ascii="Aptos" w:hAnsi="Aptos"/>
          <w:b/>
          <w:bCs/>
          <w:lang w:val="de-DE"/>
        </w:rPr>
        <w:br w:type="page"/>
      </w:r>
    </w:p>
    <w:p w14:paraId="11F0C630" w14:textId="02362E2A" w:rsidR="009072EB" w:rsidRDefault="009C52DF" w:rsidP="009072EB">
      <w:pPr>
        <w:spacing w:line="276" w:lineRule="auto"/>
        <w:jc w:val="both"/>
        <w:rPr>
          <w:rFonts w:ascii="Aptos" w:hAnsi="Aptos"/>
          <w:b/>
          <w:bCs/>
          <w:lang w:val="de-DE"/>
        </w:rPr>
      </w:pPr>
      <w:r>
        <w:rPr>
          <w:rFonts w:ascii="Aptos" w:hAnsi="Aptos"/>
          <w:b/>
          <w:bCs/>
          <w:noProof/>
          <w:lang w:val="de-DE"/>
        </w:rPr>
        <w:lastRenderedPageBreak/>
        <w:drawing>
          <wp:inline distT="0" distB="0" distL="0" distR="0" wp14:anchorId="0A9D58A6" wp14:editId="4F85D604">
            <wp:extent cx="5753735" cy="2138045"/>
            <wp:effectExtent l="19050" t="19050" r="18415" b="14605"/>
            <wp:docPr id="38907449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1380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3672AF2F" w14:textId="77777777" w:rsidR="009072EB" w:rsidRDefault="009072EB" w:rsidP="009072EB">
      <w:pPr>
        <w:spacing w:after="0" w:line="276" w:lineRule="auto"/>
        <w:jc w:val="both"/>
        <w:rPr>
          <w:rFonts w:ascii="Aptos" w:hAnsi="Aptos"/>
          <w:b/>
          <w:bCs/>
          <w:lang w:val="de-DE"/>
        </w:rPr>
      </w:pPr>
    </w:p>
    <w:p w14:paraId="672B9219" w14:textId="77777777" w:rsidR="009072EB" w:rsidRPr="00B004BF" w:rsidRDefault="009072EB" w:rsidP="009072EB">
      <w:pPr>
        <w:spacing w:line="276" w:lineRule="auto"/>
        <w:jc w:val="both"/>
        <w:rPr>
          <w:rFonts w:ascii="Aptos" w:hAnsi="Aptos"/>
          <w:color w:val="000000" w:themeColor="text1"/>
        </w:rPr>
      </w:pPr>
      <w:r w:rsidRPr="007947C3">
        <w:rPr>
          <w:rFonts w:ascii="Aptos" w:hAnsi="Aptos"/>
          <w:b/>
          <w:bCs/>
        </w:rPr>
        <w:t>Fig S5. Extended forest plot for meta-analysis of the mean upper cervical cord area (MUCCA).</w:t>
      </w:r>
      <w:r w:rsidRPr="007947C3">
        <w:rPr>
          <w:rFonts w:ascii="Aptos" w:hAnsi="Aptos"/>
        </w:rPr>
        <w:t xml:space="preserve"> </w:t>
      </w:r>
      <w:r w:rsidRPr="007947C3">
        <w:rPr>
          <w:rFonts w:ascii="Aptos" w:hAnsi="Aptos"/>
          <w:color w:val="000000" w:themeColor="text1"/>
        </w:rPr>
        <w:t xml:space="preserve">Forest plot showing the effect sizes of each study (squares) with their corresponding confidence intervals (horizontal lines) and overall pooled effect size of the meta-analysis (diamond). </w:t>
      </w:r>
      <w:r w:rsidRPr="007947C3">
        <w:rPr>
          <w:rFonts w:ascii="Aptos" w:hAnsi="Aptos"/>
        </w:rPr>
        <w:t>Abbreviations: CI – confidence interval, SD – standard deviation, SMD – standardised mean difference.</w:t>
      </w:r>
    </w:p>
    <w:p w14:paraId="6B68D27F" w14:textId="77777777" w:rsidR="00246146" w:rsidRDefault="00246146" w:rsidP="00246146">
      <w:pPr>
        <w:spacing w:line="276" w:lineRule="auto"/>
        <w:jc w:val="both"/>
        <w:rPr>
          <w:rFonts w:ascii="Aptos" w:hAnsi="Aptos"/>
          <w:b/>
          <w:bCs/>
        </w:rPr>
      </w:pPr>
    </w:p>
    <w:p w14:paraId="44010416" w14:textId="77777777" w:rsidR="009072EB" w:rsidRDefault="009072EB" w:rsidP="00246146">
      <w:pPr>
        <w:spacing w:line="276" w:lineRule="auto"/>
        <w:jc w:val="both"/>
        <w:rPr>
          <w:rFonts w:ascii="Aptos" w:hAnsi="Aptos"/>
          <w:b/>
          <w:bCs/>
        </w:rPr>
      </w:pPr>
    </w:p>
    <w:p w14:paraId="38A99713" w14:textId="77777777" w:rsidR="00BC15E7" w:rsidRDefault="00BC15E7"/>
    <w:p w14:paraId="1B01770E" w14:textId="77777777" w:rsidR="00246146" w:rsidRDefault="00246146"/>
    <w:sectPr w:rsidR="00246146" w:rsidSect="00A365C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B67EF" w14:textId="77777777" w:rsidR="00AF44D9" w:rsidRDefault="00AF44D9" w:rsidP="002476C4">
      <w:pPr>
        <w:spacing w:after="0" w:line="240" w:lineRule="auto"/>
      </w:pPr>
      <w:r>
        <w:separator/>
      </w:r>
    </w:p>
  </w:endnote>
  <w:endnote w:type="continuationSeparator" w:id="0">
    <w:p w14:paraId="0E49F5B0" w14:textId="77777777" w:rsidR="00AF44D9" w:rsidRDefault="00AF44D9" w:rsidP="00247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1204249"/>
      <w:docPartObj>
        <w:docPartGallery w:val="Page Numbers (Bottom of Page)"/>
        <w:docPartUnique/>
      </w:docPartObj>
    </w:sdtPr>
    <w:sdtEndPr>
      <w:rPr>
        <w:rFonts w:ascii="Aptos" w:hAnsi="Aptos"/>
        <w:sz w:val="18"/>
        <w:szCs w:val="18"/>
      </w:rPr>
    </w:sdtEndPr>
    <w:sdtContent>
      <w:p w14:paraId="024D0E4C" w14:textId="27B4D1D4" w:rsidR="002476C4" w:rsidRPr="002476C4" w:rsidRDefault="002476C4">
        <w:pPr>
          <w:pStyle w:val="Footer"/>
          <w:jc w:val="right"/>
          <w:rPr>
            <w:rFonts w:ascii="Aptos" w:hAnsi="Aptos"/>
            <w:sz w:val="18"/>
            <w:szCs w:val="18"/>
          </w:rPr>
        </w:pPr>
        <w:r w:rsidRPr="002476C4">
          <w:rPr>
            <w:rFonts w:ascii="Aptos" w:hAnsi="Aptos"/>
            <w:sz w:val="18"/>
            <w:szCs w:val="18"/>
          </w:rPr>
          <w:fldChar w:fldCharType="begin"/>
        </w:r>
        <w:r w:rsidRPr="002476C4">
          <w:rPr>
            <w:rFonts w:ascii="Aptos" w:hAnsi="Aptos"/>
            <w:sz w:val="18"/>
            <w:szCs w:val="18"/>
          </w:rPr>
          <w:instrText>PAGE   \* MERGEFORMAT</w:instrText>
        </w:r>
        <w:r w:rsidRPr="002476C4">
          <w:rPr>
            <w:rFonts w:ascii="Aptos" w:hAnsi="Aptos"/>
            <w:sz w:val="18"/>
            <w:szCs w:val="18"/>
          </w:rPr>
          <w:fldChar w:fldCharType="separate"/>
        </w:r>
        <w:r w:rsidRPr="002476C4">
          <w:rPr>
            <w:rFonts w:ascii="Aptos" w:hAnsi="Aptos"/>
            <w:sz w:val="18"/>
            <w:szCs w:val="18"/>
            <w:lang w:val="de-DE"/>
          </w:rPr>
          <w:t>2</w:t>
        </w:r>
        <w:r w:rsidRPr="002476C4">
          <w:rPr>
            <w:rFonts w:ascii="Aptos" w:hAnsi="Aptos"/>
            <w:sz w:val="18"/>
            <w:szCs w:val="18"/>
          </w:rPr>
          <w:fldChar w:fldCharType="end"/>
        </w:r>
      </w:p>
    </w:sdtContent>
  </w:sdt>
  <w:p w14:paraId="720135BA" w14:textId="77777777" w:rsidR="002476C4" w:rsidRDefault="002476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4105D" w14:textId="77777777" w:rsidR="00AF44D9" w:rsidRDefault="00AF44D9" w:rsidP="002476C4">
      <w:pPr>
        <w:spacing w:after="0" w:line="240" w:lineRule="auto"/>
      </w:pPr>
      <w:r>
        <w:separator/>
      </w:r>
    </w:p>
  </w:footnote>
  <w:footnote w:type="continuationSeparator" w:id="0">
    <w:p w14:paraId="256EBE59" w14:textId="77777777" w:rsidR="00AF44D9" w:rsidRDefault="00AF44D9" w:rsidP="002476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C28"/>
    <w:rsid w:val="0013233D"/>
    <w:rsid w:val="00141C28"/>
    <w:rsid w:val="00146843"/>
    <w:rsid w:val="00246146"/>
    <w:rsid w:val="002476C4"/>
    <w:rsid w:val="003259CE"/>
    <w:rsid w:val="00343A9B"/>
    <w:rsid w:val="00362E20"/>
    <w:rsid w:val="003C4DA3"/>
    <w:rsid w:val="004E3853"/>
    <w:rsid w:val="005231AF"/>
    <w:rsid w:val="005D50D0"/>
    <w:rsid w:val="00601C21"/>
    <w:rsid w:val="006463BE"/>
    <w:rsid w:val="00663D4C"/>
    <w:rsid w:val="006A68DB"/>
    <w:rsid w:val="006E4CA9"/>
    <w:rsid w:val="00872A3C"/>
    <w:rsid w:val="008D4F1F"/>
    <w:rsid w:val="009072EB"/>
    <w:rsid w:val="009406E4"/>
    <w:rsid w:val="009C52DF"/>
    <w:rsid w:val="00A365CD"/>
    <w:rsid w:val="00A96943"/>
    <w:rsid w:val="00AD1985"/>
    <w:rsid w:val="00AF31EB"/>
    <w:rsid w:val="00AF44D9"/>
    <w:rsid w:val="00B129A6"/>
    <w:rsid w:val="00B57064"/>
    <w:rsid w:val="00B77DD9"/>
    <w:rsid w:val="00BC15E7"/>
    <w:rsid w:val="00BC23B6"/>
    <w:rsid w:val="00C13067"/>
    <w:rsid w:val="00CB0851"/>
    <w:rsid w:val="00CB0E4F"/>
    <w:rsid w:val="00CE6F8C"/>
    <w:rsid w:val="00E03F09"/>
    <w:rsid w:val="00E1309E"/>
    <w:rsid w:val="00E621EB"/>
    <w:rsid w:val="00FE787D"/>
    <w:rsid w:val="00FF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68CDD"/>
  <w15:chartTrackingRefBased/>
  <w15:docId w15:val="{B073427A-685C-48F7-BF5A-5B7DF925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146"/>
    <w:rPr>
      <w:lang w:val="en-GB"/>
    </w:rPr>
  </w:style>
  <w:style w:type="paragraph" w:styleId="Heading1">
    <w:name w:val="heading 1"/>
    <w:aliases w:val="Manuscript heading"/>
    <w:basedOn w:val="Normal"/>
    <w:next w:val="Normal"/>
    <w:link w:val="Heading1Char"/>
    <w:autoRedefine/>
    <w:uiPriority w:val="9"/>
    <w:qFormat/>
    <w:rsid w:val="006A68DB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1C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1C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1C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1C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1C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1C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1C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1C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nuscript heading Char"/>
    <w:basedOn w:val="DefaultParagraphFont"/>
    <w:link w:val="Heading1"/>
    <w:uiPriority w:val="9"/>
    <w:rsid w:val="006A68DB"/>
    <w:rPr>
      <w:rFonts w:eastAsiaTheme="majorEastAsia" w:cstheme="majorBidi"/>
      <w:b/>
      <w:color w:val="000000" w:themeColor="text1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1C2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1C28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1C28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1C28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1C28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1C28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1C28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1C28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41C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1C2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1C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1C28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41C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1C28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141C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1C2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1C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1C28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141C28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CB0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7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6C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47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6C4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8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695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Josephine Heine</dc:creator>
  <cp:keywords/>
  <dc:description/>
  <cp:lastModifiedBy>Josephine Heine</cp:lastModifiedBy>
  <cp:revision>31</cp:revision>
  <cp:lastPrinted>2025-06-24T18:40:00Z</cp:lastPrinted>
  <dcterms:created xsi:type="dcterms:W3CDTF">2025-06-24T18:30:00Z</dcterms:created>
  <dcterms:modified xsi:type="dcterms:W3CDTF">2025-09-05T10:48:00Z</dcterms:modified>
</cp:coreProperties>
</file>