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637B" w:rsidRPr="004D5A6B" w:rsidRDefault="0063637B" w:rsidP="0063637B">
      <w:pPr>
        <w:jc w:val="both"/>
        <w:rPr>
          <w:rFonts w:ascii="Arial" w:hAnsi="Arial" w:cs="Arial"/>
          <w:b/>
        </w:rPr>
      </w:pPr>
      <w:r>
        <w:rPr>
          <w:rFonts w:ascii="Arial" w:hAnsi="Arial" w:cs="Arial"/>
          <w:b/>
        </w:rPr>
        <w:t xml:space="preserve">SUPPLEMENTARY </w:t>
      </w:r>
      <w:r w:rsidRPr="004D5A6B">
        <w:rPr>
          <w:rFonts w:ascii="Arial" w:hAnsi="Arial" w:cs="Arial"/>
          <w:b/>
        </w:rPr>
        <w:t>RESULTS</w:t>
      </w:r>
    </w:p>
    <w:p w:rsidR="0063637B" w:rsidRDefault="0063637B" w:rsidP="0063637B">
      <w:pPr>
        <w:jc w:val="both"/>
        <w:rPr>
          <w:rFonts w:ascii="Arial" w:hAnsi="Arial" w:cs="Arial"/>
          <w:b/>
          <w:bCs/>
        </w:rPr>
      </w:pPr>
    </w:p>
    <w:p w:rsidR="0063637B" w:rsidRPr="00F460C8" w:rsidRDefault="0063637B" w:rsidP="0063637B">
      <w:pPr>
        <w:jc w:val="both"/>
        <w:rPr>
          <w:rFonts w:ascii="Arial" w:hAnsi="Arial" w:cs="Arial"/>
          <w:b/>
          <w:bCs/>
        </w:rPr>
      </w:pPr>
      <w:r>
        <w:rPr>
          <w:rFonts w:ascii="Arial" w:hAnsi="Arial" w:cs="Arial"/>
          <w:b/>
          <w:bCs/>
        </w:rPr>
        <w:t>Therapies</w:t>
      </w:r>
    </w:p>
    <w:p w:rsidR="0063637B" w:rsidRPr="0005518C" w:rsidRDefault="0063637B" w:rsidP="0063637B">
      <w:pPr>
        <w:jc w:val="both"/>
        <w:rPr>
          <w:rFonts w:ascii="Arial" w:hAnsi="Arial" w:cs="Arial"/>
        </w:rPr>
      </w:pPr>
      <w:r w:rsidRPr="009747FB">
        <w:rPr>
          <w:rFonts w:ascii="Arial" w:hAnsi="Arial" w:cs="Arial"/>
          <w:bCs/>
        </w:rPr>
        <w:t xml:space="preserve">254 (54%) patients started treatment within </w:t>
      </w:r>
      <w:r>
        <w:rPr>
          <w:rFonts w:ascii="Arial" w:hAnsi="Arial" w:cs="Arial"/>
          <w:bCs/>
        </w:rPr>
        <w:t>1</w:t>
      </w:r>
      <w:r w:rsidRPr="009747FB">
        <w:rPr>
          <w:rFonts w:ascii="Arial" w:hAnsi="Arial" w:cs="Arial"/>
          <w:bCs/>
        </w:rPr>
        <w:t xml:space="preserve"> month</w:t>
      </w:r>
      <w:r>
        <w:rPr>
          <w:rFonts w:ascii="Arial" w:hAnsi="Arial" w:cs="Arial"/>
          <w:bCs/>
        </w:rPr>
        <w:t>,</w:t>
      </w:r>
      <w:r w:rsidRPr="009747FB">
        <w:rPr>
          <w:rFonts w:ascii="Arial" w:hAnsi="Arial" w:cs="Arial"/>
          <w:bCs/>
        </w:rPr>
        <w:t xml:space="preserve"> 170 (36%) after 1</w:t>
      </w:r>
      <w:r>
        <w:rPr>
          <w:rFonts w:ascii="Arial" w:hAnsi="Arial" w:cs="Arial"/>
          <w:bCs/>
        </w:rPr>
        <w:t xml:space="preserve"> </w:t>
      </w:r>
      <w:r w:rsidRPr="009747FB">
        <w:rPr>
          <w:rFonts w:ascii="Arial" w:hAnsi="Arial" w:cs="Arial"/>
          <w:bCs/>
        </w:rPr>
        <w:t>month</w:t>
      </w:r>
      <w:r>
        <w:rPr>
          <w:rFonts w:ascii="Arial" w:hAnsi="Arial" w:cs="Arial"/>
          <w:bCs/>
        </w:rPr>
        <w:t xml:space="preserve">. </w:t>
      </w:r>
      <w:r w:rsidRPr="009747FB">
        <w:rPr>
          <w:rFonts w:ascii="Arial" w:hAnsi="Arial" w:cs="Arial"/>
          <w:color w:val="000000" w:themeColor="text1"/>
        </w:rPr>
        <w:t>Surgery</w:t>
      </w:r>
      <w:r w:rsidRPr="00FE264E">
        <w:rPr>
          <w:rFonts w:ascii="Arial" w:hAnsi="Arial" w:cs="Arial"/>
          <w:color w:val="000000" w:themeColor="text1"/>
        </w:rPr>
        <w:t xml:space="preserve"> was performed on 307 (65%) while the remaining 166 did not undergo surgery (not recommended 153, contraindicated due to other circumstances 2, unknown reason 3, refused 1,</w:t>
      </w:r>
      <w:r>
        <w:rPr>
          <w:rFonts w:ascii="Arial" w:hAnsi="Arial" w:cs="Arial"/>
          <w:color w:val="000000" w:themeColor="text1"/>
        </w:rPr>
        <w:t xml:space="preserve"> </w:t>
      </w:r>
      <w:r w:rsidRPr="00FE264E">
        <w:rPr>
          <w:rFonts w:ascii="Arial" w:hAnsi="Arial" w:cs="Arial"/>
          <w:color w:val="000000" w:themeColor="text1"/>
        </w:rPr>
        <w:t xml:space="preserve">surgical status </w:t>
      </w:r>
      <w:r w:rsidRPr="001B26E9">
        <w:rPr>
          <w:rFonts w:ascii="Arial" w:hAnsi="Arial" w:cs="Arial"/>
          <w:color w:val="000000" w:themeColor="text1"/>
        </w:rPr>
        <w:t>unknown 7). Details of resection at primary site were documented: 134</w:t>
      </w:r>
      <w:r w:rsidRPr="00AB6AA6">
        <w:rPr>
          <w:rFonts w:ascii="Arial" w:hAnsi="Arial" w:cs="Arial"/>
          <w:color w:val="000000" w:themeColor="text1"/>
        </w:rPr>
        <w:t xml:space="preserve"> (28%) primaries were removed by “radical excision or resection of lesion with limb </w:t>
      </w:r>
      <w:proofErr w:type="gramStart"/>
      <w:r w:rsidRPr="00D819DA">
        <w:rPr>
          <w:rFonts w:ascii="Arial" w:hAnsi="Arial" w:cs="Arial"/>
          <w:color w:val="000000" w:themeColor="text1"/>
        </w:rPr>
        <w:t>salvage“</w:t>
      </w:r>
      <w:proofErr w:type="gramEnd"/>
      <w:r w:rsidRPr="00D819DA">
        <w:rPr>
          <w:rFonts w:ascii="Arial" w:hAnsi="Arial" w:cs="Arial"/>
          <w:color w:val="000000" w:themeColor="text1"/>
        </w:rPr>
        <w:t>, 88 (19%) by “local excision“. 12 (3%) patients underwent limb amputation, 23 (5%) received partial amputation and 3 (&lt;1</w:t>
      </w:r>
      <w:r w:rsidRPr="00D819DA">
        <w:rPr>
          <w:rFonts w:ascii="Arial" w:hAnsi="Arial" w:cs="Arial"/>
        </w:rPr>
        <w:t>%) total amputation of l</w:t>
      </w:r>
      <w:r w:rsidRPr="00274600">
        <w:rPr>
          <w:rFonts w:ascii="Arial" w:hAnsi="Arial" w:cs="Arial"/>
        </w:rPr>
        <w:t xml:space="preserve">imb. Surgical interventions were more common in patients &gt;40years. </w:t>
      </w:r>
      <w:r w:rsidRPr="00685108">
        <w:rPr>
          <w:rFonts w:ascii="Arial" w:hAnsi="Arial" w:cs="Arial"/>
        </w:rPr>
        <w:t>Overall, 288 (61%) patients were treated with radiotherapy.</w:t>
      </w:r>
      <w:r w:rsidRPr="0005518C">
        <w:rPr>
          <w:rFonts w:ascii="Arial" w:hAnsi="Arial" w:cs="Arial"/>
        </w:rPr>
        <w:t xml:space="preserve"> </w:t>
      </w:r>
    </w:p>
    <w:p w:rsidR="001D2DA8" w:rsidRDefault="0063637B" w:rsidP="001D2DA8">
      <w:pPr>
        <w:jc w:val="both"/>
        <w:rPr>
          <w:rFonts w:ascii="Arial" w:hAnsi="Arial" w:cs="Arial"/>
          <w:bCs/>
          <w:color w:val="000000" w:themeColor="text1"/>
        </w:rPr>
      </w:pPr>
      <w:bookmarkStart w:id="0" w:name="_Hlk202786124"/>
      <w:bookmarkStart w:id="1" w:name="_GoBack"/>
      <w:r w:rsidRPr="003464DF">
        <w:rPr>
          <w:rFonts w:ascii="Arial" w:hAnsi="Arial" w:cs="Arial"/>
        </w:rPr>
        <w:t xml:space="preserve">A shorter interval between diagnosis and treatment </w:t>
      </w:r>
      <w:r w:rsidRPr="003464DF">
        <w:rPr>
          <w:rFonts w:ascii="Arial" w:hAnsi="Arial" w:cs="Arial"/>
          <w:bCs/>
          <w:color w:val="000000" w:themeColor="text1"/>
        </w:rPr>
        <w:t xml:space="preserve">was favorable. </w:t>
      </w:r>
      <w:bookmarkEnd w:id="0"/>
      <w:bookmarkEnd w:id="1"/>
      <w:r w:rsidRPr="003464DF">
        <w:rPr>
          <w:rFonts w:ascii="Arial" w:hAnsi="Arial" w:cs="Arial"/>
          <w:bCs/>
          <w:color w:val="000000" w:themeColor="text1"/>
        </w:rPr>
        <w:t>Surgical interventions were associated with better survival. Systemic therapy</w:t>
      </w:r>
      <w:r w:rsidRPr="00B81620">
        <w:rPr>
          <w:rFonts w:ascii="Arial" w:hAnsi="Arial" w:cs="Arial"/>
          <w:bCs/>
          <w:color w:val="000000" w:themeColor="text1"/>
        </w:rPr>
        <w:t xml:space="preserve"> and/or </w:t>
      </w:r>
      <w:r w:rsidRPr="001D4FDF">
        <w:rPr>
          <w:rFonts w:ascii="Arial" w:hAnsi="Arial" w:cs="Arial"/>
          <w:bCs/>
          <w:color w:val="000000" w:themeColor="text1"/>
        </w:rPr>
        <w:t xml:space="preserve">surgical interventions were favorable. No radiotherapy and/or cancer-related surgery was associated with adverse outcomes (supplementary table2). </w:t>
      </w:r>
      <w:r w:rsidRPr="0044316D">
        <w:rPr>
          <w:rFonts w:ascii="Arial" w:hAnsi="Arial" w:cs="Arial"/>
          <w:bCs/>
          <w:color w:val="000000" w:themeColor="text1"/>
        </w:rPr>
        <w:t xml:space="preserve">Details of the Cox regression analysis of treatments are shown in </w:t>
      </w:r>
      <w:r w:rsidRPr="001D2DA8">
        <w:rPr>
          <w:rFonts w:ascii="Arial" w:hAnsi="Arial" w:cs="Arial"/>
          <w:bCs/>
          <w:color w:val="000000" w:themeColor="text1"/>
        </w:rPr>
        <w:t>supplementary table3.</w:t>
      </w:r>
      <w:r w:rsidR="001D2DA8" w:rsidRPr="001D2DA8">
        <w:rPr>
          <w:rFonts w:ascii="Arial" w:hAnsi="Arial" w:cs="Arial"/>
          <w:bCs/>
          <w:color w:val="000000" w:themeColor="text1"/>
        </w:rPr>
        <w:t xml:space="preserve"> </w:t>
      </w:r>
      <w:r w:rsidR="001D2DA8" w:rsidRPr="001D2DA8">
        <w:rPr>
          <w:rFonts w:ascii="Arial" w:hAnsi="Arial" w:cs="Arial"/>
          <w:bCs/>
          <w:color w:val="000000" w:themeColor="text1"/>
        </w:rPr>
        <w:t>In the Cox regression analysis of treatments (adjusted for age, histology, stage) surgery and radiotherapy were associated with significantly better survival. However, when age was excluded, histology and chemotherapy became significant. One could hypothesize that RMS becomes increasingly resistant with increasing age. Consequently, this suggests that aggressive local therapies become increasingly important as patients age. SEER treatment data should be interpreted with caution, and further discussion would be speculative.</w:t>
      </w:r>
    </w:p>
    <w:p w:rsidR="001D2DA8" w:rsidRDefault="001D2DA8" w:rsidP="0063637B">
      <w:pPr>
        <w:jc w:val="both"/>
        <w:rPr>
          <w:rFonts w:ascii="Arial" w:hAnsi="Arial" w:cs="Arial"/>
          <w:bCs/>
          <w:color w:val="000000" w:themeColor="text1"/>
        </w:rPr>
      </w:pPr>
    </w:p>
    <w:p w:rsidR="0063637B" w:rsidRDefault="0063637B" w:rsidP="0063637B">
      <w:pPr>
        <w:jc w:val="both"/>
        <w:rPr>
          <w:rFonts w:ascii="Arial" w:hAnsi="Arial" w:cs="Arial"/>
          <w:bCs/>
          <w:color w:val="000000" w:themeColor="text1"/>
        </w:rPr>
      </w:pPr>
    </w:p>
    <w:p w:rsidR="0063637B" w:rsidRPr="00A843F9" w:rsidRDefault="0063637B" w:rsidP="0063637B">
      <w:pPr>
        <w:jc w:val="both"/>
        <w:rPr>
          <w:rFonts w:ascii="Arial" w:hAnsi="Arial" w:cs="Arial"/>
          <w:b/>
        </w:rPr>
      </w:pPr>
      <w:r w:rsidRPr="009133A4">
        <w:rPr>
          <w:rFonts w:ascii="Arial" w:hAnsi="Arial" w:cs="Arial"/>
          <w:b/>
        </w:rPr>
        <w:lastRenderedPageBreak/>
        <w:t>Subgroup analysis on site of metastases in 178 patients with distant disease</w:t>
      </w:r>
    </w:p>
    <w:p w:rsidR="0063637B" w:rsidRPr="00631F94" w:rsidRDefault="0063637B" w:rsidP="0063637B">
      <w:pPr>
        <w:jc w:val="both"/>
        <w:rPr>
          <w:rFonts w:ascii="Arial" w:hAnsi="Arial" w:cs="Arial"/>
          <w:bCs/>
          <w:color w:val="000000" w:themeColor="text1"/>
          <w:highlight w:val="yellow"/>
        </w:rPr>
      </w:pPr>
      <w:r w:rsidRPr="001152AE">
        <w:rPr>
          <w:rFonts w:ascii="Arial" w:hAnsi="Arial" w:cs="Arial"/>
          <w:bCs/>
          <w:color w:val="000000" w:themeColor="text1"/>
        </w:rPr>
        <w:t>Overall, distant metastases were most frequent in 10-17-year-olds (71/135, 53%) and 18-39-year-</w:t>
      </w:r>
      <w:r w:rsidRPr="0057217F">
        <w:rPr>
          <w:rFonts w:ascii="Arial" w:hAnsi="Arial" w:cs="Arial"/>
          <w:bCs/>
          <w:color w:val="000000" w:themeColor="text1"/>
        </w:rPr>
        <w:t>olds (34/87, 39%). Detailed information on site of metastases was available for 81</w:t>
      </w:r>
      <w:r>
        <w:rPr>
          <w:rFonts w:ascii="Arial" w:hAnsi="Arial" w:cs="Arial"/>
          <w:bCs/>
          <w:color w:val="000000" w:themeColor="text1"/>
        </w:rPr>
        <w:t>/</w:t>
      </w:r>
      <w:r w:rsidRPr="0057217F">
        <w:rPr>
          <w:rFonts w:ascii="Arial" w:hAnsi="Arial" w:cs="Arial"/>
          <w:bCs/>
          <w:color w:val="000000" w:themeColor="text1"/>
        </w:rPr>
        <w:t>178 patients with distant stage (supplementary figure</w:t>
      </w:r>
      <w:r>
        <w:rPr>
          <w:rFonts w:ascii="Arial" w:hAnsi="Arial" w:cs="Arial"/>
          <w:bCs/>
          <w:color w:val="000000" w:themeColor="text1"/>
        </w:rPr>
        <w:t>2</w:t>
      </w:r>
      <w:r w:rsidRPr="0057217F">
        <w:rPr>
          <w:rFonts w:ascii="Arial" w:hAnsi="Arial" w:cs="Arial"/>
          <w:bCs/>
          <w:color w:val="000000" w:themeColor="text1"/>
        </w:rPr>
        <w:t xml:space="preserve">). </w:t>
      </w:r>
      <w:r w:rsidRPr="00B23F81">
        <w:rPr>
          <w:rFonts w:ascii="Arial" w:hAnsi="Arial" w:cs="Arial"/>
          <w:bCs/>
          <w:color w:val="000000" w:themeColor="text1"/>
        </w:rPr>
        <w:t xml:space="preserve">In 52 patients, 1 organ was affected, in 17 patients 2, in 10 3 and in 1 </w:t>
      </w:r>
      <w:r w:rsidRPr="00481369">
        <w:rPr>
          <w:rFonts w:ascii="Arial" w:hAnsi="Arial" w:cs="Arial"/>
          <w:bCs/>
          <w:color w:val="000000" w:themeColor="text1"/>
        </w:rPr>
        <w:t>patient each 4 or 5 organ</w:t>
      </w:r>
      <w:r>
        <w:rPr>
          <w:rFonts w:ascii="Arial" w:hAnsi="Arial" w:cs="Arial"/>
          <w:bCs/>
          <w:color w:val="000000" w:themeColor="text1"/>
        </w:rPr>
        <w:t>s</w:t>
      </w:r>
      <w:r w:rsidRPr="00481369">
        <w:rPr>
          <w:rFonts w:ascii="Arial" w:hAnsi="Arial" w:cs="Arial"/>
          <w:bCs/>
          <w:color w:val="000000" w:themeColor="text1"/>
        </w:rPr>
        <w:t xml:space="preserve">. </w:t>
      </w:r>
      <w:r w:rsidRPr="00481369">
        <w:rPr>
          <w:rFonts w:ascii="Arial" w:hAnsi="Arial" w:cs="Arial"/>
          <w:color w:val="000000" w:themeColor="text1"/>
        </w:rPr>
        <w:t xml:space="preserve">Overall, metastases occurred most frequently in bones, followed by lungs, alone and in combinations (supplementary </w:t>
      </w:r>
      <w:r w:rsidRPr="00DE0DF6">
        <w:rPr>
          <w:rFonts w:ascii="Arial" w:hAnsi="Arial" w:cs="Arial"/>
          <w:color w:val="000000" w:themeColor="text1"/>
        </w:rPr>
        <w:t xml:space="preserve">figure3a). </w:t>
      </w:r>
      <w:r w:rsidRPr="00DE0DF6">
        <w:rPr>
          <w:rFonts w:ascii="Arial" w:hAnsi="Arial" w:cs="Arial"/>
          <w:bCs/>
          <w:color w:val="000000" w:themeColor="text1"/>
        </w:rPr>
        <w:t>In patients ≤39years, the most common metastatic sites were bone only (</w:t>
      </w:r>
      <w:r w:rsidRPr="00DE0DF6">
        <w:rPr>
          <w:rFonts w:ascii="Arial" w:hAnsi="Arial" w:cs="Arial"/>
          <w:color w:val="000000" w:themeColor="text1"/>
        </w:rPr>
        <w:t>&lt;10-year-olds</w:t>
      </w:r>
      <w:r w:rsidRPr="00DE0DF6">
        <w:rPr>
          <w:rFonts w:ascii="Arial" w:hAnsi="Arial" w:cs="Arial"/>
          <w:bCs/>
          <w:color w:val="000000" w:themeColor="text1"/>
        </w:rPr>
        <w:t xml:space="preserve">: 4/47, 9%; </w:t>
      </w:r>
      <w:r w:rsidRPr="00DE0DF6">
        <w:rPr>
          <w:rFonts w:ascii="Arial" w:hAnsi="Arial" w:cs="Arial"/>
          <w:color w:val="000000" w:themeColor="text1"/>
        </w:rPr>
        <w:t>10-17-year-olds</w:t>
      </w:r>
      <w:r w:rsidRPr="00DE0DF6">
        <w:rPr>
          <w:rFonts w:ascii="Arial" w:hAnsi="Arial" w:cs="Arial"/>
          <w:bCs/>
          <w:color w:val="000000" w:themeColor="text1"/>
        </w:rPr>
        <w:t>: 10/71</w:t>
      </w:r>
      <w:r w:rsidRPr="00FD6D3C">
        <w:rPr>
          <w:rFonts w:ascii="Arial" w:hAnsi="Arial" w:cs="Arial"/>
          <w:bCs/>
          <w:color w:val="000000" w:themeColor="text1"/>
        </w:rPr>
        <w:t xml:space="preserve">, 14%; </w:t>
      </w:r>
      <w:r w:rsidRPr="00FD6D3C">
        <w:rPr>
          <w:rFonts w:ascii="Arial" w:hAnsi="Arial" w:cs="Arial"/>
          <w:color w:val="000000" w:themeColor="text1"/>
        </w:rPr>
        <w:t>18-39-year-olds</w:t>
      </w:r>
      <w:r w:rsidRPr="00FD6D3C">
        <w:rPr>
          <w:rFonts w:ascii="Arial" w:hAnsi="Arial" w:cs="Arial"/>
          <w:bCs/>
          <w:color w:val="000000" w:themeColor="text1"/>
        </w:rPr>
        <w:t>: 5/34, 15%), followed by lung only (</w:t>
      </w:r>
      <w:r w:rsidRPr="00FD6D3C">
        <w:rPr>
          <w:rFonts w:ascii="Arial" w:hAnsi="Arial" w:cs="Arial"/>
          <w:color w:val="000000" w:themeColor="text1"/>
        </w:rPr>
        <w:t>&lt;10-year-olds</w:t>
      </w:r>
      <w:r w:rsidRPr="00FD6D3C">
        <w:rPr>
          <w:rFonts w:ascii="Arial" w:hAnsi="Arial" w:cs="Arial"/>
          <w:bCs/>
          <w:color w:val="000000" w:themeColor="text1"/>
        </w:rPr>
        <w:t xml:space="preserve">: 3/47, 6%; </w:t>
      </w:r>
      <w:r w:rsidRPr="00FD6D3C">
        <w:rPr>
          <w:rFonts w:ascii="Arial" w:hAnsi="Arial" w:cs="Arial"/>
          <w:color w:val="000000" w:themeColor="text1"/>
        </w:rPr>
        <w:t>10-17-year-olds</w:t>
      </w:r>
      <w:r w:rsidRPr="00FD6D3C">
        <w:rPr>
          <w:rFonts w:ascii="Arial" w:hAnsi="Arial" w:cs="Arial"/>
          <w:bCs/>
          <w:color w:val="000000" w:themeColor="text1"/>
        </w:rPr>
        <w:t>: 7/71, 10%) or bone and lung (</w:t>
      </w:r>
      <w:r w:rsidRPr="00FD6D3C">
        <w:rPr>
          <w:rFonts w:ascii="Arial" w:hAnsi="Arial" w:cs="Arial"/>
          <w:color w:val="000000" w:themeColor="text1"/>
        </w:rPr>
        <w:t>18-39-year-olds</w:t>
      </w:r>
      <w:r w:rsidRPr="00FD6D3C">
        <w:rPr>
          <w:rFonts w:ascii="Arial" w:hAnsi="Arial" w:cs="Arial"/>
          <w:bCs/>
          <w:color w:val="000000" w:themeColor="text1"/>
        </w:rPr>
        <w:t xml:space="preserve">: 3/34, 9%). In </w:t>
      </w:r>
      <w:r w:rsidRPr="009D2172">
        <w:rPr>
          <w:rFonts w:ascii="Arial" w:hAnsi="Arial" w:cs="Arial"/>
          <w:bCs/>
          <w:color w:val="000000" w:themeColor="text1"/>
        </w:rPr>
        <w:t>40-64</w:t>
      </w:r>
      <w:r>
        <w:rPr>
          <w:rFonts w:ascii="Arial" w:hAnsi="Arial" w:cs="Arial"/>
          <w:bCs/>
          <w:color w:val="000000" w:themeColor="text1"/>
        </w:rPr>
        <w:t>-year-olds</w:t>
      </w:r>
      <w:r w:rsidRPr="009D2172">
        <w:rPr>
          <w:rFonts w:ascii="Arial" w:hAnsi="Arial" w:cs="Arial"/>
          <w:bCs/>
          <w:color w:val="000000" w:themeColor="text1"/>
        </w:rPr>
        <w:t xml:space="preserve"> and </w:t>
      </w:r>
      <w:r w:rsidRPr="00963603">
        <w:rPr>
          <w:rFonts w:ascii="Arial" w:hAnsi="Arial" w:cs="Arial"/>
          <w:color w:val="000000" w:themeColor="text1"/>
        </w:rPr>
        <w:sym w:font="Symbol" w:char="F0B3"/>
      </w:r>
      <w:r w:rsidRPr="00963603">
        <w:rPr>
          <w:rFonts w:ascii="Arial" w:hAnsi="Arial" w:cs="Arial"/>
          <w:color w:val="000000" w:themeColor="text1"/>
        </w:rPr>
        <w:t>65-year-olds</w:t>
      </w:r>
      <w:r w:rsidRPr="009D2172">
        <w:rPr>
          <w:rFonts w:ascii="Arial" w:hAnsi="Arial" w:cs="Arial"/>
          <w:bCs/>
          <w:color w:val="000000" w:themeColor="text1"/>
        </w:rPr>
        <w:t>, the most common site of metastases was the lung (5/20, 25%; 4/6, 67%) (</w:t>
      </w:r>
      <w:r w:rsidRPr="001E5EEA">
        <w:rPr>
          <w:rFonts w:ascii="Arial" w:hAnsi="Arial" w:cs="Arial"/>
        </w:rPr>
        <w:t xml:space="preserve">supplementary </w:t>
      </w:r>
      <w:r w:rsidRPr="009D2172">
        <w:rPr>
          <w:rFonts w:ascii="Arial" w:hAnsi="Arial" w:cs="Arial"/>
          <w:bCs/>
          <w:color w:val="000000" w:themeColor="text1"/>
        </w:rPr>
        <w:t>table</w:t>
      </w:r>
      <w:r>
        <w:rPr>
          <w:rFonts w:ascii="Arial" w:hAnsi="Arial" w:cs="Arial"/>
          <w:bCs/>
          <w:color w:val="000000" w:themeColor="text1"/>
        </w:rPr>
        <w:t>1</w:t>
      </w:r>
      <w:r w:rsidRPr="009D2172">
        <w:rPr>
          <w:rFonts w:ascii="Arial" w:hAnsi="Arial" w:cs="Arial"/>
          <w:bCs/>
          <w:color w:val="000000" w:themeColor="text1"/>
        </w:rPr>
        <w:t xml:space="preserve">b). </w:t>
      </w:r>
    </w:p>
    <w:p w:rsidR="001F5E1A" w:rsidRDefault="0063637B" w:rsidP="0063637B">
      <w:r>
        <w:rPr>
          <w:rFonts w:ascii="Arial" w:hAnsi="Arial" w:cs="Arial"/>
          <w:bCs/>
          <w:color w:val="000000" w:themeColor="text1"/>
        </w:rPr>
        <w:t>M</w:t>
      </w:r>
      <w:r w:rsidRPr="00B10423">
        <w:rPr>
          <w:rFonts w:ascii="Arial" w:hAnsi="Arial" w:cs="Arial"/>
          <w:bCs/>
          <w:color w:val="000000" w:themeColor="text1"/>
        </w:rPr>
        <w:t xml:space="preserve">etastases were most common in ARMS (n=110). </w:t>
      </w:r>
      <w:r w:rsidRPr="004C6F85">
        <w:rPr>
          <w:rFonts w:ascii="Arial" w:hAnsi="Arial" w:cs="Arial"/>
          <w:bCs/>
          <w:color w:val="000000" w:themeColor="text1"/>
        </w:rPr>
        <w:t>Whereas in ARMS isolated bone metastases (n=17, 1</w:t>
      </w:r>
      <w:r>
        <w:rPr>
          <w:rFonts w:ascii="Arial" w:hAnsi="Arial" w:cs="Arial"/>
          <w:bCs/>
          <w:color w:val="000000" w:themeColor="text1"/>
        </w:rPr>
        <w:t>5</w:t>
      </w:r>
      <w:r w:rsidRPr="004C6F85">
        <w:rPr>
          <w:rFonts w:ascii="Arial" w:hAnsi="Arial" w:cs="Arial"/>
          <w:bCs/>
          <w:color w:val="000000" w:themeColor="text1"/>
        </w:rPr>
        <w:t>%) were most frequently followed by isolated lung metastases (n=8, 7%), in all other histological subtypes, lung metastases only were most common (</w:t>
      </w:r>
      <w:r w:rsidRPr="005A0405">
        <w:rPr>
          <w:rFonts w:ascii="Arial" w:hAnsi="Arial" w:cs="Arial"/>
          <w:bCs/>
          <w:color w:val="000000" w:themeColor="text1"/>
        </w:rPr>
        <w:t xml:space="preserve">supplementary table4). </w:t>
      </w:r>
      <w:r>
        <w:rPr>
          <w:rFonts w:ascii="Arial" w:hAnsi="Arial" w:cs="Arial"/>
          <w:bCs/>
          <w:color w:val="000000" w:themeColor="text1"/>
        </w:rPr>
        <w:t>L</w:t>
      </w:r>
      <w:r w:rsidRPr="005A0405">
        <w:rPr>
          <w:rFonts w:ascii="Arial" w:hAnsi="Arial" w:cs="Arial"/>
          <w:bCs/>
          <w:color w:val="000000" w:themeColor="text1"/>
        </w:rPr>
        <w:t xml:space="preserve">ung metastases only were more common </w:t>
      </w:r>
      <w:r>
        <w:rPr>
          <w:rFonts w:ascii="Arial" w:hAnsi="Arial" w:cs="Arial"/>
          <w:bCs/>
          <w:color w:val="000000" w:themeColor="text1"/>
        </w:rPr>
        <w:t xml:space="preserve">in </w:t>
      </w:r>
      <w:r w:rsidRPr="005A0405">
        <w:rPr>
          <w:rFonts w:ascii="Arial" w:hAnsi="Arial" w:cs="Arial"/>
          <w:bCs/>
          <w:color w:val="000000" w:themeColor="text1"/>
        </w:rPr>
        <w:t>lower (n=16/116, 14%) than in upper limb (n=5/62, 8%) (</w:t>
      </w:r>
      <w:r w:rsidRPr="001E5EEA">
        <w:rPr>
          <w:rFonts w:ascii="Arial" w:hAnsi="Arial" w:cs="Arial"/>
        </w:rPr>
        <w:t>supplementary</w:t>
      </w:r>
      <w:r>
        <w:rPr>
          <w:rFonts w:ascii="Arial" w:hAnsi="Arial" w:cs="Arial"/>
        </w:rPr>
        <w:t xml:space="preserve"> </w:t>
      </w:r>
      <w:r w:rsidRPr="005A0405">
        <w:rPr>
          <w:rFonts w:ascii="Arial" w:hAnsi="Arial" w:cs="Arial"/>
          <w:bCs/>
          <w:color w:val="000000" w:themeColor="text1"/>
        </w:rPr>
        <w:t>table</w:t>
      </w:r>
      <w:r>
        <w:rPr>
          <w:rFonts w:ascii="Arial" w:hAnsi="Arial" w:cs="Arial"/>
          <w:bCs/>
          <w:color w:val="000000" w:themeColor="text1"/>
        </w:rPr>
        <w:t>1</w:t>
      </w:r>
      <w:r w:rsidRPr="005A0405">
        <w:rPr>
          <w:rFonts w:ascii="Arial" w:hAnsi="Arial" w:cs="Arial"/>
          <w:bCs/>
          <w:color w:val="000000" w:themeColor="text1"/>
        </w:rPr>
        <w:t xml:space="preserve">a). </w:t>
      </w:r>
      <w:r w:rsidRPr="000C0588">
        <w:rPr>
          <w:rFonts w:ascii="Arial" w:hAnsi="Arial" w:cs="Arial"/>
          <w:bCs/>
          <w:color w:val="000000" w:themeColor="text1"/>
        </w:rPr>
        <w:t xml:space="preserve">Affected organ and increasing number of affected metastatic sites correlated with deterioration in survival (supplementary figure3b). </w:t>
      </w:r>
      <w:r w:rsidRPr="00746924">
        <w:rPr>
          <w:rFonts w:ascii="Arial" w:hAnsi="Arial" w:cs="Arial"/>
          <w:bCs/>
          <w:color w:val="000000" w:themeColor="text1"/>
        </w:rPr>
        <w:t>At 5years, patients with exclusively lung metastases had worse survival than those with exclusively bone metastases (DSS 16%/31%) (supplementary</w:t>
      </w:r>
      <w:r w:rsidRPr="00746924">
        <w:rPr>
          <w:rFonts w:ascii="Arial" w:hAnsi="Arial" w:cs="Arial"/>
          <w:color w:val="000000" w:themeColor="text1"/>
        </w:rPr>
        <w:t xml:space="preserve"> figure3a</w:t>
      </w:r>
      <w:r w:rsidRPr="00746924">
        <w:rPr>
          <w:rFonts w:ascii="Arial" w:hAnsi="Arial" w:cs="Arial"/>
          <w:bCs/>
          <w:color w:val="000000" w:themeColor="text1"/>
        </w:rPr>
        <w:t>).</w:t>
      </w:r>
      <w:r w:rsidRPr="004D5A6B">
        <w:rPr>
          <w:rFonts w:ascii="Arial" w:hAnsi="Arial" w:cs="Arial"/>
          <w:bCs/>
          <w:color w:val="000000" w:themeColor="text1"/>
        </w:rPr>
        <w:t xml:space="preserve"> </w:t>
      </w:r>
    </w:p>
    <w:sectPr w:rsidR="001F5E1A">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637B"/>
    <w:rsid w:val="001D2DA8"/>
    <w:rsid w:val="001F5E1A"/>
    <w:rsid w:val="00430657"/>
    <w:rsid w:val="004E28D2"/>
    <w:rsid w:val="0063637B"/>
    <w:rsid w:val="008B55A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5AE78"/>
  <w15:chartTrackingRefBased/>
  <w15:docId w15:val="{48134C75-67F9-4209-AA56-CFBAD6841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63637B"/>
    <w:pPr>
      <w:spacing w:after="0" w:line="480" w:lineRule="auto"/>
    </w:pPr>
    <w:rPr>
      <w:rFonts w:ascii="Times New Roman" w:eastAsia="Times New Roman" w:hAnsi="Times New Roman" w:cs="Times New Roman"/>
      <w:sz w:val="24"/>
      <w:szCs w:val="24"/>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449</Words>
  <Characters>2833</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Charité - Universitätsmedizin Berlin</Company>
  <LinksUpToDate>false</LinksUpToDate>
  <CharactersWithSpaces>3276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Scheer, Monika</dc:creator>
  <cp:keywords/>
  <dc:description/>
  <cp:lastModifiedBy>Scheer, Monika</cp:lastModifiedBy>
  <cp:revision>2</cp:revision>
  <dcterms:created xsi:type="dcterms:W3CDTF">2025-07-07T11:02:00Z</dcterms:created>
  <dcterms:modified xsi:type="dcterms:W3CDTF">2025-07-07T11:21:00Z</dcterms:modified>
</cp:coreProperties>
</file>