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7D1F" w:rsidRPr="0053598F" w:rsidRDefault="0064756B" w:rsidP="0025002F">
      <w:pPr>
        <w:pStyle w:val="KeinLeerraum"/>
        <w:jc w:val="center"/>
        <w:rPr>
          <w:rFonts w:ascii="Times New Roman" w:hAnsi="Times New Roman" w:cs="Times New Roman"/>
          <w:sz w:val="28"/>
          <w:szCs w:val="24"/>
          <w:lang w:val="en-US"/>
        </w:rPr>
      </w:pPr>
      <w:r w:rsidRPr="0053598F">
        <w:rPr>
          <w:rFonts w:ascii="Times New Roman" w:hAnsi="Times New Roman" w:cs="Times New Roman"/>
          <w:sz w:val="28"/>
          <w:szCs w:val="24"/>
          <w:lang w:val="en-US"/>
        </w:rPr>
        <w:t>Supplemen</w:t>
      </w:r>
      <w:r w:rsidR="0025002F" w:rsidRPr="0053598F">
        <w:rPr>
          <w:rFonts w:ascii="Times New Roman" w:hAnsi="Times New Roman" w:cs="Times New Roman"/>
          <w:sz w:val="28"/>
          <w:szCs w:val="24"/>
          <w:lang w:val="en-US"/>
        </w:rPr>
        <w:t>tary Materials for</w:t>
      </w:r>
    </w:p>
    <w:p w:rsidR="0025002F" w:rsidRPr="0053598F" w:rsidRDefault="0025002F" w:rsidP="0025002F">
      <w:pPr>
        <w:pStyle w:val="KeinLeerraum"/>
        <w:jc w:val="center"/>
        <w:rPr>
          <w:rFonts w:ascii="Times New Roman" w:hAnsi="Times New Roman" w:cs="Times New Roman"/>
          <w:sz w:val="28"/>
          <w:szCs w:val="24"/>
          <w:lang w:val="en-US"/>
        </w:rPr>
      </w:pPr>
    </w:p>
    <w:p w:rsidR="001A7D1F" w:rsidRPr="0053598F" w:rsidRDefault="001A7D1F" w:rsidP="00B81203">
      <w:pPr>
        <w:pStyle w:val="KeinLeerraum"/>
        <w:jc w:val="both"/>
        <w:rPr>
          <w:rFonts w:ascii="Times New Roman" w:hAnsi="Times New Roman" w:cs="Times New Roman"/>
          <w:sz w:val="28"/>
          <w:szCs w:val="24"/>
          <w:lang w:val="en-US"/>
        </w:rPr>
      </w:pPr>
    </w:p>
    <w:p w:rsidR="0025002F" w:rsidRPr="0053598F" w:rsidRDefault="0025002F" w:rsidP="0025002F">
      <w:pPr>
        <w:spacing w:line="360" w:lineRule="auto"/>
        <w:jc w:val="center"/>
        <w:rPr>
          <w:rFonts w:ascii="Times New Roman" w:hAnsi="Times New Roman" w:cs="Times New Roman"/>
          <w:b/>
          <w:sz w:val="28"/>
          <w:szCs w:val="24"/>
          <w:lang w:val="en-US"/>
        </w:rPr>
      </w:pPr>
      <w:r w:rsidRPr="0053598F">
        <w:rPr>
          <w:rFonts w:ascii="Times New Roman" w:hAnsi="Times New Roman" w:cs="Times New Roman"/>
          <w:b/>
          <w:sz w:val="28"/>
          <w:szCs w:val="24"/>
          <w:lang w:val="en-US"/>
        </w:rPr>
        <w:t>Directed Vascularization in Bone Regeneration Requires Bone Marrow Reconstitution</w:t>
      </w:r>
    </w:p>
    <w:p w:rsidR="003F43DA" w:rsidRPr="0053598F" w:rsidRDefault="003F43DA" w:rsidP="0025002F">
      <w:pPr>
        <w:spacing w:line="360" w:lineRule="auto"/>
        <w:jc w:val="center"/>
        <w:rPr>
          <w:rFonts w:ascii="Times New Roman" w:hAnsi="Times New Roman" w:cs="Times New Roman"/>
          <w:b/>
          <w:sz w:val="24"/>
          <w:szCs w:val="24"/>
          <w:lang w:val="en-US"/>
        </w:rPr>
      </w:pPr>
    </w:p>
    <w:p w:rsidR="0025002F" w:rsidRPr="0053598F" w:rsidRDefault="0025002F" w:rsidP="0025002F">
      <w:pPr>
        <w:spacing w:line="360" w:lineRule="auto"/>
        <w:jc w:val="center"/>
        <w:rPr>
          <w:rFonts w:ascii="Times New Roman" w:hAnsi="Times New Roman" w:cs="Times New Roman"/>
          <w:i/>
          <w:sz w:val="24"/>
          <w:szCs w:val="24"/>
        </w:rPr>
      </w:pPr>
      <w:r w:rsidRPr="0053598F">
        <w:rPr>
          <w:rFonts w:ascii="Times New Roman" w:hAnsi="Times New Roman" w:cs="Times New Roman"/>
          <w:sz w:val="24"/>
          <w:szCs w:val="24"/>
        </w:rPr>
        <w:t>Julia Mehl, Tobias Thiele</w:t>
      </w:r>
      <w:r w:rsidR="00B449E9">
        <w:rPr>
          <w:rFonts w:ascii="Times New Roman" w:hAnsi="Times New Roman" w:cs="Times New Roman"/>
          <w:sz w:val="24"/>
          <w:szCs w:val="24"/>
        </w:rPr>
        <w:t xml:space="preserve">, Agnes </w:t>
      </w:r>
      <w:proofErr w:type="spellStart"/>
      <w:r w:rsidR="00B449E9">
        <w:rPr>
          <w:rFonts w:ascii="Times New Roman" w:hAnsi="Times New Roman" w:cs="Times New Roman"/>
          <w:sz w:val="24"/>
          <w:szCs w:val="24"/>
        </w:rPr>
        <w:t>Ellinghaus</w:t>
      </w:r>
      <w:proofErr w:type="spellEnd"/>
      <w:r w:rsidR="00B449E9">
        <w:rPr>
          <w:rFonts w:ascii="Times New Roman" w:hAnsi="Times New Roman" w:cs="Times New Roman"/>
          <w:sz w:val="24"/>
          <w:szCs w:val="24"/>
        </w:rPr>
        <w:t>, Holger Gerhardt, Georg N. Duda</w:t>
      </w:r>
      <w:bookmarkStart w:id="0" w:name="_GoBack"/>
      <w:bookmarkEnd w:id="0"/>
    </w:p>
    <w:p w:rsidR="001A7D1F" w:rsidRPr="00B449E9" w:rsidRDefault="001A7D1F" w:rsidP="00EF292D">
      <w:pPr>
        <w:pStyle w:val="KeinLeerraum"/>
        <w:spacing w:line="360" w:lineRule="auto"/>
        <w:jc w:val="both"/>
        <w:rPr>
          <w:rFonts w:ascii="Times New Roman" w:hAnsi="Times New Roman" w:cs="Times New Roman"/>
          <w:sz w:val="24"/>
          <w:szCs w:val="24"/>
        </w:rPr>
      </w:pPr>
    </w:p>
    <w:p w:rsidR="001A7D1F" w:rsidRPr="00B449E9" w:rsidRDefault="001A7D1F" w:rsidP="00EF292D">
      <w:pPr>
        <w:pStyle w:val="KeinLeerraum"/>
        <w:spacing w:line="360" w:lineRule="auto"/>
        <w:jc w:val="both"/>
        <w:rPr>
          <w:rFonts w:ascii="Times New Roman" w:hAnsi="Times New Roman" w:cs="Times New Roman"/>
          <w:sz w:val="24"/>
          <w:szCs w:val="24"/>
        </w:rPr>
      </w:pPr>
    </w:p>
    <w:p w:rsidR="00B816BF" w:rsidRPr="00B449E9" w:rsidRDefault="00B816BF" w:rsidP="00EF292D">
      <w:pPr>
        <w:spacing w:line="360" w:lineRule="auto"/>
        <w:rPr>
          <w:rFonts w:ascii="Times New Roman" w:hAnsi="Times New Roman" w:cs="Times New Roman"/>
          <w:sz w:val="24"/>
          <w:szCs w:val="24"/>
        </w:rPr>
      </w:pPr>
    </w:p>
    <w:p w:rsidR="00B31164" w:rsidRPr="0053598F" w:rsidRDefault="00B31164" w:rsidP="003C4CD8">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S1</w:t>
      </w:r>
      <w:r w:rsidR="001705B7" w:rsidRPr="0053598F">
        <w:rPr>
          <w:rFonts w:ascii="Times New Roman" w:hAnsi="Times New Roman" w:cs="Times New Roman"/>
          <w:b/>
          <w:sz w:val="24"/>
          <w:szCs w:val="24"/>
          <w:lang w:val="en-US"/>
        </w:rPr>
        <w:t>:</w:t>
      </w:r>
      <w:r w:rsidRPr="0053598F">
        <w:rPr>
          <w:rFonts w:ascii="Times New Roman" w:hAnsi="Times New Roman" w:cs="Times New Roman"/>
          <w:b/>
          <w:sz w:val="24"/>
          <w:szCs w:val="24"/>
          <w:lang w:val="en-US"/>
        </w:rPr>
        <w:t xml:space="preserve"> </w:t>
      </w:r>
      <w:r w:rsidRPr="0053598F">
        <w:rPr>
          <w:rFonts w:ascii="Times New Roman" w:hAnsi="Times New Roman" w:cs="Times New Roman"/>
          <w:sz w:val="24"/>
          <w:szCs w:val="24"/>
          <w:lang w:val="en-US"/>
        </w:rPr>
        <w:t>Exemplary images of the surgical procedure for bone graft transplantation.</w:t>
      </w:r>
    </w:p>
    <w:p w:rsidR="00E250BD" w:rsidRPr="0053598F" w:rsidRDefault="00E250BD" w:rsidP="003C4CD8">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B31164" w:rsidRPr="0053598F">
        <w:rPr>
          <w:rFonts w:ascii="Times New Roman" w:hAnsi="Times New Roman" w:cs="Times New Roman"/>
          <w:b/>
          <w:sz w:val="24"/>
          <w:szCs w:val="24"/>
          <w:lang w:val="en-US"/>
        </w:rPr>
        <w:t>2</w:t>
      </w:r>
      <w:r w:rsidRPr="0053598F">
        <w:rPr>
          <w:rFonts w:ascii="Times New Roman" w:hAnsi="Times New Roman" w:cs="Times New Roman"/>
          <w:sz w:val="24"/>
          <w:szCs w:val="24"/>
          <w:lang w:val="en-US"/>
        </w:rPr>
        <w:t>: The blood vessels were primarily concentrated within the center of the medullary cavity of the bone graft.</w:t>
      </w:r>
    </w:p>
    <w:p w:rsidR="00A13FCD" w:rsidRPr="0053598F" w:rsidRDefault="00A13FCD" w:rsidP="003C4CD8">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B31164" w:rsidRPr="0053598F">
        <w:rPr>
          <w:rFonts w:ascii="Times New Roman" w:hAnsi="Times New Roman" w:cs="Times New Roman"/>
          <w:b/>
          <w:sz w:val="24"/>
          <w:szCs w:val="24"/>
          <w:lang w:val="en-US"/>
        </w:rPr>
        <w:t>3</w:t>
      </w:r>
      <w:r w:rsidRPr="0053598F">
        <w:rPr>
          <w:rFonts w:ascii="Times New Roman" w:hAnsi="Times New Roman" w:cs="Times New Roman"/>
          <w:b/>
          <w:sz w:val="24"/>
          <w:szCs w:val="24"/>
          <w:lang w:val="en-US"/>
        </w:rPr>
        <w:t xml:space="preserve">: </w:t>
      </w:r>
      <w:r w:rsidRPr="0053598F">
        <w:rPr>
          <w:rFonts w:ascii="Times New Roman" w:hAnsi="Times New Roman" w:cs="Times New Roman"/>
          <w:sz w:val="24"/>
          <w:szCs w:val="24"/>
          <w:lang w:val="en-US"/>
        </w:rPr>
        <w:t>Pre-osteoblasts originated from the proximal bone marrow and populated the graft by day 14.</w:t>
      </w:r>
    </w:p>
    <w:p w:rsidR="00DC41E3" w:rsidRPr="0053598F" w:rsidRDefault="00DC41E3" w:rsidP="00DC41E3">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B31164" w:rsidRPr="0053598F">
        <w:rPr>
          <w:rFonts w:ascii="Times New Roman" w:hAnsi="Times New Roman" w:cs="Times New Roman"/>
          <w:b/>
          <w:sz w:val="24"/>
          <w:szCs w:val="24"/>
          <w:lang w:val="en-US"/>
        </w:rPr>
        <w:t>4</w:t>
      </w:r>
      <w:r w:rsidRPr="0053598F">
        <w:rPr>
          <w:rFonts w:ascii="Times New Roman" w:hAnsi="Times New Roman" w:cs="Times New Roman"/>
          <w:b/>
          <w:sz w:val="24"/>
          <w:szCs w:val="24"/>
          <w:lang w:val="en-US"/>
        </w:rPr>
        <w:t xml:space="preserve">: </w:t>
      </w:r>
      <w:r w:rsidRPr="0053598F">
        <w:rPr>
          <w:rFonts w:ascii="Times New Roman" w:hAnsi="Times New Roman" w:cs="Times New Roman"/>
          <w:sz w:val="24"/>
          <w:szCs w:val="24"/>
          <w:lang w:val="en-US"/>
        </w:rPr>
        <w:t>Fibrillar collagen assembly primarily occurred at the host-graft transition zones while being absent within the bone graft.</w:t>
      </w:r>
    </w:p>
    <w:p w:rsidR="00E250BD" w:rsidRPr="0053598F" w:rsidRDefault="00E250BD" w:rsidP="003C4CD8">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B31164" w:rsidRPr="0053598F">
        <w:rPr>
          <w:rFonts w:ascii="Times New Roman" w:hAnsi="Times New Roman" w:cs="Times New Roman"/>
          <w:b/>
          <w:sz w:val="24"/>
          <w:szCs w:val="24"/>
          <w:lang w:val="en-US"/>
        </w:rPr>
        <w:t>5</w:t>
      </w:r>
      <w:r w:rsidRPr="0053598F">
        <w:rPr>
          <w:rFonts w:ascii="Times New Roman" w:hAnsi="Times New Roman" w:cs="Times New Roman"/>
          <w:sz w:val="24"/>
          <w:szCs w:val="24"/>
          <w:lang w:val="en-US"/>
        </w:rPr>
        <w:t>: Vessel sprouts invading the bone graft from the proximal host bone marrow preceded fibrillar collagen.</w:t>
      </w:r>
    </w:p>
    <w:p w:rsidR="00B07520" w:rsidRPr="0053598F" w:rsidRDefault="00B07520" w:rsidP="00B07520">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B31164" w:rsidRPr="0053598F">
        <w:rPr>
          <w:rFonts w:ascii="Times New Roman" w:hAnsi="Times New Roman" w:cs="Times New Roman"/>
          <w:b/>
          <w:sz w:val="24"/>
          <w:szCs w:val="24"/>
          <w:lang w:val="en-US"/>
        </w:rPr>
        <w:t>6</w:t>
      </w:r>
      <w:r w:rsidRPr="0053598F">
        <w:rPr>
          <w:rFonts w:ascii="Times New Roman" w:hAnsi="Times New Roman" w:cs="Times New Roman"/>
          <w:sz w:val="24"/>
          <w:szCs w:val="24"/>
          <w:lang w:val="en-US"/>
        </w:rPr>
        <w:t xml:space="preserve">: </w:t>
      </w:r>
      <w:r w:rsidR="007974DB" w:rsidRPr="0053598F">
        <w:rPr>
          <w:rFonts w:ascii="Times New Roman" w:hAnsi="Times New Roman" w:cs="Times New Roman"/>
          <w:sz w:val="24"/>
          <w:szCs w:val="24"/>
          <w:lang w:val="en-US"/>
        </w:rPr>
        <w:t>The flushing of the graft bone marrow resulted in varying vessel orientations at the proximal host-graft transition zone compared to samples that retained their graft bone marrow.</w:t>
      </w:r>
    </w:p>
    <w:p w:rsidR="00DC41E3" w:rsidRPr="0053598F" w:rsidRDefault="00DC41E3" w:rsidP="00DC41E3">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B31164" w:rsidRPr="0053598F">
        <w:rPr>
          <w:rFonts w:ascii="Times New Roman" w:hAnsi="Times New Roman" w:cs="Times New Roman"/>
          <w:b/>
          <w:sz w:val="24"/>
          <w:szCs w:val="24"/>
          <w:lang w:val="en-US"/>
        </w:rPr>
        <w:t>7</w:t>
      </w:r>
      <w:r w:rsidRPr="0053598F">
        <w:rPr>
          <w:rFonts w:ascii="Times New Roman" w:hAnsi="Times New Roman" w:cs="Times New Roman"/>
          <w:sz w:val="24"/>
          <w:szCs w:val="24"/>
          <w:lang w:val="en-US"/>
        </w:rPr>
        <w:t>: Distribution of tissue components in the bone graft with non-flushed versus flushed bone marrow.</w:t>
      </w:r>
    </w:p>
    <w:p w:rsidR="001A7D1F" w:rsidRPr="0053598F" w:rsidRDefault="001A7D1F" w:rsidP="00EF292D">
      <w:pPr>
        <w:pStyle w:val="KeinLeerraum"/>
        <w:spacing w:line="360" w:lineRule="auto"/>
        <w:jc w:val="both"/>
        <w:rPr>
          <w:rFonts w:ascii="Times New Roman" w:hAnsi="Times New Roman" w:cs="Times New Roman"/>
          <w:sz w:val="24"/>
          <w:szCs w:val="24"/>
          <w:lang w:val="en-US"/>
        </w:rPr>
      </w:pPr>
    </w:p>
    <w:p w:rsidR="00EF292D" w:rsidRPr="0053598F" w:rsidRDefault="00EF292D" w:rsidP="00EF292D">
      <w:pPr>
        <w:spacing w:line="360" w:lineRule="auto"/>
        <w:rPr>
          <w:rFonts w:ascii="Times New Roman" w:hAnsi="Times New Roman" w:cs="Times New Roman"/>
          <w:noProof/>
          <w:sz w:val="24"/>
          <w:szCs w:val="24"/>
          <w:lang w:val="en-US" w:eastAsia="de-DE"/>
        </w:rPr>
      </w:pPr>
      <w:r w:rsidRPr="0053598F">
        <w:rPr>
          <w:rFonts w:ascii="Times New Roman" w:hAnsi="Times New Roman" w:cs="Times New Roman"/>
          <w:noProof/>
          <w:sz w:val="24"/>
          <w:szCs w:val="24"/>
          <w:lang w:val="en-US" w:eastAsia="de-DE"/>
        </w:rPr>
        <w:br w:type="page"/>
      </w:r>
    </w:p>
    <w:p w:rsidR="00B31164" w:rsidRPr="0053598F" w:rsidRDefault="00C72E42" w:rsidP="00B31164">
      <w:pPr>
        <w:pStyle w:val="KeinLeerraum"/>
        <w:jc w:val="both"/>
        <w:rPr>
          <w:rFonts w:ascii="Times New Roman" w:hAnsi="Times New Roman" w:cs="Times New Roman"/>
          <w:sz w:val="24"/>
          <w:szCs w:val="24"/>
          <w:lang w:val="en-US"/>
        </w:rPr>
      </w:pPr>
      <w:r w:rsidRPr="0053598F">
        <w:rPr>
          <w:rFonts w:ascii="Times New Roman" w:hAnsi="Times New Roman" w:cs="Times New Roman"/>
          <w:noProof/>
          <w:sz w:val="24"/>
          <w:szCs w:val="24"/>
          <w:lang w:val="en-US"/>
        </w:rPr>
        <w:lastRenderedPageBreak/>
        <w:drawing>
          <wp:inline distT="0" distB="0" distL="0" distR="0" wp14:anchorId="55EFDDCE">
            <wp:extent cx="3552490" cy="14001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2521" cy="1404129"/>
                    </a:xfrm>
                    <a:prstGeom prst="rect">
                      <a:avLst/>
                    </a:prstGeom>
                    <a:noFill/>
                  </pic:spPr>
                </pic:pic>
              </a:graphicData>
            </a:graphic>
          </wp:inline>
        </w:drawing>
      </w:r>
    </w:p>
    <w:p w:rsidR="00B31164" w:rsidRPr="0053598F" w:rsidRDefault="00B31164" w:rsidP="00B31164">
      <w:pPr>
        <w:pStyle w:val="KeinLeerraum"/>
        <w:jc w:val="both"/>
        <w:rPr>
          <w:rFonts w:ascii="Times New Roman" w:hAnsi="Times New Roman" w:cs="Times New Roman"/>
          <w:sz w:val="24"/>
          <w:szCs w:val="24"/>
          <w:lang w:val="en-US"/>
        </w:rPr>
      </w:pPr>
    </w:p>
    <w:p w:rsidR="00B31164" w:rsidRPr="0053598F" w:rsidRDefault="00B31164" w:rsidP="00B31164">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S1</w:t>
      </w:r>
      <w:r w:rsidR="001705B7" w:rsidRPr="0053598F">
        <w:rPr>
          <w:rFonts w:ascii="Times New Roman" w:hAnsi="Times New Roman" w:cs="Times New Roman"/>
          <w:b/>
          <w:sz w:val="24"/>
          <w:szCs w:val="24"/>
          <w:lang w:val="en-US"/>
        </w:rPr>
        <w:t>:</w:t>
      </w:r>
      <w:r w:rsidRPr="0053598F">
        <w:rPr>
          <w:rFonts w:ascii="Times New Roman" w:hAnsi="Times New Roman" w:cs="Times New Roman"/>
          <w:b/>
          <w:sz w:val="24"/>
          <w:szCs w:val="24"/>
          <w:lang w:val="en-US"/>
        </w:rPr>
        <w:t xml:space="preserve"> Exemplary images of the surgical procedure for bone graft transplantation. A)</w:t>
      </w:r>
      <w:r w:rsidR="00436396" w:rsidRPr="0053598F">
        <w:rPr>
          <w:rFonts w:ascii="Times New Roman" w:hAnsi="Times New Roman" w:cs="Times New Roman"/>
          <w:sz w:val="24"/>
          <w:szCs w:val="24"/>
          <w:lang w:val="en-US"/>
        </w:rPr>
        <w:t xml:space="preserve"> </w:t>
      </w:r>
      <w:r w:rsidR="00C72E42" w:rsidRPr="0053598F">
        <w:rPr>
          <w:rFonts w:ascii="Times New Roman" w:hAnsi="Times New Roman" w:cs="Times New Roman"/>
          <w:sz w:val="24"/>
          <w:szCs w:val="24"/>
          <w:lang w:val="en-US"/>
        </w:rPr>
        <w:t>Intraoperative view of a mouse in which a 2-mm bone graft was transplanted into the midshaft of the femur and stabilized using a distract</w:t>
      </w:r>
      <w:r w:rsidR="00BA5866" w:rsidRPr="0053598F">
        <w:rPr>
          <w:rFonts w:ascii="Times New Roman" w:hAnsi="Times New Roman" w:cs="Times New Roman"/>
          <w:sz w:val="24"/>
          <w:szCs w:val="24"/>
          <w:lang w:val="en-US"/>
        </w:rPr>
        <w:t>or</w:t>
      </w:r>
      <w:r w:rsidR="00C72E42" w:rsidRPr="0053598F">
        <w:rPr>
          <w:rFonts w:ascii="Times New Roman" w:hAnsi="Times New Roman" w:cs="Times New Roman"/>
          <w:sz w:val="24"/>
          <w:szCs w:val="24"/>
          <w:lang w:val="en-US"/>
        </w:rPr>
        <w:t xml:space="preserve">. The distraction system was applied to stabilize both the osteotomy sites and the bone graft. </w:t>
      </w:r>
      <w:r w:rsidR="00C72E42" w:rsidRPr="0053598F">
        <w:rPr>
          <w:rFonts w:ascii="Times New Roman" w:hAnsi="Times New Roman" w:cs="Times New Roman"/>
          <w:b/>
          <w:sz w:val="24"/>
          <w:szCs w:val="24"/>
          <w:lang w:val="en-US"/>
        </w:rPr>
        <w:t>B)</w:t>
      </w:r>
      <w:r w:rsidR="00C72E42" w:rsidRPr="0053598F">
        <w:rPr>
          <w:rFonts w:ascii="Times New Roman" w:hAnsi="Times New Roman" w:cs="Times New Roman"/>
          <w:sz w:val="24"/>
          <w:szCs w:val="24"/>
          <w:lang w:val="en-US"/>
        </w:rPr>
        <w:t xml:space="preserve"> Postoperative view showing the sutured wound after surgery. Animals were then returned to their cages for the respective healing period.</w:t>
      </w:r>
    </w:p>
    <w:p w:rsidR="003A16EF" w:rsidRPr="0053598F" w:rsidRDefault="003A16EF" w:rsidP="00B31164">
      <w:pPr>
        <w:spacing w:line="360" w:lineRule="auto"/>
        <w:jc w:val="both"/>
        <w:rPr>
          <w:rFonts w:ascii="Times New Roman" w:hAnsi="Times New Roman" w:cs="Times New Roman"/>
          <w:sz w:val="24"/>
          <w:szCs w:val="24"/>
          <w:lang w:val="en-US"/>
        </w:rPr>
      </w:pPr>
    </w:p>
    <w:p w:rsidR="00B31164" w:rsidRPr="0053598F" w:rsidRDefault="00B31164" w:rsidP="00B81203">
      <w:pPr>
        <w:pStyle w:val="KeinLeerraum"/>
        <w:jc w:val="both"/>
        <w:rPr>
          <w:rFonts w:ascii="Times New Roman" w:hAnsi="Times New Roman" w:cs="Times New Roman"/>
          <w:sz w:val="24"/>
          <w:szCs w:val="24"/>
          <w:lang w:val="en-US"/>
        </w:rPr>
      </w:pPr>
    </w:p>
    <w:p w:rsidR="00B31164" w:rsidRPr="0053598F" w:rsidRDefault="00B31164" w:rsidP="00B81203">
      <w:pPr>
        <w:pStyle w:val="KeinLeerraum"/>
        <w:jc w:val="both"/>
        <w:rPr>
          <w:rFonts w:ascii="Times New Roman" w:hAnsi="Times New Roman" w:cs="Times New Roman"/>
          <w:sz w:val="24"/>
          <w:szCs w:val="24"/>
          <w:lang w:val="en-US"/>
        </w:rPr>
      </w:pPr>
    </w:p>
    <w:p w:rsidR="00B31164" w:rsidRPr="0053598F" w:rsidRDefault="00B31164" w:rsidP="00B81203">
      <w:pPr>
        <w:pStyle w:val="KeinLeerraum"/>
        <w:jc w:val="both"/>
        <w:rPr>
          <w:rFonts w:ascii="Times New Roman" w:hAnsi="Times New Roman" w:cs="Times New Roman"/>
          <w:sz w:val="24"/>
          <w:szCs w:val="24"/>
          <w:lang w:val="en-US"/>
        </w:rPr>
      </w:pPr>
    </w:p>
    <w:p w:rsidR="00B81203" w:rsidRPr="0053598F" w:rsidRDefault="00B81203" w:rsidP="00B81203">
      <w:pPr>
        <w:pStyle w:val="KeinLeerraum"/>
        <w:jc w:val="both"/>
        <w:rPr>
          <w:rFonts w:ascii="Times New Roman" w:hAnsi="Times New Roman" w:cs="Times New Roman"/>
          <w:sz w:val="24"/>
          <w:szCs w:val="24"/>
          <w:lang w:val="en-US"/>
        </w:rPr>
      </w:pPr>
      <w:r w:rsidRPr="0053598F">
        <w:rPr>
          <w:rFonts w:ascii="Times New Roman" w:hAnsi="Times New Roman" w:cs="Times New Roman"/>
          <w:noProof/>
          <w:sz w:val="24"/>
          <w:szCs w:val="24"/>
          <w:lang w:eastAsia="de-DE"/>
        </w:rPr>
        <w:drawing>
          <wp:inline distT="0" distB="0" distL="0" distR="0" wp14:anchorId="5934E593" wp14:editId="5D582559">
            <wp:extent cx="5307750" cy="1876425"/>
            <wp:effectExtent l="0" t="0" r="762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0" r="1894"/>
                    <a:stretch/>
                  </pic:blipFill>
                  <pic:spPr bwMode="auto">
                    <a:xfrm>
                      <a:off x="0" y="0"/>
                      <a:ext cx="5335671" cy="1886296"/>
                    </a:xfrm>
                    <a:prstGeom prst="rect">
                      <a:avLst/>
                    </a:prstGeom>
                    <a:noFill/>
                    <a:ln>
                      <a:noFill/>
                    </a:ln>
                    <a:extLst>
                      <a:ext uri="{53640926-AAD7-44D8-BBD7-CCE9431645EC}">
                        <a14:shadowObscured xmlns:a14="http://schemas.microsoft.com/office/drawing/2010/main"/>
                      </a:ext>
                    </a:extLst>
                  </pic:spPr>
                </pic:pic>
              </a:graphicData>
            </a:graphic>
          </wp:inline>
        </w:drawing>
      </w:r>
    </w:p>
    <w:p w:rsidR="0034223A" w:rsidRPr="0053598F" w:rsidRDefault="0034223A" w:rsidP="00B81203">
      <w:pPr>
        <w:pStyle w:val="KeinLeerraum"/>
        <w:jc w:val="both"/>
        <w:rPr>
          <w:rFonts w:ascii="Times New Roman" w:hAnsi="Times New Roman" w:cs="Times New Roman"/>
          <w:sz w:val="24"/>
          <w:szCs w:val="24"/>
          <w:lang w:val="en-US"/>
        </w:rPr>
      </w:pPr>
    </w:p>
    <w:p w:rsidR="006D62E1" w:rsidRPr="0053598F" w:rsidRDefault="006D62E1" w:rsidP="00432CDE">
      <w:pPr>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5C2534" w:rsidRPr="0053598F">
        <w:rPr>
          <w:rFonts w:ascii="Times New Roman" w:hAnsi="Times New Roman" w:cs="Times New Roman"/>
          <w:b/>
          <w:sz w:val="24"/>
          <w:szCs w:val="24"/>
          <w:lang w:val="en-US"/>
        </w:rPr>
        <w:t>2</w:t>
      </w:r>
      <w:r w:rsidRPr="0053598F">
        <w:rPr>
          <w:rFonts w:ascii="Times New Roman" w:hAnsi="Times New Roman" w:cs="Times New Roman"/>
          <w:b/>
          <w:sz w:val="24"/>
          <w:szCs w:val="24"/>
          <w:lang w:val="en-US"/>
        </w:rPr>
        <w:t xml:space="preserve">: </w:t>
      </w:r>
      <w:r w:rsidR="00432CDE" w:rsidRPr="0053598F">
        <w:rPr>
          <w:rFonts w:ascii="Times New Roman" w:hAnsi="Times New Roman" w:cs="Times New Roman"/>
          <w:b/>
          <w:sz w:val="24"/>
          <w:szCs w:val="24"/>
          <w:lang w:val="en-US"/>
        </w:rPr>
        <w:t xml:space="preserve">The blood vessels were primarily concentrated within the center of the medullary cavity of the bone graft. </w:t>
      </w:r>
      <w:r w:rsidRPr="0053598F">
        <w:rPr>
          <w:rFonts w:ascii="Times New Roman" w:hAnsi="Times New Roman" w:cs="Times New Roman"/>
          <w:b/>
          <w:sz w:val="24"/>
          <w:szCs w:val="24"/>
          <w:lang w:val="en-US"/>
        </w:rPr>
        <w:t xml:space="preserve">A) </w:t>
      </w:r>
      <w:r w:rsidRPr="0053598F">
        <w:rPr>
          <w:rFonts w:ascii="Times New Roman" w:hAnsi="Times New Roman" w:cs="Times New Roman"/>
          <w:sz w:val="24"/>
          <w:szCs w:val="24"/>
          <w:lang w:val="en-US"/>
        </w:rPr>
        <w:t xml:space="preserve">Vessel density and distribution based on CD146 staining. </w:t>
      </w:r>
      <w:r w:rsidRPr="0053598F">
        <w:rPr>
          <w:rFonts w:ascii="Times New Roman" w:hAnsi="Times New Roman" w:cs="Times New Roman"/>
          <w:b/>
          <w:sz w:val="24"/>
          <w:szCs w:val="24"/>
          <w:lang w:val="en-US"/>
        </w:rPr>
        <w:t>B)</w:t>
      </w:r>
      <w:r w:rsidRPr="0053598F">
        <w:rPr>
          <w:rFonts w:ascii="Times New Roman" w:hAnsi="Times New Roman" w:cs="Times New Roman"/>
          <w:sz w:val="24"/>
          <w:szCs w:val="24"/>
          <w:lang w:val="en-US"/>
        </w:rPr>
        <w:t xml:space="preserve"> Heat map shows vessel density within the medullary bone graft. The time course from 3 days (n</w:t>
      </w:r>
      <w:r w:rsidR="006F0FAA" w:rsidRPr="0053598F">
        <w:rPr>
          <w:rFonts w:ascii="Times New Roman" w:hAnsi="Times New Roman" w:cs="Times New Roman"/>
          <w:sz w:val="24"/>
          <w:szCs w:val="24"/>
          <w:lang w:val="en-US"/>
        </w:rPr>
        <w:t xml:space="preserve"> </w:t>
      </w:r>
      <w:r w:rsidRPr="0053598F">
        <w:rPr>
          <w:rFonts w:ascii="Times New Roman" w:hAnsi="Times New Roman" w:cs="Times New Roman"/>
          <w:sz w:val="24"/>
          <w:szCs w:val="24"/>
          <w:lang w:val="en-US"/>
        </w:rPr>
        <w:t>= 5) to 7 days (n</w:t>
      </w:r>
      <w:r w:rsidR="006F0FAA" w:rsidRPr="0053598F">
        <w:rPr>
          <w:rFonts w:ascii="Times New Roman" w:hAnsi="Times New Roman" w:cs="Times New Roman"/>
          <w:sz w:val="24"/>
          <w:szCs w:val="24"/>
          <w:lang w:val="en-US"/>
        </w:rPr>
        <w:t xml:space="preserve"> </w:t>
      </w:r>
      <w:r w:rsidRPr="0053598F">
        <w:rPr>
          <w:rFonts w:ascii="Times New Roman" w:hAnsi="Times New Roman" w:cs="Times New Roman"/>
          <w:sz w:val="24"/>
          <w:szCs w:val="24"/>
          <w:lang w:val="en-US"/>
        </w:rPr>
        <w:t>= 5) to 14 days (n</w:t>
      </w:r>
      <w:r w:rsidR="006F0FAA" w:rsidRPr="0053598F">
        <w:rPr>
          <w:rFonts w:ascii="Times New Roman" w:hAnsi="Times New Roman" w:cs="Times New Roman"/>
          <w:sz w:val="24"/>
          <w:szCs w:val="24"/>
          <w:lang w:val="en-US"/>
        </w:rPr>
        <w:t xml:space="preserve"> </w:t>
      </w:r>
      <w:r w:rsidRPr="0053598F">
        <w:rPr>
          <w:rFonts w:ascii="Times New Roman" w:hAnsi="Times New Roman" w:cs="Times New Roman"/>
          <w:sz w:val="24"/>
          <w:szCs w:val="24"/>
          <w:lang w:val="en-US"/>
        </w:rPr>
        <w:t xml:space="preserve">= 6) after surgery illustrates sprouting of vessels from the proximal to the distal areas. Increased vessel density in the center of the medullary cavity of the bone graft (green box). </w:t>
      </w:r>
    </w:p>
    <w:p w:rsidR="00B9738A" w:rsidRPr="0053598F" w:rsidRDefault="00B9738A" w:rsidP="00432CDE">
      <w:pPr>
        <w:spacing w:line="360" w:lineRule="auto"/>
        <w:jc w:val="both"/>
        <w:rPr>
          <w:rFonts w:ascii="Times New Roman" w:hAnsi="Times New Roman" w:cs="Times New Roman"/>
          <w:sz w:val="24"/>
          <w:szCs w:val="24"/>
          <w:lang w:val="en-US"/>
        </w:rPr>
      </w:pPr>
    </w:p>
    <w:p w:rsidR="002B4938" w:rsidRPr="0053598F" w:rsidRDefault="00A034FB" w:rsidP="002B4938">
      <w:pPr>
        <w:pStyle w:val="KeinLeerraum"/>
        <w:spacing w:line="360" w:lineRule="auto"/>
        <w:jc w:val="both"/>
        <w:rPr>
          <w:rFonts w:ascii="Times New Roman" w:hAnsi="Times New Roman" w:cs="Times New Roman"/>
          <w:sz w:val="24"/>
          <w:szCs w:val="24"/>
          <w:lang w:val="en-US"/>
        </w:rPr>
      </w:pPr>
      <w:r w:rsidRPr="0053598F">
        <w:rPr>
          <w:rFonts w:ascii="Times New Roman" w:hAnsi="Times New Roman" w:cs="Times New Roman"/>
          <w:noProof/>
          <w:sz w:val="24"/>
          <w:szCs w:val="24"/>
          <w:lang w:val="en-US"/>
        </w:rPr>
        <w:lastRenderedPageBreak/>
        <w:drawing>
          <wp:inline distT="0" distB="0" distL="0" distR="0" wp14:anchorId="2D25A096">
            <wp:extent cx="4993341" cy="23717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902" cy="2385766"/>
                    </a:xfrm>
                    <a:prstGeom prst="rect">
                      <a:avLst/>
                    </a:prstGeom>
                    <a:noFill/>
                  </pic:spPr>
                </pic:pic>
              </a:graphicData>
            </a:graphic>
          </wp:inline>
        </w:drawing>
      </w:r>
    </w:p>
    <w:p w:rsidR="00B4014F" w:rsidRPr="0053598F" w:rsidRDefault="00B4014F" w:rsidP="00B4014F">
      <w:pPr>
        <w:pStyle w:val="KeinLeerraum"/>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5C2534" w:rsidRPr="0053598F">
        <w:rPr>
          <w:rFonts w:ascii="Times New Roman" w:hAnsi="Times New Roman" w:cs="Times New Roman"/>
          <w:b/>
          <w:sz w:val="24"/>
          <w:szCs w:val="24"/>
          <w:lang w:val="en-US"/>
        </w:rPr>
        <w:t>3</w:t>
      </w:r>
      <w:r w:rsidR="00B9738A" w:rsidRPr="0053598F">
        <w:rPr>
          <w:rFonts w:ascii="Times New Roman" w:hAnsi="Times New Roman" w:cs="Times New Roman"/>
          <w:b/>
          <w:sz w:val="24"/>
          <w:szCs w:val="24"/>
          <w:lang w:val="en-US"/>
        </w:rPr>
        <w:t>:</w:t>
      </w:r>
      <w:r w:rsidRPr="0053598F">
        <w:rPr>
          <w:rFonts w:ascii="Times New Roman" w:hAnsi="Times New Roman" w:cs="Times New Roman"/>
          <w:b/>
          <w:sz w:val="24"/>
          <w:szCs w:val="24"/>
          <w:lang w:val="en-US"/>
        </w:rPr>
        <w:t xml:space="preserve"> Pre-osteoblasts originated from the proximal bone marrow and populated the graft by day 14. A) </w:t>
      </w:r>
      <w:r w:rsidRPr="0053598F">
        <w:rPr>
          <w:rFonts w:ascii="Times New Roman" w:hAnsi="Times New Roman" w:cs="Times New Roman"/>
          <w:sz w:val="24"/>
          <w:szCs w:val="24"/>
          <w:lang w:val="en-US"/>
        </w:rPr>
        <w:t>At 3 days, OSX-expressing cells began infiltrating the graft from the proximal host bone marrow, progressing to complete graft repopulation by day 14.</w:t>
      </w:r>
      <w:r w:rsidRPr="0053598F">
        <w:rPr>
          <w:rFonts w:ascii="Times New Roman" w:hAnsi="Times New Roman" w:cs="Times New Roman"/>
          <w:b/>
          <w:sz w:val="24"/>
          <w:szCs w:val="24"/>
          <w:lang w:val="en-US"/>
        </w:rPr>
        <w:t xml:space="preserve"> B) </w:t>
      </w:r>
      <w:r w:rsidRPr="0053598F">
        <w:rPr>
          <w:rFonts w:ascii="Times New Roman" w:hAnsi="Times New Roman" w:cs="Times New Roman"/>
          <w:sz w:val="24"/>
          <w:szCs w:val="24"/>
          <w:lang w:val="en-US"/>
        </w:rPr>
        <w:t>Superimposition of OSX with EMCN staining at the 7-day time point revealed a close spatial association of OSX-expressing cells with blood vessel</w:t>
      </w:r>
      <w:r w:rsidR="006028AF" w:rsidRPr="0053598F">
        <w:rPr>
          <w:rFonts w:ascii="Times New Roman" w:hAnsi="Times New Roman" w:cs="Times New Roman"/>
          <w:sz w:val="24"/>
          <w:szCs w:val="24"/>
          <w:lang w:val="en-US"/>
        </w:rPr>
        <w:t xml:space="preserve">s </w:t>
      </w:r>
      <w:bookmarkStart w:id="1" w:name="_Hlk205811918"/>
      <w:r w:rsidR="006028AF" w:rsidRPr="0053598F">
        <w:rPr>
          <w:rFonts w:ascii="Times New Roman" w:hAnsi="Times New Roman" w:cs="Times New Roman"/>
          <w:sz w:val="24"/>
          <w:szCs w:val="24"/>
          <w:lang w:val="en-US"/>
        </w:rPr>
        <w:t>(scale bar overview images: 1000 µm; zoom-in image: 100 µm)</w:t>
      </w:r>
      <w:r w:rsidR="007E1BB9" w:rsidRPr="0053598F">
        <w:rPr>
          <w:rFonts w:ascii="Times New Roman" w:hAnsi="Times New Roman" w:cs="Times New Roman"/>
          <w:sz w:val="24"/>
          <w:szCs w:val="24"/>
          <w:lang w:val="en-US"/>
        </w:rPr>
        <w:t>.</w:t>
      </w:r>
      <w:bookmarkEnd w:id="1"/>
    </w:p>
    <w:p w:rsidR="005C2534" w:rsidRPr="0053598F" w:rsidRDefault="005C2534" w:rsidP="00B4014F">
      <w:pPr>
        <w:pStyle w:val="KeinLeerraum"/>
        <w:spacing w:line="360" w:lineRule="auto"/>
        <w:jc w:val="both"/>
        <w:rPr>
          <w:rFonts w:ascii="Times New Roman" w:hAnsi="Times New Roman" w:cs="Times New Roman"/>
          <w:sz w:val="24"/>
          <w:szCs w:val="24"/>
          <w:lang w:val="en-US"/>
        </w:rPr>
      </w:pPr>
    </w:p>
    <w:p w:rsidR="008423B8" w:rsidRPr="0053598F" w:rsidRDefault="008423B8" w:rsidP="00B4014F">
      <w:pPr>
        <w:pStyle w:val="KeinLeerraum"/>
        <w:spacing w:line="360" w:lineRule="auto"/>
        <w:jc w:val="both"/>
        <w:rPr>
          <w:rFonts w:ascii="Times New Roman" w:hAnsi="Times New Roman" w:cs="Times New Roman"/>
          <w:sz w:val="24"/>
          <w:szCs w:val="24"/>
          <w:lang w:val="en-US"/>
        </w:rPr>
      </w:pPr>
    </w:p>
    <w:p w:rsidR="005C2534" w:rsidRPr="0053598F" w:rsidRDefault="005C2534" w:rsidP="00B4014F">
      <w:pPr>
        <w:pStyle w:val="KeinLeerraum"/>
        <w:spacing w:line="360" w:lineRule="auto"/>
        <w:jc w:val="both"/>
        <w:rPr>
          <w:rFonts w:ascii="Times New Roman" w:hAnsi="Times New Roman" w:cs="Times New Roman"/>
          <w:sz w:val="24"/>
          <w:szCs w:val="24"/>
          <w:lang w:val="en-US"/>
        </w:rPr>
      </w:pPr>
    </w:p>
    <w:p w:rsidR="00F13B83" w:rsidRPr="0053598F" w:rsidRDefault="00F13B83" w:rsidP="00B4014F">
      <w:pPr>
        <w:rPr>
          <w:rFonts w:ascii="Times New Roman" w:hAnsi="Times New Roman" w:cs="Times New Roman"/>
          <w:b/>
          <w:sz w:val="24"/>
          <w:szCs w:val="24"/>
          <w:lang w:val="en-US"/>
        </w:rPr>
      </w:pPr>
      <w:r w:rsidRPr="0053598F">
        <w:rPr>
          <w:rFonts w:ascii="Times New Roman" w:hAnsi="Times New Roman" w:cs="Times New Roman"/>
          <w:b/>
          <w:noProof/>
          <w:sz w:val="24"/>
          <w:szCs w:val="24"/>
          <w:lang w:val="en-US"/>
        </w:rPr>
        <w:drawing>
          <wp:inline distT="0" distB="0" distL="0" distR="0" wp14:anchorId="2288E937" wp14:editId="7967A583">
            <wp:extent cx="5099437" cy="2514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6172" cy="2527783"/>
                    </a:xfrm>
                    <a:prstGeom prst="rect">
                      <a:avLst/>
                    </a:prstGeom>
                    <a:noFill/>
                  </pic:spPr>
                </pic:pic>
              </a:graphicData>
            </a:graphic>
          </wp:inline>
        </w:drawing>
      </w:r>
    </w:p>
    <w:p w:rsidR="00F13B83" w:rsidRPr="0053598F" w:rsidRDefault="00F13B83" w:rsidP="00F13B83">
      <w:pPr>
        <w:pStyle w:val="KeinLeerraum"/>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5C2534" w:rsidRPr="0053598F">
        <w:rPr>
          <w:rFonts w:ascii="Times New Roman" w:hAnsi="Times New Roman" w:cs="Times New Roman"/>
          <w:b/>
          <w:sz w:val="24"/>
          <w:szCs w:val="24"/>
          <w:lang w:val="en-US"/>
        </w:rPr>
        <w:t>4</w:t>
      </w:r>
      <w:r w:rsidRPr="0053598F">
        <w:rPr>
          <w:rFonts w:ascii="Times New Roman" w:hAnsi="Times New Roman" w:cs="Times New Roman"/>
          <w:b/>
          <w:sz w:val="24"/>
          <w:szCs w:val="24"/>
          <w:lang w:val="en-US"/>
        </w:rPr>
        <w:t xml:space="preserve">: Fibrillar collagen assembly primarily occurred at the host-graft transition zones while being absent within the bone graft. A) </w:t>
      </w:r>
      <w:r w:rsidRPr="0053598F">
        <w:rPr>
          <w:rFonts w:ascii="Times New Roman" w:hAnsi="Times New Roman" w:cs="Times New Roman"/>
          <w:sz w:val="24"/>
          <w:szCs w:val="24"/>
          <w:lang w:val="en-US"/>
        </w:rPr>
        <w:t xml:space="preserve">To visualize fibrillar collagen, second harmonic generation (SHG) imaging was performed on the previously shown samples for 3 days, 7 days and 14 days post-transplantation (Figures 3-6). Overview images of the host bone with the bone graft illustrates the absence of fibrillar collagen in the bone graft itself, while fibrillar collagen was assembled at the transition zones. </w:t>
      </w:r>
      <w:r w:rsidRPr="0053598F">
        <w:rPr>
          <w:rFonts w:ascii="Times New Roman" w:hAnsi="Times New Roman" w:cs="Times New Roman"/>
          <w:b/>
          <w:sz w:val="24"/>
          <w:szCs w:val="24"/>
          <w:lang w:val="en-US"/>
        </w:rPr>
        <w:t xml:space="preserve">B) </w:t>
      </w:r>
      <w:r w:rsidRPr="0053598F">
        <w:rPr>
          <w:rFonts w:ascii="Times New Roman" w:hAnsi="Times New Roman" w:cs="Times New Roman"/>
          <w:sz w:val="24"/>
          <w:szCs w:val="24"/>
          <w:lang w:val="en-US"/>
        </w:rPr>
        <w:t xml:space="preserve">Zoom-in images showing the </w:t>
      </w:r>
      <w:r w:rsidRPr="0053598F">
        <w:rPr>
          <w:rFonts w:ascii="Times New Roman" w:hAnsi="Times New Roman" w:cs="Times New Roman"/>
          <w:sz w:val="24"/>
          <w:szCs w:val="24"/>
          <w:lang w:val="en-US"/>
        </w:rPr>
        <w:lastRenderedPageBreak/>
        <w:t xml:space="preserve">proximal and distal gaps. At the 3-day time point, clear punctate structures are visible in the proximal gap arising from SHG imaging, while almost completely absent in the distal area. On the 7th day after the surgery, the proximal gap shows collagen formation with a fibrillar structure, while in the distal area dot-like structured formations begin. 14 days after the surgery, dense collagen fiber structures are visible in both the proximal and distal areas. Gray = fibrillar collagen by SHG, red dashed area α = initiation of fibrillar collagen assembly by point structure formations; green dashed area ß = formation of mature fibrillar collagen, Ø = area absent of fibrillar collagen; blue dashed area γ = pin-callus. </w:t>
      </w:r>
    </w:p>
    <w:p w:rsidR="008423B8" w:rsidRPr="0053598F" w:rsidRDefault="008423B8" w:rsidP="00F13B83">
      <w:pPr>
        <w:pStyle w:val="KeinLeerraum"/>
        <w:spacing w:line="360" w:lineRule="auto"/>
        <w:jc w:val="both"/>
        <w:rPr>
          <w:rFonts w:ascii="Times New Roman" w:hAnsi="Times New Roman" w:cs="Times New Roman"/>
          <w:sz w:val="24"/>
          <w:szCs w:val="24"/>
          <w:lang w:val="en-US"/>
        </w:rPr>
      </w:pPr>
    </w:p>
    <w:p w:rsidR="008423B8" w:rsidRPr="0053598F" w:rsidRDefault="008423B8" w:rsidP="00F13B83">
      <w:pPr>
        <w:pStyle w:val="KeinLeerraum"/>
        <w:spacing w:line="360" w:lineRule="auto"/>
        <w:jc w:val="both"/>
        <w:rPr>
          <w:rFonts w:ascii="Times New Roman" w:hAnsi="Times New Roman" w:cs="Times New Roman"/>
          <w:sz w:val="24"/>
          <w:szCs w:val="24"/>
          <w:lang w:val="en-US"/>
        </w:rPr>
      </w:pPr>
    </w:p>
    <w:p w:rsidR="009A7515" w:rsidRPr="0053598F" w:rsidRDefault="009A7515" w:rsidP="00F13B83">
      <w:pPr>
        <w:pStyle w:val="KeinLeerraum"/>
        <w:spacing w:line="360" w:lineRule="auto"/>
        <w:jc w:val="both"/>
        <w:rPr>
          <w:rFonts w:ascii="Times New Roman" w:hAnsi="Times New Roman" w:cs="Times New Roman"/>
          <w:sz w:val="24"/>
          <w:szCs w:val="24"/>
          <w:lang w:val="en-US"/>
        </w:rPr>
      </w:pPr>
    </w:p>
    <w:p w:rsidR="00D3391D" w:rsidRPr="0053598F" w:rsidRDefault="004C0877" w:rsidP="008423B8">
      <w:pPr>
        <w:jc w:val="both"/>
        <w:rPr>
          <w:rFonts w:ascii="Times New Roman" w:hAnsi="Times New Roman" w:cs="Times New Roman"/>
          <w:sz w:val="24"/>
          <w:szCs w:val="24"/>
          <w:lang w:val="en-US"/>
        </w:rPr>
      </w:pPr>
      <w:r w:rsidRPr="0053598F">
        <w:rPr>
          <w:rFonts w:ascii="Times New Roman" w:hAnsi="Times New Roman" w:cs="Times New Roman"/>
          <w:noProof/>
          <w:sz w:val="24"/>
          <w:szCs w:val="24"/>
          <w:lang w:eastAsia="de-DE"/>
        </w:rPr>
        <w:drawing>
          <wp:inline distT="0" distB="0" distL="0" distR="0" wp14:anchorId="199DA538" wp14:editId="4FD81FAC">
            <wp:extent cx="5710938" cy="151066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55" t="6300"/>
                    <a:stretch/>
                  </pic:blipFill>
                  <pic:spPr bwMode="auto">
                    <a:xfrm>
                      <a:off x="0" y="0"/>
                      <a:ext cx="5728354" cy="1515272"/>
                    </a:xfrm>
                    <a:prstGeom prst="rect">
                      <a:avLst/>
                    </a:prstGeom>
                    <a:noFill/>
                    <a:ln>
                      <a:noFill/>
                    </a:ln>
                    <a:extLst>
                      <a:ext uri="{53640926-AAD7-44D8-BBD7-CCE9431645EC}">
                        <a14:shadowObscured xmlns:a14="http://schemas.microsoft.com/office/drawing/2010/main"/>
                      </a:ext>
                    </a:extLst>
                  </pic:spPr>
                </pic:pic>
              </a:graphicData>
            </a:graphic>
          </wp:inline>
        </w:drawing>
      </w:r>
    </w:p>
    <w:p w:rsidR="009817CD" w:rsidRPr="0053598F" w:rsidRDefault="00B80F98" w:rsidP="00B80F98">
      <w:pPr>
        <w:pStyle w:val="KeinLeerraum"/>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5C2534" w:rsidRPr="0053598F">
        <w:rPr>
          <w:rFonts w:ascii="Times New Roman" w:hAnsi="Times New Roman" w:cs="Times New Roman"/>
          <w:b/>
          <w:sz w:val="24"/>
          <w:szCs w:val="24"/>
          <w:lang w:val="en-US"/>
        </w:rPr>
        <w:t>5</w:t>
      </w:r>
      <w:r w:rsidRPr="0053598F">
        <w:rPr>
          <w:rFonts w:ascii="Times New Roman" w:hAnsi="Times New Roman" w:cs="Times New Roman"/>
          <w:b/>
          <w:sz w:val="24"/>
          <w:szCs w:val="24"/>
          <w:lang w:val="en-US"/>
        </w:rPr>
        <w:t xml:space="preserve">: </w:t>
      </w:r>
      <w:r w:rsidR="009817CD" w:rsidRPr="0053598F">
        <w:rPr>
          <w:rFonts w:ascii="Times New Roman" w:hAnsi="Times New Roman" w:cs="Times New Roman"/>
          <w:b/>
          <w:sz w:val="24"/>
          <w:szCs w:val="24"/>
          <w:lang w:val="en-US"/>
        </w:rPr>
        <w:t>Vessel sprouts invading the bone graft from the proximal host bone marrow preceded fibrillar collagen.</w:t>
      </w:r>
      <w:r w:rsidR="009817CD" w:rsidRPr="0053598F">
        <w:rPr>
          <w:rFonts w:ascii="Times New Roman" w:hAnsi="Times New Roman" w:cs="Times New Roman"/>
          <w:sz w:val="24"/>
          <w:szCs w:val="24"/>
          <w:lang w:val="en-US"/>
        </w:rPr>
        <w:t xml:space="preserve"> Fibrillar collagen, depicted by SHG, was superimposed with CD147 staining for blood vessel visualization. At 3 days post-transplantation, minimal fibrillar collagen was observed, while vessel sprouts penetrated the bone graft's bone marrow. By 7 days, fibrillar collagen began assembly at the proximal gap. Importantly, the appearance of vessel sprouts preceded the development of fibrillar collagen, penetrating the bone graft. Gray indicates fibrillar collagen (SHG), while magenta represents blood vessels (CD146).</w:t>
      </w:r>
    </w:p>
    <w:p w:rsidR="00D3391D" w:rsidRPr="0053598F" w:rsidRDefault="00D3391D">
      <w:pPr>
        <w:rPr>
          <w:rFonts w:ascii="Times New Roman" w:hAnsi="Times New Roman" w:cs="Times New Roman"/>
          <w:sz w:val="24"/>
          <w:szCs w:val="24"/>
          <w:lang w:val="en-US"/>
        </w:rPr>
      </w:pPr>
    </w:p>
    <w:p w:rsidR="00A8505A" w:rsidRPr="0053598F" w:rsidRDefault="00A8505A">
      <w:pPr>
        <w:rPr>
          <w:rFonts w:ascii="Times New Roman" w:hAnsi="Times New Roman" w:cs="Times New Roman"/>
          <w:sz w:val="24"/>
          <w:szCs w:val="24"/>
          <w:lang w:val="en-US"/>
        </w:rPr>
      </w:pPr>
    </w:p>
    <w:p w:rsidR="00282763" w:rsidRPr="0053598F" w:rsidRDefault="00282763">
      <w:pPr>
        <w:rPr>
          <w:rFonts w:ascii="Times New Roman" w:hAnsi="Times New Roman" w:cs="Times New Roman"/>
          <w:b/>
          <w:sz w:val="24"/>
          <w:szCs w:val="24"/>
          <w:lang w:val="en-US"/>
        </w:rPr>
      </w:pPr>
    </w:p>
    <w:p w:rsidR="00B816BF" w:rsidRPr="0053598F" w:rsidRDefault="00B816BF">
      <w:pPr>
        <w:rPr>
          <w:rFonts w:ascii="Times New Roman" w:hAnsi="Times New Roman" w:cs="Times New Roman"/>
          <w:b/>
          <w:sz w:val="24"/>
          <w:szCs w:val="24"/>
          <w:lang w:val="en-US"/>
        </w:rPr>
      </w:pPr>
      <w:r w:rsidRPr="0053598F">
        <w:rPr>
          <w:rFonts w:ascii="Times New Roman" w:hAnsi="Times New Roman" w:cs="Times New Roman"/>
          <w:b/>
          <w:sz w:val="24"/>
          <w:szCs w:val="24"/>
          <w:lang w:val="en-US"/>
        </w:rPr>
        <w:br w:type="page"/>
      </w:r>
    </w:p>
    <w:p w:rsidR="00F13B83" w:rsidRPr="0053598F" w:rsidRDefault="00F13B83" w:rsidP="00F13B83">
      <w:pPr>
        <w:pStyle w:val="KeinLeerraum"/>
        <w:jc w:val="both"/>
        <w:rPr>
          <w:rFonts w:ascii="Times New Roman" w:hAnsi="Times New Roman" w:cs="Times New Roman"/>
          <w:sz w:val="24"/>
          <w:szCs w:val="24"/>
          <w:lang w:val="en-US"/>
        </w:rPr>
      </w:pPr>
      <w:r w:rsidRPr="0053598F">
        <w:rPr>
          <w:rFonts w:ascii="Times New Roman" w:hAnsi="Times New Roman" w:cs="Times New Roman"/>
          <w:noProof/>
          <w:sz w:val="24"/>
          <w:szCs w:val="24"/>
          <w:lang w:val="en-US"/>
        </w:rPr>
        <w:lastRenderedPageBreak/>
        <w:drawing>
          <wp:inline distT="0" distB="0" distL="0" distR="0" wp14:anchorId="7EB51448" wp14:editId="03D80EAA">
            <wp:extent cx="5712031" cy="2333579"/>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4762" cy="2363292"/>
                    </a:xfrm>
                    <a:prstGeom prst="rect">
                      <a:avLst/>
                    </a:prstGeom>
                    <a:noFill/>
                  </pic:spPr>
                </pic:pic>
              </a:graphicData>
            </a:graphic>
          </wp:inline>
        </w:drawing>
      </w:r>
    </w:p>
    <w:p w:rsidR="00F13B83" w:rsidRPr="0053598F" w:rsidRDefault="00F13B83" w:rsidP="00F13B83">
      <w:pPr>
        <w:pStyle w:val="KeinLeerraum"/>
        <w:jc w:val="both"/>
        <w:rPr>
          <w:rFonts w:ascii="Times New Roman" w:hAnsi="Times New Roman" w:cs="Times New Roman"/>
          <w:sz w:val="24"/>
          <w:szCs w:val="24"/>
          <w:u w:val="single"/>
          <w:lang w:val="en-US"/>
        </w:rPr>
      </w:pPr>
    </w:p>
    <w:p w:rsidR="00F13B83" w:rsidRPr="0053598F" w:rsidRDefault="00F13B83" w:rsidP="00F13B83">
      <w:pPr>
        <w:pStyle w:val="KeinLeerraum"/>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5C2534" w:rsidRPr="0053598F">
        <w:rPr>
          <w:rFonts w:ascii="Times New Roman" w:hAnsi="Times New Roman" w:cs="Times New Roman"/>
          <w:b/>
          <w:sz w:val="24"/>
          <w:szCs w:val="24"/>
          <w:lang w:val="en-US"/>
        </w:rPr>
        <w:t>6</w:t>
      </w:r>
      <w:r w:rsidRPr="0053598F">
        <w:rPr>
          <w:rFonts w:ascii="Times New Roman" w:hAnsi="Times New Roman" w:cs="Times New Roman"/>
          <w:b/>
          <w:sz w:val="24"/>
          <w:szCs w:val="24"/>
          <w:lang w:val="en-US"/>
        </w:rPr>
        <w:t xml:space="preserve">: The flushing of the graft bone marrow resulted in varying vessel orientations at the proximal host-graft transition zone compared to samples that retained their graft bone marrow. A) </w:t>
      </w:r>
      <w:r w:rsidRPr="0053598F">
        <w:rPr>
          <w:rFonts w:ascii="Times New Roman" w:hAnsi="Times New Roman" w:cs="Times New Roman"/>
          <w:sz w:val="24"/>
          <w:szCs w:val="24"/>
          <w:lang w:val="en-US"/>
        </w:rPr>
        <w:t>Vessel orientations 14 days after surgery, comparing the flushed bone graft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to the non-flushed graft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The orientation analysis of vessels in specific zones is represented by different colors (violet=proximal host bone, green=proximal gap, blue=distal gap, pink=distal host bone, yellow= proximal vessel ingrowth). Orientation plots (polar rose chart) showing the percentage of orientation from 0-180°. Red indicates graft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xml:space="preserve"> at 14 days post-surgery, while blue represents graft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xml:space="preserve"> at 14 days post-surgery.</w:t>
      </w:r>
      <w:r w:rsidRPr="0053598F">
        <w:rPr>
          <w:rFonts w:ascii="Times New Roman" w:hAnsi="Times New Roman" w:cs="Times New Roman"/>
          <w:b/>
          <w:sz w:val="24"/>
          <w:szCs w:val="24"/>
          <w:lang w:val="en-US"/>
        </w:rPr>
        <w:t xml:space="preserve"> B) </w:t>
      </w:r>
      <w:r w:rsidRPr="0053598F">
        <w:rPr>
          <w:rFonts w:ascii="Times New Roman" w:hAnsi="Times New Roman" w:cs="Times New Roman"/>
          <w:sz w:val="24"/>
          <w:szCs w:val="24"/>
          <w:lang w:val="en-US"/>
        </w:rPr>
        <w:t xml:space="preserve">Orientations were further categorized as perpendicular (red, 0-30° or 150-180°), diagonal (grey, 30-60° or 120-150°) or parallel (green, 60-120°) to the central bone axis. </w:t>
      </w:r>
      <w:r w:rsidRPr="0053598F">
        <w:rPr>
          <w:rFonts w:ascii="Times New Roman" w:hAnsi="Times New Roman" w:cs="Times New Roman"/>
          <w:b/>
          <w:sz w:val="24"/>
          <w:szCs w:val="24"/>
          <w:lang w:val="en-US"/>
        </w:rPr>
        <w:t xml:space="preserve">C) </w:t>
      </w:r>
      <w:r w:rsidRPr="0053598F">
        <w:rPr>
          <w:rFonts w:ascii="Times New Roman" w:hAnsi="Times New Roman" w:cs="Times New Roman"/>
          <w:sz w:val="24"/>
          <w:szCs w:val="24"/>
          <w:lang w:val="en-US"/>
        </w:rPr>
        <w:t>Comparison of grouped orientations between the flushed and non-flushed grafts at 14 days post-surgery. Samples with flushed bone marrow exhibited vessels aligning parallel to the bone axis at the host-graft transition zone. This is in stark contrast to samples containing non-flushed bone marrow, where vessels mainly aligned perpendicular to the bone axis at the proximal host-graft transition zone. However, vessel orientations in other areas remained comparable between both groups.</w:t>
      </w:r>
    </w:p>
    <w:p w:rsidR="00F13B83" w:rsidRPr="0053598F" w:rsidRDefault="00F13B83" w:rsidP="00F13B83">
      <w:pPr>
        <w:rPr>
          <w:rFonts w:ascii="Times New Roman" w:hAnsi="Times New Roman" w:cs="Times New Roman"/>
          <w:b/>
          <w:sz w:val="24"/>
          <w:szCs w:val="24"/>
          <w:lang w:val="en-US"/>
        </w:rPr>
      </w:pPr>
      <w:r w:rsidRPr="0053598F">
        <w:rPr>
          <w:rFonts w:ascii="Times New Roman" w:hAnsi="Times New Roman" w:cs="Times New Roman"/>
          <w:b/>
          <w:noProof/>
          <w:sz w:val="24"/>
          <w:szCs w:val="24"/>
          <w:lang w:val="en-US"/>
        </w:rPr>
        <w:lastRenderedPageBreak/>
        <w:drawing>
          <wp:inline distT="0" distB="0" distL="0" distR="0" wp14:anchorId="5C8F3718" wp14:editId="7D418648">
            <wp:extent cx="5695966" cy="29340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2601" cy="2942601"/>
                    </a:xfrm>
                    <a:prstGeom prst="rect">
                      <a:avLst/>
                    </a:prstGeom>
                    <a:noFill/>
                  </pic:spPr>
                </pic:pic>
              </a:graphicData>
            </a:graphic>
          </wp:inline>
        </w:drawing>
      </w:r>
    </w:p>
    <w:p w:rsidR="00F13B83" w:rsidRPr="0053598F" w:rsidRDefault="00F13B83" w:rsidP="00F13B83">
      <w:pPr>
        <w:pStyle w:val="KeinLeerraum"/>
        <w:spacing w:line="360" w:lineRule="auto"/>
        <w:jc w:val="both"/>
        <w:rPr>
          <w:rFonts w:ascii="Times New Roman" w:hAnsi="Times New Roman" w:cs="Times New Roman"/>
          <w:sz w:val="24"/>
          <w:szCs w:val="24"/>
          <w:lang w:val="en-US"/>
        </w:rPr>
      </w:pPr>
      <w:r w:rsidRPr="0053598F">
        <w:rPr>
          <w:rFonts w:ascii="Times New Roman" w:hAnsi="Times New Roman" w:cs="Times New Roman"/>
          <w:b/>
          <w:sz w:val="24"/>
          <w:szCs w:val="24"/>
          <w:lang w:val="en-US"/>
        </w:rPr>
        <w:t>Figure S</w:t>
      </w:r>
      <w:r w:rsidR="005C2534" w:rsidRPr="0053598F">
        <w:rPr>
          <w:rFonts w:ascii="Times New Roman" w:hAnsi="Times New Roman" w:cs="Times New Roman"/>
          <w:b/>
          <w:sz w:val="24"/>
          <w:szCs w:val="24"/>
          <w:lang w:val="en-US"/>
        </w:rPr>
        <w:t>7</w:t>
      </w:r>
      <w:r w:rsidRPr="0053598F">
        <w:rPr>
          <w:rFonts w:ascii="Times New Roman" w:hAnsi="Times New Roman" w:cs="Times New Roman"/>
          <w:b/>
          <w:sz w:val="24"/>
          <w:szCs w:val="24"/>
          <w:lang w:val="en-US"/>
        </w:rPr>
        <w:t xml:space="preserve">: Distribution of tissue components in the bone graft with non-flushed versus flushed bone marrow. A) </w:t>
      </w:r>
      <w:r w:rsidRPr="0053598F">
        <w:rPr>
          <w:rFonts w:ascii="Times New Roman" w:hAnsi="Times New Roman" w:cs="Times New Roman"/>
          <w:sz w:val="24"/>
          <w:szCs w:val="24"/>
          <w:lang w:val="en-US"/>
        </w:rPr>
        <w:t>Distribution of new mineralized bone density within the graft, with the color scale ranging from 0 = white to 0.01 = dark orange. Subsections A1 and A4 show combined heat maps for the respective groups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xml:space="preserve"> and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xml:space="preserve">). A2 and A3 illustrate such analyses based on </w:t>
      </w:r>
      <w:proofErr w:type="spellStart"/>
      <w:r w:rsidRPr="0053598F">
        <w:rPr>
          <w:rFonts w:ascii="Times New Roman" w:hAnsi="Times New Roman" w:cs="Times New Roman"/>
          <w:sz w:val="24"/>
          <w:szCs w:val="24"/>
          <w:lang w:val="en-US"/>
        </w:rPr>
        <w:t>Movat</w:t>
      </w:r>
      <w:proofErr w:type="spellEnd"/>
      <w:r w:rsidRPr="0053598F">
        <w:rPr>
          <w:rFonts w:ascii="Times New Roman" w:hAnsi="Times New Roman" w:cs="Times New Roman"/>
          <w:sz w:val="24"/>
          <w:szCs w:val="24"/>
          <w:lang w:val="en-US"/>
        </w:rPr>
        <w:t xml:space="preserve"> </w:t>
      </w:r>
      <w:proofErr w:type="spellStart"/>
      <w:r w:rsidRPr="0053598F">
        <w:rPr>
          <w:rFonts w:ascii="Times New Roman" w:hAnsi="Times New Roman" w:cs="Times New Roman"/>
          <w:sz w:val="24"/>
          <w:szCs w:val="24"/>
          <w:lang w:val="en-US"/>
        </w:rPr>
        <w:t>pentachrome</w:t>
      </w:r>
      <w:proofErr w:type="spellEnd"/>
      <w:r w:rsidRPr="0053598F">
        <w:rPr>
          <w:rFonts w:ascii="Times New Roman" w:hAnsi="Times New Roman" w:cs="Times New Roman"/>
          <w:sz w:val="24"/>
          <w:szCs w:val="24"/>
          <w:lang w:val="en-US"/>
        </w:rPr>
        <w:t xml:space="preserve"> staining and provide example images for each group.</w:t>
      </w:r>
      <w:r w:rsidRPr="0053598F">
        <w:rPr>
          <w:rFonts w:ascii="Times New Roman" w:hAnsi="Times New Roman" w:cs="Times New Roman"/>
          <w:b/>
          <w:sz w:val="24"/>
          <w:szCs w:val="24"/>
          <w:lang w:val="en-US"/>
        </w:rPr>
        <w:t xml:space="preserve"> B) </w:t>
      </w:r>
      <w:r w:rsidRPr="0053598F">
        <w:rPr>
          <w:rFonts w:ascii="Times New Roman" w:hAnsi="Times New Roman" w:cs="Times New Roman"/>
          <w:sz w:val="24"/>
          <w:szCs w:val="24"/>
          <w:lang w:val="en-US"/>
        </w:rPr>
        <w:t>Distribution of bone marrow density within the graft using a color scale from 0 = white to 0.07 = dark purple. Subsections B1 and B4 show combined heat maps for the groups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xml:space="preserve"> and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xml:space="preserve">). B2 and B3 show such analyses based on </w:t>
      </w:r>
      <w:proofErr w:type="spellStart"/>
      <w:r w:rsidRPr="0053598F">
        <w:rPr>
          <w:rFonts w:ascii="Times New Roman" w:hAnsi="Times New Roman" w:cs="Times New Roman"/>
          <w:sz w:val="24"/>
          <w:szCs w:val="24"/>
          <w:lang w:val="en-US"/>
        </w:rPr>
        <w:t>Movat</w:t>
      </w:r>
      <w:proofErr w:type="spellEnd"/>
      <w:r w:rsidRPr="0053598F">
        <w:rPr>
          <w:rFonts w:ascii="Times New Roman" w:hAnsi="Times New Roman" w:cs="Times New Roman"/>
          <w:sz w:val="24"/>
          <w:szCs w:val="24"/>
          <w:lang w:val="en-US"/>
        </w:rPr>
        <w:t xml:space="preserve"> </w:t>
      </w:r>
      <w:proofErr w:type="spellStart"/>
      <w:r w:rsidRPr="0053598F">
        <w:rPr>
          <w:rFonts w:ascii="Times New Roman" w:hAnsi="Times New Roman" w:cs="Times New Roman"/>
          <w:sz w:val="24"/>
          <w:szCs w:val="24"/>
          <w:lang w:val="en-US"/>
        </w:rPr>
        <w:t>pentachrome</w:t>
      </w:r>
      <w:proofErr w:type="spellEnd"/>
      <w:r w:rsidRPr="0053598F">
        <w:rPr>
          <w:rFonts w:ascii="Times New Roman" w:hAnsi="Times New Roman" w:cs="Times New Roman"/>
          <w:sz w:val="24"/>
          <w:szCs w:val="24"/>
          <w:lang w:val="en-US"/>
        </w:rPr>
        <w:t xml:space="preserve"> staining with example images for each group.</w:t>
      </w:r>
      <w:r w:rsidRPr="0053598F">
        <w:rPr>
          <w:rFonts w:ascii="Times New Roman" w:hAnsi="Times New Roman" w:cs="Times New Roman"/>
          <w:b/>
          <w:sz w:val="24"/>
          <w:szCs w:val="24"/>
          <w:lang w:val="en-US"/>
        </w:rPr>
        <w:t xml:space="preserve"> C) </w:t>
      </w:r>
      <w:r w:rsidRPr="0053598F">
        <w:rPr>
          <w:rFonts w:ascii="Times New Roman" w:hAnsi="Times New Roman" w:cs="Times New Roman"/>
          <w:sz w:val="24"/>
          <w:szCs w:val="24"/>
          <w:lang w:val="en-US"/>
        </w:rPr>
        <w:t>Distribution of vessel density within the graft, using a color scale from 0 = white to 100 = dark red. Subsections C1 and C4 show combined heat maps for the groups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xml:space="preserve"> and -</w:t>
      </w:r>
      <w:proofErr w:type="spellStart"/>
      <w:r w:rsidRPr="0053598F">
        <w:rPr>
          <w:rFonts w:ascii="Times New Roman" w:hAnsi="Times New Roman" w:cs="Times New Roman"/>
          <w:sz w:val="24"/>
          <w:szCs w:val="24"/>
          <w:lang w:val="en-US"/>
        </w:rPr>
        <w:t>bm</w:t>
      </w:r>
      <w:proofErr w:type="spellEnd"/>
      <w:r w:rsidRPr="0053598F">
        <w:rPr>
          <w:rFonts w:ascii="Times New Roman" w:hAnsi="Times New Roman" w:cs="Times New Roman"/>
          <w:sz w:val="24"/>
          <w:szCs w:val="24"/>
          <w:lang w:val="en-US"/>
        </w:rPr>
        <w:t>). C2 and C3 show such analyses based on CD146 immunofluorescence staining and include example images for each group.</w:t>
      </w:r>
    </w:p>
    <w:p w:rsidR="00282763" w:rsidRPr="0053598F" w:rsidRDefault="00282763">
      <w:pPr>
        <w:rPr>
          <w:rFonts w:ascii="Times New Roman" w:hAnsi="Times New Roman" w:cs="Times New Roman"/>
          <w:b/>
          <w:sz w:val="24"/>
          <w:szCs w:val="24"/>
          <w:lang w:val="en-US"/>
        </w:rPr>
      </w:pPr>
    </w:p>
    <w:p w:rsidR="00BF56EC" w:rsidRPr="0053598F" w:rsidRDefault="00BF56EC">
      <w:pPr>
        <w:rPr>
          <w:rFonts w:ascii="Times New Roman" w:hAnsi="Times New Roman" w:cs="Times New Roman"/>
          <w:b/>
          <w:sz w:val="24"/>
          <w:szCs w:val="24"/>
          <w:lang w:val="en-US"/>
        </w:rPr>
      </w:pPr>
    </w:p>
    <w:p w:rsidR="00BF56EC" w:rsidRPr="0053598F" w:rsidRDefault="00BF56EC">
      <w:pPr>
        <w:rPr>
          <w:rFonts w:ascii="Times New Roman" w:hAnsi="Times New Roman" w:cs="Times New Roman"/>
          <w:b/>
          <w:sz w:val="24"/>
          <w:szCs w:val="24"/>
          <w:lang w:val="en-US"/>
        </w:rPr>
      </w:pPr>
    </w:p>
    <w:p w:rsidR="0026570A" w:rsidRPr="0053598F" w:rsidRDefault="0026570A">
      <w:pPr>
        <w:rPr>
          <w:rFonts w:ascii="Times New Roman" w:hAnsi="Times New Roman" w:cs="Times New Roman"/>
          <w:b/>
          <w:sz w:val="24"/>
          <w:szCs w:val="24"/>
          <w:lang w:val="en-US"/>
        </w:rPr>
      </w:pPr>
    </w:p>
    <w:p w:rsidR="0026570A" w:rsidRPr="0053598F" w:rsidRDefault="0026570A">
      <w:pPr>
        <w:rPr>
          <w:rFonts w:ascii="Times New Roman" w:hAnsi="Times New Roman" w:cs="Times New Roman"/>
          <w:b/>
          <w:sz w:val="24"/>
          <w:szCs w:val="24"/>
          <w:lang w:val="en-US"/>
        </w:rPr>
      </w:pPr>
    </w:p>
    <w:p w:rsidR="0026570A" w:rsidRPr="0053598F" w:rsidRDefault="0026570A">
      <w:pPr>
        <w:rPr>
          <w:rFonts w:ascii="Times New Roman" w:hAnsi="Times New Roman" w:cs="Times New Roman"/>
          <w:b/>
          <w:sz w:val="24"/>
          <w:szCs w:val="24"/>
          <w:lang w:val="en-US"/>
        </w:rPr>
      </w:pPr>
    </w:p>
    <w:sectPr w:rsidR="0026570A" w:rsidRPr="0053598F">
      <w:footerReference w:type="default" r:id="rId13"/>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C58F14E" w16cex:dateUtc="2025-01-18T07: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7EA" w:rsidRDefault="00FA47EA" w:rsidP="00FA47EA">
      <w:pPr>
        <w:spacing w:after="0" w:line="240" w:lineRule="auto"/>
      </w:pPr>
      <w:r>
        <w:separator/>
      </w:r>
    </w:p>
  </w:endnote>
  <w:endnote w:type="continuationSeparator" w:id="0">
    <w:p w:rsidR="00FA47EA" w:rsidRDefault="00FA47EA" w:rsidP="00FA4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886825"/>
      <w:docPartObj>
        <w:docPartGallery w:val="Page Numbers (Bottom of Page)"/>
        <w:docPartUnique/>
      </w:docPartObj>
    </w:sdtPr>
    <w:sdtEndPr>
      <w:rPr>
        <w:rFonts w:cstheme="minorHAnsi"/>
      </w:rPr>
    </w:sdtEndPr>
    <w:sdtContent>
      <w:p w:rsidR="00FA47EA" w:rsidRPr="0095356C" w:rsidRDefault="00FA47EA">
        <w:pPr>
          <w:pStyle w:val="Fuzeile"/>
          <w:jc w:val="center"/>
          <w:rPr>
            <w:rFonts w:cstheme="minorHAnsi"/>
          </w:rPr>
        </w:pPr>
        <w:r w:rsidRPr="0095356C">
          <w:rPr>
            <w:rFonts w:cstheme="minorHAnsi"/>
          </w:rPr>
          <w:fldChar w:fldCharType="begin"/>
        </w:r>
        <w:r w:rsidRPr="0095356C">
          <w:rPr>
            <w:rFonts w:cstheme="minorHAnsi"/>
          </w:rPr>
          <w:instrText>PAGE   \* MERGEFORMAT</w:instrText>
        </w:r>
        <w:r w:rsidRPr="0095356C">
          <w:rPr>
            <w:rFonts w:cstheme="minorHAnsi"/>
          </w:rPr>
          <w:fldChar w:fldCharType="separate"/>
        </w:r>
        <w:r w:rsidRPr="0095356C">
          <w:rPr>
            <w:rFonts w:cstheme="minorHAnsi"/>
          </w:rPr>
          <w:t>2</w:t>
        </w:r>
        <w:r w:rsidRPr="0095356C">
          <w:rPr>
            <w:rFonts w:cstheme="minorHAnsi"/>
          </w:rPr>
          <w:fldChar w:fldCharType="end"/>
        </w:r>
      </w:p>
    </w:sdtContent>
  </w:sdt>
  <w:p w:rsidR="00FA47EA" w:rsidRPr="00FA47EA" w:rsidRDefault="00FA47EA">
    <w:pPr>
      <w:pStyle w:val="Fuzeile"/>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7EA" w:rsidRDefault="00FA47EA" w:rsidP="00FA47EA">
      <w:pPr>
        <w:spacing w:after="0" w:line="240" w:lineRule="auto"/>
      </w:pPr>
      <w:r>
        <w:separator/>
      </w:r>
    </w:p>
  </w:footnote>
  <w:footnote w:type="continuationSeparator" w:id="0">
    <w:p w:rsidR="00FA47EA" w:rsidRDefault="00FA47EA" w:rsidP="00FA47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B97"/>
    <w:rsid w:val="00014D08"/>
    <w:rsid w:val="00071E89"/>
    <w:rsid w:val="00084041"/>
    <w:rsid w:val="00097FB4"/>
    <w:rsid w:val="000C5D0C"/>
    <w:rsid w:val="000E12EC"/>
    <w:rsid w:val="001179E3"/>
    <w:rsid w:val="00121755"/>
    <w:rsid w:val="00143DF3"/>
    <w:rsid w:val="00151D35"/>
    <w:rsid w:val="001705B7"/>
    <w:rsid w:val="001838D0"/>
    <w:rsid w:val="00185721"/>
    <w:rsid w:val="00193AE2"/>
    <w:rsid w:val="001A7D1F"/>
    <w:rsid w:val="001A7F63"/>
    <w:rsid w:val="00201591"/>
    <w:rsid w:val="002476D9"/>
    <w:rsid w:val="0025002F"/>
    <w:rsid w:val="0026570A"/>
    <w:rsid w:val="00282763"/>
    <w:rsid w:val="002B4938"/>
    <w:rsid w:val="002E70EA"/>
    <w:rsid w:val="0034223A"/>
    <w:rsid w:val="00376454"/>
    <w:rsid w:val="00397E80"/>
    <w:rsid w:val="003A16EF"/>
    <w:rsid w:val="003C4CD8"/>
    <w:rsid w:val="003D414F"/>
    <w:rsid w:val="003F43DA"/>
    <w:rsid w:val="004270BB"/>
    <w:rsid w:val="00432CDE"/>
    <w:rsid w:val="00436396"/>
    <w:rsid w:val="0047497A"/>
    <w:rsid w:val="004764C0"/>
    <w:rsid w:val="004C0877"/>
    <w:rsid w:val="004D1217"/>
    <w:rsid w:val="004D2F15"/>
    <w:rsid w:val="004E1B97"/>
    <w:rsid w:val="0053598F"/>
    <w:rsid w:val="00570A12"/>
    <w:rsid w:val="005C2534"/>
    <w:rsid w:val="006028AF"/>
    <w:rsid w:val="006127D8"/>
    <w:rsid w:val="00623936"/>
    <w:rsid w:val="006243FF"/>
    <w:rsid w:val="00631550"/>
    <w:rsid w:val="0064756B"/>
    <w:rsid w:val="00662CB4"/>
    <w:rsid w:val="006859F1"/>
    <w:rsid w:val="006A5191"/>
    <w:rsid w:val="006D62E1"/>
    <w:rsid w:val="006F0FAA"/>
    <w:rsid w:val="00746563"/>
    <w:rsid w:val="007974DB"/>
    <w:rsid w:val="007978B6"/>
    <w:rsid w:val="007E1BB9"/>
    <w:rsid w:val="007E4D48"/>
    <w:rsid w:val="00807B68"/>
    <w:rsid w:val="008423B8"/>
    <w:rsid w:val="008C1059"/>
    <w:rsid w:val="0095356C"/>
    <w:rsid w:val="009713F8"/>
    <w:rsid w:val="009817CD"/>
    <w:rsid w:val="009A7515"/>
    <w:rsid w:val="009B06E4"/>
    <w:rsid w:val="009D4F5D"/>
    <w:rsid w:val="00A034FB"/>
    <w:rsid w:val="00A13FCD"/>
    <w:rsid w:val="00A5353E"/>
    <w:rsid w:val="00A8505A"/>
    <w:rsid w:val="00A869A1"/>
    <w:rsid w:val="00AE4EBA"/>
    <w:rsid w:val="00B06852"/>
    <w:rsid w:val="00B07520"/>
    <w:rsid w:val="00B1282C"/>
    <w:rsid w:val="00B31164"/>
    <w:rsid w:val="00B33E12"/>
    <w:rsid w:val="00B4014F"/>
    <w:rsid w:val="00B43D44"/>
    <w:rsid w:val="00B449E9"/>
    <w:rsid w:val="00B45873"/>
    <w:rsid w:val="00B80F98"/>
    <w:rsid w:val="00B81203"/>
    <w:rsid w:val="00B816BF"/>
    <w:rsid w:val="00B9738A"/>
    <w:rsid w:val="00BA5866"/>
    <w:rsid w:val="00BC6C30"/>
    <w:rsid w:val="00BF56EC"/>
    <w:rsid w:val="00C04619"/>
    <w:rsid w:val="00C72E42"/>
    <w:rsid w:val="00CC11BE"/>
    <w:rsid w:val="00CD4DB1"/>
    <w:rsid w:val="00CE4874"/>
    <w:rsid w:val="00D125A3"/>
    <w:rsid w:val="00D3391D"/>
    <w:rsid w:val="00D35B3C"/>
    <w:rsid w:val="00D761D7"/>
    <w:rsid w:val="00D84B32"/>
    <w:rsid w:val="00DC41E3"/>
    <w:rsid w:val="00DE2847"/>
    <w:rsid w:val="00E11435"/>
    <w:rsid w:val="00E11D67"/>
    <w:rsid w:val="00E250BD"/>
    <w:rsid w:val="00E55F70"/>
    <w:rsid w:val="00EF292D"/>
    <w:rsid w:val="00F13B83"/>
    <w:rsid w:val="00F36E7B"/>
    <w:rsid w:val="00F47E0A"/>
    <w:rsid w:val="00FA47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AE7AB"/>
  <w15:chartTrackingRefBased/>
  <w15:docId w15:val="{38E5EC2C-7248-4C93-BE01-6D0A4EEB6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B81203"/>
    <w:pPr>
      <w:spacing w:after="0" w:line="240" w:lineRule="auto"/>
    </w:pPr>
  </w:style>
  <w:style w:type="character" w:customStyle="1" w:styleId="KeinLeerraumZchn">
    <w:name w:val="Kein Leerraum Zchn"/>
    <w:basedOn w:val="Absatz-Standardschriftart"/>
    <w:link w:val="KeinLeerraum"/>
    <w:uiPriority w:val="1"/>
    <w:rsid w:val="00B81203"/>
  </w:style>
  <w:style w:type="character" w:styleId="Kommentarzeichen">
    <w:name w:val="annotation reference"/>
    <w:basedOn w:val="Absatz-Standardschriftart"/>
    <w:uiPriority w:val="99"/>
    <w:semiHidden/>
    <w:unhideWhenUsed/>
    <w:rsid w:val="00B81203"/>
    <w:rPr>
      <w:sz w:val="16"/>
      <w:szCs w:val="16"/>
    </w:rPr>
  </w:style>
  <w:style w:type="paragraph" w:styleId="Kommentartext">
    <w:name w:val="annotation text"/>
    <w:basedOn w:val="Standard"/>
    <w:link w:val="KommentartextZchn"/>
    <w:uiPriority w:val="99"/>
    <w:unhideWhenUsed/>
    <w:rsid w:val="00B81203"/>
    <w:pPr>
      <w:spacing w:line="240" w:lineRule="auto"/>
    </w:pPr>
    <w:rPr>
      <w:sz w:val="20"/>
      <w:szCs w:val="20"/>
    </w:rPr>
  </w:style>
  <w:style w:type="character" w:customStyle="1" w:styleId="KommentartextZchn">
    <w:name w:val="Kommentartext Zchn"/>
    <w:basedOn w:val="Absatz-Standardschriftart"/>
    <w:link w:val="Kommentartext"/>
    <w:uiPriority w:val="99"/>
    <w:rsid w:val="00B81203"/>
    <w:rPr>
      <w:sz w:val="20"/>
      <w:szCs w:val="20"/>
    </w:rPr>
  </w:style>
  <w:style w:type="paragraph" w:styleId="Sprechblasentext">
    <w:name w:val="Balloon Text"/>
    <w:basedOn w:val="Standard"/>
    <w:link w:val="SprechblasentextZchn"/>
    <w:uiPriority w:val="99"/>
    <w:semiHidden/>
    <w:unhideWhenUsed/>
    <w:rsid w:val="00B8120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81203"/>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807B68"/>
    <w:rPr>
      <w:b/>
      <w:bCs/>
    </w:rPr>
  </w:style>
  <w:style w:type="character" w:customStyle="1" w:styleId="KommentarthemaZchn">
    <w:name w:val="Kommentarthema Zchn"/>
    <w:basedOn w:val="KommentartextZchn"/>
    <w:link w:val="Kommentarthema"/>
    <w:uiPriority w:val="99"/>
    <w:semiHidden/>
    <w:rsid w:val="00807B68"/>
    <w:rPr>
      <w:b/>
      <w:bCs/>
      <w:sz w:val="20"/>
      <w:szCs w:val="20"/>
    </w:rPr>
  </w:style>
  <w:style w:type="character" w:styleId="Hyperlink">
    <w:name w:val="Hyperlink"/>
    <w:basedOn w:val="Absatz-Standardschriftart"/>
    <w:uiPriority w:val="99"/>
    <w:unhideWhenUsed/>
    <w:rsid w:val="00071E89"/>
    <w:rPr>
      <w:color w:val="0563C1" w:themeColor="hyperlink"/>
      <w:u w:val="single"/>
    </w:rPr>
  </w:style>
  <w:style w:type="paragraph" w:styleId="Kopfzeile">
    <w:name w:val="header"/>
    <w:basedOn w:val="Standard"/>
    <w:link w:val="KopfzeileZchn"/>
    <w:uiPriority w:val="99"/>
    <w:unhideWhenUsed/>
    <w:rsid w:val="00FA47E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47EA"/>
  </w:style>
  <w:style w:type="paragraph" w:styleId="Fuzeile">
    <w:name w:val="footer"/>
    <w:basedOn w:val="Standard"/>
    <w:link w:val="FuzeileZchn"/>
    <w:uiPriority w:val="99"/>
    <w:unhideWhenUsed/>
    <w:rsid w:val="00FA47E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4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935</Words>
  <Characters>5891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Charité Universitaetsmedizin Berlin</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Mehl, Julia</dc:creator>
  <cp:keywords/>
  <dc:description/>
  <cp:lastModifiedBy>Mehl, Julia</cp:lastModifiedBy>
  <cp:revision>67</cp:revision>
  <dcterms:created xsi:type="dcterms:W3CDTF">2025-02-27T13:56:00Z</dcterms:created>
  <dcterms:modified xsi:type="dcterms:W3CDTF">2025-09-16T08:00:00Z</dcterms:modified>
</cp:coreProperties>
</file>