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66" w:rsidRPr="00C5353A" w:rsidRDefault="00E72466" w:rsidP="00E72466">
      <w:pPr>
        <w:pStyle w:val="Heading1"/>
        <w:ind w:left="431" w:hanging="431"/>
        <w:rPr>
          <w:color w:val="000000" w:themeColor="text1"/>
          <w:szCs w:val="24"/>
        </w:rPr>
      </w:pPr>
      <w:r w:rsidRPr="00C5353A">
        <w:rPr>
          <w:color w:val="000000" w:themeColor="text1"/>
          <w:szCs w:val="24"/>
        </w:rPr>
        <w:t>Supplementary material</w:t>
      </w:r>
    </w:p>
    <w:p w:rsidR="00E72466" w:rsidRPr="00C5353A" w:rsidRDefault="00E72466" w:rsidP="00E72466">
      <w:pPr>
        <w:pStyle w:val="Caption"/>
        <w:spacing w:line="360" w:lineRule="auto"/>
        <w:rPr>
          <w:b/>
          <w:i w:val="0"/>
          <w:color w:val="000000" w:themeColor="text1"/>
          <w:sz w:val="24"/>
          <w:szCs w:val="24"/>
        </w:rPr>
      </w:pPr>
      <w:r w:rsidRPr="00C5353A">
        <w:rPr>
          <w:b/>
          <w:i w:val="0"/>
          <w:noProof/>
          <w:color w:val="000000" w:themeColor="text1"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63AC0ACC" wp14:editId="5A271943">
            <wp:simplePos x="0" y="0"/>
            <wp:positionH relativeFrom="column">
              <wp:posOffset>0</wp:posOffset>
            </wp:positionH>
            <wp:positionV relativeFrom="paragraph">
              <wp:posOffset>879</wp:posOffset>
            </wp:positionV>
            <wp:extent cx="5732780" cy="4296410"/>
            <wp:effectExtent l="0" t="0" r="1270" b="8890"/>
            <wp:wrapTopAndBottom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2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2466" w:rsidRPr="00C5353A" w:rsidRDefault="00E72466" w:rsidP="00E72466">
      <w:pPr>
        <w:pStyle w:val="Caption"/>
        <w:spacing w:line="360" w:lineRule="auto"/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</w:pPr>
      <w:r w:rsidRPr="00C5353A">
        <w:rPr>
          <w:b/>
          <w:i w:val="0"/>
          <w:color w:val="000000" w:themeColor="text1"/>
          <w:sz w:val="24"/>
          <w:szCs w:val="24"/>
        </w:rPr>
        <w:t xml:space="preserve">Supplementary figure S1. 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>Cardiorespiratory responses during low-intensity continuous cycling (LI), LI with blood flow restriction (LI+BFR), and high-intensity interval cycling (HI). (A) heart rate (HR), (B) oxygen consumption (V̇O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vertAlign w:val="subscript"/>
          <w:lang w:eastAsia="ko-KR"/>
        </w:rPr>
        <w:t>2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>), (C) carbon dioxide release (V̇CO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vertAlign w:val="subscript"/>
          <w:lang w:eastAsia="ko-KR"/>
        </w:rPr>
        <w:t>2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>), (D) respiratory exchange ratio (RER), (E) breath frequency (BF), (F) tidal volume (VT), (G) minute ventilation (V̇E), (H) ventilatory equivalent for oxygen (V̇E/V̇O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vertAlign w:val="subscript"/>
          <w:lang w:eastAsia="ko-KR"/>
        </w:rPr>
        <w:t>2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>), (I) ventilatory equivalent for carbon dioxide (V̇E/V̇CO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vertAlign w:val="subscript"/>
          <w:lang w:eastAsia="ko-KR"/>
        </w:rPr>
        <w:t>2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 xml:space="preserve">). Data are depicted as means ± standard deviations for the baseline (T0) and three 4-min blocks during the exercise period (T1: 0 – 4 min, T2: 8 – 12 min, and T3: 16 – 20 min). 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vertAlign w:val="superscript"/>
          <w:lang w:eastAsia="ko-KR"/>
        </w:rPr>
        <w:t>§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 xml:space="preserve">p &lt; 0.05, between LI and HI; 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vertAlign w:val="superscript"/>
          <w:lang w:eastAsia="ko-KR"/>
        </w:rPr>
        <w:t>#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 xml:space="preserve">p &lt; 0.05, between LI and LI+BFR; 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vertAlign w:val="superscript"/>
          <w:lang w:eastAsia="ko-KR"/>
        </w:rPr>
        <w:t>£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 xml:space="preserve">p &lt; 0.05, between LI+BFR and HI; </w:t>
      </w:r>
      <w:r w:rsidRPr="00C5353A">
        <w:rPr>
          <w:rFonts w:eastAsia="Times New Roman" w:cs="Times New Roman"/>
          <w:b/>
          <w:i w:val="0"/>
          <w:color w:val="000000" w:themeColor="text1"/>
          <w:sz w:val="24"/>
          <w:szCs w:val="24"/>
          <w:vertAlign w:val="superscript"/>
          <w:lang w:eastAsia="ko-KR"/>
        </w:rPr>
        <w:t>†</w:t>
      </w:r>
      <w:r w:rsidRPr="00C5353A">
        <w:rPr>
          <w:rFonts w:eastAsia="Times New Roman" w:cs="Times New Roman"/>
          <w:iCs w:val="0"/>
          <w:color w:val="000000" w:themeColor="text1"/>
          <w:sz w:val="24"/>
          <w:szCs w:val="24"/>
          <w:lang w:eastAsia="ko-KR"/>
        </w:rPr>
        <w:t>p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 xml:space="preserve"> &lt; 0.05, difference between time points within LI+BFR; 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vertAlign w:val="superscript"/>
          <w:lang w:eastAsia="ko-KR"/>
        </w:rPr>
        <w:t>@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>p &lt; 0.05, difference between time points within HI; Main condition effect across time points is depicted above individual figures, &lt; (p &lt; 0.05) and ≈ (p &gt; 0.05); *</w:t>
      </w:r>
      <w:r w:rsidRPr="00C5353A">
        <w:rPr>
          <w:rFonts w:eastAsia="Times New Roman" w:cs="Times New Roman"/>
          <w:iCs w:val="0"/>
          <w:color w:val="000000" w:themeColor="text1"/>
          <w:sz w:val="24"/>
          <w:szCs w:val="24"/>
          <w:lang w:eastAsia="ko-KR"/>
        </w:rPr>
        <w:t>p</w:t>
      </w:r>
      <w:r w:rsidRPr="00C5353A">
        <w:rPr>
          <w:rFonts w:eastAsia="Times New Roman" w:cs="Times New Roman"/>
          <w:i w:val="0"/>
          <w:color w:val="000000" w:themeColor="text1"/>
          <w:sz w:val="24"/>
          <w:szCs w:val="24"/>
          <w:lang w:eastAsia="ko-KR"/>
        </w:rPr>
        <w:t xml:space="preserve"> &lt; 0.05, difference between time points (main time effect across conditions). </w:t>
      </w:r>
    </w:p>
    <w:p w:rsidR="005A1EBB" w:rsidRDefault="005A1EBB">
      <w:bookmarkStart w:id="0" w:name="_GoBack"/>
      <w:bookmarkEnd w:id="0"/>
    </w:p>
    <w:sectPr w:rsidR="005A1EBB" w:rsidSect="006F0646">
      <w:pgSz w:w="11906" w:h="16838"/>
      <w:pgMar w:top="1440" w:right="1440" w:bottom="1440" w:left="1440" w:header="706" w:footer="706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otal_Editing_Time" w:val="0"/>
  </w:docVars>
  <w:rsids>
    <w:rsidRoot w:val="00DE4693"/>
    <w:rsid w:val="005A1EBB"/>
    <w:rsid w:val="009A580B"/>
    <w:rsid w:val="00DE4693"/>
    <w:rsid w:val="00E7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35054-3767-41D5-9166-9ECC2FD6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466"/>
    <w:pPr>
      <w:keepNext/>
      <w:keepLines/>
      <w:spacing w:before="24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466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72466"/>
    <w:pPr>
      <w:spacing w:after="200" w:line="240" w:lineRule="auto"/>
      <w:jc w:val="both"/>
    </w:pPr>
    <w:rPr>
      <w:rFonts w:ascii="Times New Roman" w:eastAsiaTheme="minorEastAsia" w:hAnsi="Times New Roman"/>
      <w:i/>
      <w:iCs/>
      <w:color w:val="44546A" w:themeColor="text2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Pavithra K Kasirajan S</dc:creator>
  <cp:keywords/>
  <dc:description/>
  <cp:lastModifiedBy>Pavithra K Kasirajan S</cp:lastModifiedBy>
  <cp:revision>2</cp:revision>
  <dcterms:created xsi:type="dcterms:W3CDTF">2025-10-18T21:56:00Z</dcterms:created>
  <dcterms:modified xsi:type="dcterms:W3CDTF">2025-10-18T21:56:00Z</dcterms:modified>
</cp:coreProperties>
</file>