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E2C56" w14:textId="77777777" w:rsidR="00763FEE" w:rsidRPr="00763FEE" w:rsidRDefault="00763FEE" w:rsidP="00763FEE">
      <w:pPr>
        <w:shd w:val="clear" w:color="auto" w:fill="FFFFFF"/>
        <w:spacing w:after="240"/>
        <w:jc w:val="center"/>
        <w:rPr>
          <w:rFonts w:ascii="Cambria" w:eastAsia="Roboto" w:hAnsi="Cambria" w:cstheme="majorHAnsi"/>
          <w:color w:val="000000" w:themeColor="text1"/>
          <w:sz w:val="38"/>
          <w:szCs w:val="38"/>
          <w:lang w:val="en-US"/>
        </w:rPr>
      </w:pPr>
      <w:r w:rsidRPr="00763FEE">
        <w:rPr>
          <w:rFonts w:ascii="Cambria" w:eastAsia="Roboto" w:hAnsi="Cambria" w:cstheme="majorHAnsi"/>
          <w:b/>
          <w:color w:val="000000" w:themeColor="text1"/>
          <w:sz w:val="38"/>
          <w:szCs w:val="38"/>
          <w:lang w:val="en-US"/>
        </w:rPr>
        <w:t>Functional olfactory impairment and fatigue in post-COVID-19 syndrome including ME/CFS –             a longitudinal prospective observational study</w:t>
      </w:r>
    </w:p>
    <w:p w14:paraId="28179963" w14:textId="77777777" w:rsidR="00763FEE" w:rsidRDefault="00763FEE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  <w:r w:rsidRPr="00763FEE">
        <w:rPr>
          <w:rFonts w:ascii="Cambria" w:hAnsi="Cambria" w:cstheme="majorHAnsi"/>
          <w:lang w:val="en-US"/>
        </w:rPr>
        <w:t xml:space="preserve"> </w:t>
      </w:r>
    </w:p>
    <w:p w14:paraId="4028487F" w14:textId="0ACE8509" w:rsidR="00763FEE" w:rsidRPr="00763FEE" w:rsidRDefault="00763FEE" w:rsidP="00763FEE">
      <w:pPr>
        <w:shd w:val="clear" w:color="auto" w:fill="FFFFFF"/>
        <w:jc w:val="center"/>
        <w:rPr>
          <w:rFonts w:ascii="Cambria" w:hAnsi="Cambria" w:cstheme="majorHAnsi"/>
          <w:b/>
          <w:bCs/>
          <w:sz w:val="36"/>
          <w:szCs w:val="36"/>
          <w:lang w:val="en-US"/>
        </w:rPr>
      </w:pPr>
      <w:r w:rsidRPr="00763FEE">
        <w:rPr>
          <w:rFonts w:ascii="Cambria" w:hAnsi="Cambria" w:cstheme="majorHAnsi"/>
          <w:b/>
          <w:bCs/>
          <w:sz w:val="36"/>
          <w:szCs w:val="36"/>
          <w:lang w:val="en-US"/>
        </w:rPr>
        <w:t>Supplementary Material</w:t>
      </w:r>
    </w:p>
    <w:p w14:paraId="07349F24" w14:textId="77777777" w:rsidR="00763FEE" w:rsidRDefault="00763FEE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5F6C0B31" w14:textId="77777777" w:rsidR="00763FEE" w:rsidRPr="00763FEE" w:rsidRDefault="00763FEE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579646FC" w14:textId="77777777" w:rsidR="00763FEE" w:rsidRPr="00763FEE" w:rsidRDefault="00763FEE" w:rsidP="00763FEE">
      <w:pPr>
        <w:shd w:val="clear" w:color="auto" w:fill="FFFFFF"/>
        <w:jc w:val="both"/>
        <w:rPr>
          <w:rFonts w:ascii="Cambria" w:hAnsi="Cambria" w:cstheme="majorHAnsi"/>
          <w:sz w:val="24"/>
          <w:szCs w:val="24"/>
          <w:lang w:val="en-US"/>
        </w:rPr>
      </w:pPr>
      <w:r w:rsidRPr="00763FEE">
        <w:rPr>
          <w:rFonts w:ascii="Cambria" w:hAnsi="Cambria" w:cstheme="majorHAnsi"/>
          <w:sz w:val="24"/>
          <w:szCs w:val="24"/>
          <w:lang w:val="en-US"/>
        </w:rPr>
        <w:t>Lil Meyer-Arndt*</w:t>
      </w:r>
      <w:proofErr w:type="spellStart"/>
      <w:proofErr w:type="gramStart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a,b</w:t>
      </w:r>
      <w:proofErr w:type="gramEnd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,</w:t>
      </w:r>
      <w:proofErr w:type="gramStart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c,d</w:t>
      </w:r>
      <w:proofErr w:type="gramEnd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,e</w:t>
      </w:r>
      <w:proofErr w:type="spellEnd"/>
      <w:r w:rsidRPr="00763FEE">
        <w:rPr>
          <w:rFonts w:ascii="Cambria" w:hAnsi="Cambria" w:cstheme="majorHAnsi"/>
          <w:sz w:val="24"/>
          <w:szCs w:val="24"/>
          <w:lang w:val="en-US"/>
        </w:rPr>
        <w:t xml:space="preserve">, Greta </w:t>
      </w:r>
      <w:proofErr w:type="spellStart"/>
      <w:r w:rsidRPr="00763FEE">
        <w:rPr>
          <w:rFonts w:ascii="Cambria" w:hAnsi="Cambria" w:cstheme="majorHAnsi"/>
          <w:sz w:val="24"/>
          <w:szCs w:val="24"/>
          <w:lang w:val="en-US"/>
        </w:rPr>
        <w:t>Pierchalla</w:t>
      </w:r>
      <w:proofErr w:type="spellEnd"/>
      <w:r w:rsidRPr="00763FEE">
        <w:rPr>
          <w:rFonts w:ascii="Cambria" w:hAnsi="Cambria" w:cstheme="majorHAnsi"/>
          <w:sz w:val="24"/>
          <w:szCs w:val="24"/>
          <w:lang w:val="en-US"/>
        </w:rPr>
        <w:t>*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f</w:t>
      </w:r>
      <w:r w:rsidRPr="00763FEE">
        <w:rPr>
          <w:rFonts w:ascii="Cambria" w:hAnsi="Cambria" w:cstheme="majorHAnsi"/>
          <w:sz w:val="24"/>
          <w:szCs w:val="24"/>
          <w:lang w:val="en-US"/>
        </w:rPr>
        <w:t xml:space="preserve">, Lukas </w:t>
      </w:r>
      <w:proofErr w:type="spellStart"/>
      <w:r w:rsidRPr="00763FEE">
        <w:rPr>
          <w:rFonts w:ascii="Cambria" w:hAnsi="Cambria" w:cstheme="majorHAnsi"/>
          <w:sz w:val="24"/>
          <w:szCs w:val="24"/>
          <w:lang w:val="en-US"/>
        </w:rPr>
        <w:t>Mödl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g</w:t>
      </w:r>
      <w:proofErr w:type="spellEnd"/>
      <w:r w:rsidRPr="00763FEE">
        <w:rPr>
          <w:rFonts w:ascii="Cambria" w:hAnsi="Cambria" w:cstheme="majorHAnsi"/>
          <w:sz w:val="24"/>
          <w:szCs w:val="24"/>
          <w:lang w:val="en-US"/>
        </w:rPr>
        <w:t xml:space="preserve">, Felix </w:t>
      </w:r>
      <w:proofErr w:type="spellStart"/>
      <w:proofErr w:type="gramStart"/>
      <w:r w:rsidRPr="00763FEE">
        <w:rPr>
          <w:rFonts w:ascii="Cambria" w:hAnsi="Cambria" w:cstheme="majorHAnsi"/>
          <w:sz w:val="24"/>
          <w:szCs w:val="24"/>
          <w:lang w:val="en-US"/>
        </w:rPr>
        <w:t>Wohlrab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a,b</w:t>
      </w:r>
      <w:proofErr w:type="gramEnd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,c</w:t>
      </w:r>
      <w:proofErr w:type="spellEnd"/>
      <w:r w:rsidRPr="00763FEE">
        <w:rPr>
          <w:rFonts w:ascii="Cambria" w:hAnsi="Cambria" w:cstheme="majorHAnsi"/>
          <w:sz w:val="24"/>
          <w:szCs w:val="24"/>
          <w:lang w:val="en-US"/>
        </w:rPr>
        <w:t xml:space="preserve">, Uta </w:t>
      </w:r>
      <w:proofErr w:type="spellStart"/>
      <w:proofErr w:type="gramStart"/>
      <w:r w:rsidRPr="00763FEE">
        <w:rPr>
          <w:rFonts w:ascii="Cambria" w:hAnsi="Cambria" w:cstheme="majorHAnsi"/>
          <w:sz w:val="24"/>
          <w:szCs w:val="24"/>
          <w:lang w:val="en-US"/>
        </w:rPr>
        <w:t>Hoppmann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a,b</w:t>
      </w:r>
      <w:proofErr w:type="gramEnd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,c</w:t>
      </w:r>
      <w:proofErr w:type="spellEnd"/>
      <w:r w:rsidRPr="00763FEE">
        <w:rPr>
          <w:rFonts w:ascii="Cambria" w:hAnsi="Cambria" w:cstheme="majorHAnsi"/>
          <w:sz w:val="24"/>
          <w:szCs w:val="24"/>
          <w:lang w:val="en-US"/>
        </w:rPr>
        <w:t xml:space="preserve">, Claudia </w:t>
      </w:r>
      <w:proofErr w:type="spellStart"/>
      <w:r w:rsidRPr="00763FEE">
        <w:rPr>
          <w:rFonts w:ascii="Cambria" w:hAnsi="Cambria" w:cstheme="majorHAnsi"/>
          <w:sz w:val="24"/>
          <w:szCs w:val="24"/>
          <w:lang w:val="en-US"/>
        </w:rPr>
        <w:t>Kedor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h</w:t>
      </w:r>
      <w:proofErr w:type="spellEnd"/>
      <w:r w:rsidRPr="00763FEE">
        <w:rPr>
          <w:rFonts w:ascii="Cambria" w:hAnsi="Cambria" w:cstheme="majorHAnsi"/>
          <w:sz w:val="24"/>
          <w:szCs w:val="24"/>
          <w:lang w:val="en-US"/>
        </w:rPr>
        <w:t xml:space="preserve">, Kirsten </w:t>
      </w:r>
      <w:proofErr w:type="spellStart"/>
      <w:r w:rsidRPr="00763FEE">
        <w:rPr>
          <w:rFonts w:ascii="Cambria" w:hAnsi="Cambria" w:cstheme="majorHAnsi"/>
          <w:sz w:val="24"/>
          <w:szCs w:val="24"/>
          <w:lang w:val="en-US"/>
        </w:rPr>
        <w:t>Wittke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h</w:t>
      </w:r>
      <w:proofErr w:type="spellEnd"/>
      <w:r w:rsidRPr="00763FEE">
        <w:rPr>
          <w:rFonts w:ascii="Cambria" w:hAnsi="Cambria" w:cstheme="majorHAnsi"/>
          <w:sz w:val="24"/>
          <w:szCs w:val="24"/>
          <w:lang w:val="en-US"/>
        </w:rPr>
        <w:t>, Helma Freitag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h</w:t>
      </w:r>
      <w:r w:rsidRPr="00763FEE">
        <w:rPr>
          <w:rFonts w:ascii="Cambria" w:hAnsi="Cambria" w:cstheme="majorHAnsi"/>
          <w:sz w:val="24"/>
          <w:szCs w:val="24"/>
          <w:lang w:val="en-US"/>
        </w:rPr>
        <w:t>, Frank Konietschke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g</w:t>
      </w:r>
      <w:r w:rsidRPr="00763FEE">
        <w:rPr>
          <w:rFonts w:ascii="Cambria" w:hAnsi="Cambria" w:cstheme="majorHAnsi"/>
          <w:sz w:val="24"/>
          <w:szCs w:val="24"/>
          <w:lang w:val="en-US"/>
        </w:rPr>
        <w:t>, Heidi Olze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f</w:t>
      </w:r>
      <w:r w:rsidRPr="00763FEE">
        <w:rPr>
          <w:rFonts w:ascii="Cambria" w:hAnsi="Cambria" w:cstheme="majorHAnsi"/>
          <w:sz w:val="24"/>
          <w:szCs w:val="24"/>
          <w:lang w:val="en-US"/>
        </w:rPr>
        <w:t xml:space="preserve">, Friedemann </w:t>
      </w:r>
      <w:proofErr w:type="spellStart"/>
      <w:proofErr w:type="gramStart"/>
      <w:r w:rsidRPr="00763FEE">
        <w:rPr>
          <w:rFonts w:ascii="Cambria" w:hAnsi="Cambria" w:cstheme="majorHAnsi"/>
          <w:sz w:val="24"/>
          <w:szCs w:val="24"/>
          <w:lang w:val="en-US"/>
        </w:rPr>
        <w:t>Paul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a,b</w:t>
      </w:r>
      <w:proofErr w:type="gramEnd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,</w:t>
      </w:r>
      <w:proofErr w:type="gramStart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c,d</w:t>
      </w:r>
      <w:proofErr w:type="spellEnd"/>
      <w:proofErr w:type="gramEnd"/>
      <w:r w:rsidRPr="00763FEE">
        <w:rPr>
          <w:rFonts w:ascii="Cambria" w:hAnsi="Cambria" w:cstheme="majorHAnsi"/>
          <w:sz w:val="24"/>
          <w:szCs w:val="24"/>
          <w:lang w:val="en-US"/>
        </w:rPr>
        <w:t>, Carmen Scheibenbogen</w:t>
      </w:r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h</w:t>
      </w:r>
      <w:r w:rsidRPr="00763FEE">
        <w:rPr>
          <w:rFonts w:ascii="Cambria" w:hAnsi="Cambria" w:cstheme="majorHAnsi"/>
          <w:sz w:val="24"/>
          <w:szCs w:val="24"/>
          <w:lang w:val="en-US"/>
        </w:rPr>
        <w:t>, Judith Bellmann-Strobl</w:t>
      </w:r>
      <w:proofErr w:type="gramStart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*,§</w:t>
      </w:r>
      <w:proofErr w:type="gramEnd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,</w:t>
      </w:r>
      <w:proofErr w:type="spellStart"/>
      <w:proofErr w:type="gramStart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a,b</w:t>
      </w:r>
      <w:proofErr w:type="gramEnd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,c</w:t>
      </w:r>
      <w:proofErr w:type="spellEnd"/>
      <w:r w:rsidRPr="00763FEE">
        <w:rPr>
          <w:rFonts w:ascii="Cambria" w:hAnsi="Cambria" w:cstheme="majorHAnsi"/>
          <w:sz w:val="24"/>
          <w:szCs w:val="24"/>
          <w:lang w:val="en-US"/>
        </w:rPr>
        <w:t>, Ulrike Förster-Ruhrmann</w:t>
      </w:r>
      <w:proofErr w:type="gramStart"/>
      <w:r w:rsidRPr="00763FEE">
        <w:rPr>
          <w:rFonts w:ascii="Cambria" w:hAnsi="Cambria" w:cstheme="majorHAnsi"/>
          <w:sz w:val="24"/>
          <w:szCs w:val="24"/>
          <w:vertAlign w:val="superscript"/>
          <w:lang w:val="en-US"/>
        </w:rPr>
        <w:t>*,f</w:t>
      </w:r>
      <w:proofErr w:type="gramEnd"/>
    </w:p>
    <w:p w14:paraId="1D6B679D" w14:textId="77777777" w:rsidR="00763FEE" w:rsidRPr="00763FEE" w:rsidRDefault="00763FEE" w:rsidP="00763FEE">
      <w:pPr>
        <w:shd w:val="clear" w:color="auto" w:fill="FFFFFF"/>
        <w:rPr>
          <w:rFonts w:ascii="Cambria" w:hAnsi="Cambria" w:cstheme="majorHAnsi"/>
          <w:lang w:val="en-US"/>
        </w:rPr>
      </w:pPr>
    </w:p>
    <w:p w14:paraId="3C72BB3E" w14:textId="77777777" w:rsidR="00763FEE" w:rsidRPr="00763FEE" w:rsidRDefault="00763FEE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  <w:r w:rsidRPr="00763FEE">
        <w:rPr>
          <w:rFonts w:ascii="Cambria" w:hAnsi="Cambria" w:cstheme="majorHAnsi"/>
          <w:lang w:val="en-US"/>
        </w:rPr>
        <w:t xml:space="preserve"> </w:t>
      </w:r>
    </w:p>
    <w:p w14:paraId="678B2C05" w14:textId="71213F01" w:rsidR="00763FEE" w:rsidRPr="00763FEE" w:rsidRDefault="00763FEE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  <w:r w:rsidRPr="00763FEE">
        <w:rPr>
          <w:rFonts w:ascii="Cambria" w:hAnsi="Cambria" w:cstheme="majorHAnsi"/>
          <w:lang w:val="en-US"/>
        </w:rPr>
        <w:t xml:space="preserve"> </w:t>
      </w:r>
    </w:p>
    <w:p w14:paraId="6124A9F6" w14:textId="77777777" w:rsidR="00763FEE" w:rsidRPr="00763FEE" w:rsidRDefault="00763FEE" w:rsidP="00763FEE">
      <w:pPr>
        <w:shd w:val="clear" w:color="auto" w:fill="FFFFFF"/>
        <w:jc w:val="both"/>
        <w:rPr>
          <w:rFonts w:ascii="Cambria" w:eastAsia="Times New Roman" w:hAnsi="Cambria" w:cstheme="majorHAnsi"/>
          <w:sz w:val="20"/>
          <w:szCs w:val="20"/>
          <w:lang w:val="en-US"/>
        </w:rPr>
      </w:pPr>
      <w:proofErr w:type="spellStart"/>
      <w:proofErr w:type="gramStart"/>
      <w:r w:rsidRPr="00763FEE">
        <w:rPr>
          <w:rFonts w:ascii="Cambria" w:eastAsia="Times New Roman" w:hAnsi="Cambria" w:cstheme="majorHAnsi"/>
          <w:sz w:val="26"/>
          <w:szCs w:val="26"/>
          <w:vertAlign w:val="superscript"/>
          <w:lang w:val="en-US"/>
        </w:rPr>
        <w:t>a</w:t>
      </w:r>
      <w:proofErr w:type="spellEnd"/>
      <w:proofErr w:type="gram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Experimental and Clinical Research Center, a cooperation between the Max Delbrück Center for Molecular Medicine in the Helmholtz Association and Charité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Universitätsmedizin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Germany </w:t>
      </w:r>
    </w:p>
    <w:p w14:paraId="56991CA8" w14:textId="77777777" w:rsidR="00763FEE" w:rsidRPr="00763FEE" w:rsidRDefault="00763FEE" w:rsidP="00763FEE">
      <w:pPr>
        <w:shd w:val="clear" w:color="auto" w:fill="FFFFFF"/>
        <w:jc w:val="both"/>
        <w:rPr>
          <w:rFonts w:ascii="Cambria" w:eastAsia="Times New Roman" w:hAnsi="Cambria" w:cstheme="majorHAnsi"/>
          <w:sz w:val="20"/>
          <w:szCs w:val="20"/>
          <w:lang w:val="en-US"/>
        </w:rPr>
      </w:pPr>
      <w:r w:rsidRPr="00763FEE">
        <w:rPr>
          <w:rFonts w:ascii="Cambria" w:eastAsia="Times New Roman" w:hAnsi="Cambria" w:cstheme="majorHAnsi"/>
          <w:sz w:val="26"/>
          <w:szCs w:val="26"/>
          <w:vertAlign w:val="superscript"/>
          <w:lang w:val="en-US"/>
        </w:rPr>
        <w:t xml:space="preserve">b </w:t>
      </w:r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Charité –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Universitätsmedizin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corporate member of Freie Universität Berlin and Humboldt-Universität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zu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Experimental and Clinical Research Center, 13125 Berlin, Germany </w:t>
      </w:r>
    </w:p>
    <w:p w14:paraId="4AED2E26" w14:textId="77777777" w:rsidR="00763FEE" w:rsidRPr="00763FEE" w:rsidRDefault="00763FEE" w:rsidP="00763FEE">
      <w:pPr>
        <w:shd w:val="clear" w:color="auto" w:fill="FFFFFF"/>
        <w:jc w:val="both"/>
        <w:rPr>
          <w:rFonts w:ascii="Cambria" w:eastAsia="Times New Roman" w:hAnsi="Cambria" w:cstheme="majorHAnsi"/>
          <w:sz w:val="20"/>
          <w:szCs w:val="20"/>
          <w:lang w:val="en-US"/>
        </w:rPr>
      </w:pPr>
      <w:proofErr w:type="gramStart"/>
      <w:r w:rsidRPr="00763FEE">
        <w:rPr>
          <w:rFonts w:ascii="Cambria" w:eastAsia="Times New Roman" w:hAnsi="Cambria" w:cstheme="majorHAnsi"/>
          <w:sz w:val="26"/>
          <w:szCs w:val="26"/>
          <w:vertAlign w:val="superscript"/>
          <w:lang w:val="en-US"/>
        </w:rPr>
        <w:t xml:space="preserve">c  </w:t>
      </w:r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Max</w:t>
      </w:r>
      <w:proofErr w:type="gram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Delbrück Center for Molecular Medicine in the Helmholtz Association, 13125 Berlin, Germany </w:t>
      </w:r>
    </w:p>
    <w:p w14:paraId="08104ED6" w14:textId="77777777" w:rsidR="00763FEE" w:rsidRPr="00763FEE" w:rsidRDefault="00763FEE" w:rsidP="00763FEE">
      <w:pPr>
        <w:shd w:val="clear" w:color="auto" w:fill="FFFFFF"/>
        <w:jc w:val="both"/>
        <w:rPr>
          <w:rFonts w:ascii="Cambria" w:eastAsia="Times New Roman" w:hAnsi="Cambria" w:cstheme="majorHAnsi"/>
          <w:sz w:val="20"/>
          <w:szCs w:val="20"/>
          <w:lang w:val="en-US"/>
        </w:rPr>
      </w:pPr>
      <w:r w:rsidRPr="00763FEE">
        <w:rPr>
          <w:rFonts w:ascii="Cambria" w:eastAsia="Times New Roman" w:hAnsi="Cambria" w:cstheme="majorHAnsi"/>
          <w:sz w:val="26"/>
          <w:szCs w:val="26"/>
          <w:vertAlign w:val="superscript"/>
          <w:lang w:val="en-US"/>
        </w:rPr>
        <w:t>d</w:t>
      </w:r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Charité –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Universitätsmedizin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corporate member of Freie Universität Berlin, Humboldt-Universität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zu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and Berlin Institute of Health,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NeuroCure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Clinical Research Center, 10117 Berlin, Germany</w:t>
      </w:r>
    </w:p>
    <w:p w14:paraId="74AD11D9" w14:textId="77777777" w:rsidR="00763FEE" w:rsidRPr="00763FEE" w:rsidRDefault="00763FEE" w:rsidP="00763FEE">
      <w:pPr>
        <w:shd w:val="clear" w:color="auto" w:fill="FFFFFF"/>
        <w:jc w:val="both"/>
        <w:rPr>
          <w:rFonts w:ascii="Cambria" w:eastAsia="Times New Roman" w:hAnsi="Cambria" w:cstheme="majorHAnsi"/>
          <w:sz w:val="26"/>
          <w:szCs w:val="26"/>
          <w:vertAlign w:val="superscript"/>
          <w:lang w:val="en-US"/>
        </w:rPr>
      </w:pPr>
      <w:r w:rsidRPr="00763FEE">
        <w:rPr>
          <w:rFonts w:ascii="Cambria" w:eastAsia="Times New Roman" w:hAnsi="Cambria" w:cstheme="majorHAnsi"/>
          <w:sz w:val="26"/>
          <w:szCs w:val="26"/>
          <w:vertAlign w:val="superscript"/>
          <w:lang w:val="en-US"/>
        </w:rPr>
        <w:t>e</w:t>
      </w:r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Charité –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Universitätsmedizin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Department of Neurology and Experimental Neurology, 10117 Berlin, Germany</w:t>
      </w:r>
      <w:r w:rsidRPr="00763FEE">
        <w:rPr>
          <w:rFonts w:ascii="Cambria" w:eastAsia="Times New Roman" w:hAnsi="Cambria" w:cstheme="majorHAnsi"/>
          <w:sz w:val="26"/>
          <w:szCs w:val="26"/>
          <w:vertAlign w:val="superscript"/>
          <w:lang w:val="en-US"/>
        </w:rPr>
        <w:t xml:space="preserve"> </w:t>
      </w:r>
    </w:p>
    <w:p w14:paraId="2E92B52F" w14:textId="77777777" w:rsidR="00763FEE" w:rsidRPr="00763FEE" w:rsidRDefault="00763FEE" w:rsidP="00763FEE">
      <w:pPr>
        <w:shd w:val="clear" w:color="auto" w:fill="FFFFFF"/>
        <w:jc w:val="both"/>
        <w:rPr>
          <w:rFonts w:ascii="Cambria" w:eastAsia="Times New Roman" w:hAnsi="Cambria" w:cstheme="majorHAnsi"/>
          <w:sz w:val="20"/>
          <w:szCs w:val="20"/>
          <w:lang w:val="en-US"/>
        </w:rPr>
      </w:pPr>
      <w:r w:rsidRPr="00763FEE">
        <w:rPr>
          <w:rFonts w:ascii="Cambria" w:eastAsia="Times New Roman" w:hAnsi="Cambria" w:cstheme="majorHAnsi"/>
          <w:sz w:val="26"/>
          <w:szCs w:val="26"/>
          <w:vertAlign w:val="superscript"/>
          <w:lang w:val="en-US"/>
        </w:rPr>
        <w:t xml:space="preserve">f </w:t>
      </w:r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Charité –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Universitätsmedizin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corporate member of Freie Universität Berlin, Humboldt-Universität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zu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Department of Otorhinolaryngology, CCM and CVK, 10117 Berlin, Germany</w:t>
      </w:r>
    </w:p>
    <w:p w14:paraId="4D3D8F96" w14:textId="77777777" w:rsidR="00763FEE" w:rsidRPr="00763FEE" w:rsidRDefault="00763FEE" w:rsidP="00763FEE">
      <w:pPr>
        <w:shd w:val="clear" w:color="auto" w:fill="FFFFFF"/>
        <w:jc w:val="both"/>
        <w:rPr>
          <w:rFonts w:ascii="Cambria" w:eastAsia="Times New Roman" w:hAnsi="Cambria" w:cstheme="majorHAnsi"/>
          <w:sz w:val="20"/>
          <w:szCs w:val="20"/>
          <w:lang w:val="en-US"/>
        </w:rPr>
      </w:pPr>
      <w:r w:rsidRPr="00763FEE">
        <w:rPr>
          <w:rFonts w:ascii="Cambria" w:eastAsia="Times New Roman" w:hAnsi="Cambria" w:cstheme="majorHAnsi"/>
          <w:sz w:val="20"/>
          <w:szCs w:val="20"/>
          <w:vertAlign w:val="superscript"/>
          <w:lang w:val="en-US"/>
        </w:rPr>
        <w:t xml:space="preserve">f </w:t>
      </w:r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Charité –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Universitätsmedizin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Corporate Member of Freie Universität Berlin and Humboldt-Universität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zu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Institute of Biometry and Clinical Epidemiology, 10117 Berlin, Germany</w:t>
      </w:r>
    </w:p>
    <w:p w14:paraId="4DBA3A38" w14:textId="77777777" w:rsidR="00763FEE" w:rsidRPr="00763FEE" w:rsidRDefault="00763FEE" w:rsidP="00763FEE">
      <w:pPr>
        <w:shd w:val="clear" w:color="auto" w:fill="FFFFFF"/>
        <w:jc w:val="both"/>
        <w:rPr>
          <w:rFonts w:ascii="Cambria" w:eastAsia="Times New Roman" w:hAnsi="Cambria" w:cstheme="majorHAnsi"/>
          <w:sz w:val="20"/>
          <w:szCs w:val="20"/>
          <w:lang w:val="en-US"/>
        </w:rPr>
      </w:pPr>
      <w:r w:rsidRPr="00763FEE">
        <w:rPr>
          <w:rFonts w:ascii="Cambria" w:eastAsia="Times New Roman" w:hAnsi="Cambria" w:cstheme="majorHAnsi"/>
          <w:sz w:val="20"/>
          <w:szCs w:val="20"/>
          <w:vertAlign w:val="superscript"/>
          <w:lang w:val="en-US"/>
        </w:rPr>
        <w:t xml:space="preserve">g </w:t>
      </w:r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Charité -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Universitätsmedizin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Berlin, Corporate Member of Freie Universität Berlin, Humboldt Universität </w:t>
      </w:r>
      <w:proofErr w:type="spellStart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>zu</w:t>
      </w:r>
      <w:proofErr w:type="spellEnd"/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Berlin and Berlin Institute of Health, Institute of Medical Immunology, 13353 Berlin, Germany</w:t>
      </w:r>
    </w:p>
    <w:p w14:paraId="7C58502E" w14:textId="77777777" w:rsidR="00763FEE" w:rsidRPr="00763FEE" w:rsidRDefault="00763FEE" w:rsidP="00763FEE">
      <w:pPr>
        <w:shd w:val="clear" w:color="auto" w:fill="FFFFFF"/>
        <w:jc w:val="both"/>
        <w:rPr>
          <w:rFonts w:ascii="Cambria" w:eastAsia="Times New Roman" w:hAnsi="Cambria" w:cstheme="majorHAnsi"/>
          <w:sz w:val="20"/>
          <w:szCs w:val="20"/>
          <w:lang w:val="en-US"/>
        </w:rPr>
      </w:pPr>
      <w:r w:rsidRPr="00763FEE">
        <w:rPr>
          <w:rFonts w:ascii="Cambria" w:eastAsia="Times New Roman" w:hAnsi="Cambria" w:cstheme="majorHAnsi"/>
          <w:sz w:val="20"/>
          <w:szCs w:val="20"/>
          <w:lang w:val="en-US"/>
        </w:rPr>
        <w:t xml:space="preserve"> </w:t>
      </w:r>
    </w:p>
    <w:p w14:paraId="6308ECBF" w14:textId="77777777" w:rsidR="00763FEE" w:rsidRPr="00763FEE" w:rsidRDefault="00763FEE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4B3851BA" w14:textId="77777777" w:rsidR="00074C27" w:rsidRDefault="00074C27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15DE21C5" w14:textId="77777777" w:rsidR="00074C27" w:rsidRDefault="00074C27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06389A54" w14:textId="77777777" w:rsidR="00074C27" w:rsidRDefault="00074C27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45869A84" w14:textId="77777777" w:rsidR="00074C27" w:rsidRDefault="00074C27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29F0A88F" w14:textId="77777777" w:rsidR="00074C27" w:rsidRDefault="00074C27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7BD7B013" w14:textId="77777777" w:rsidR="00074C27" w:rsidRDefault="00074C27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10D97F03" w14:textId="77777777" w:rsidR="00074C27" w:rsidRDefault="00074C27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6FF2BE68" w14:textId="77777777" w:rsidR="00074C27" w:rsidRDefault="00074C27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0FA165E2" w14:textId="77777777" w:rsidR="00074C27" w:rsidRDefault="00074C27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686F34C6" w14:textId="3DCE553C" w:rsidR="00763FEE" w:rsidRPr="00763FEE" w:rsidRDefault="00763FEE" w:rsidP="00763FEE">
      <w:pPr>
        <w:shd w:val="clear" w:color="auto" w:fill="FFFFFF"/>
        <w:jc w:val="both"/>
        <w:rPr>
          <w:rFonts w:ascii="Cambria" w:hAnsi="Cambria" w:cstheme="majorHAnsi"/>
          <w:lang w:val="en-US"/>
        </w:rPr>
      </w:pPr>
      <w:r w:rsidRPr="00763FEE">
        <w:rPr>
          <w:rFonts w:ascii="Cambria" w:hAnsi="Cambria" w:cstheme="majorHAnsi"/>
          <w:lang w:val="en-US"/>
        </w:rPr>
        <w:t>* Equally contributing</w:t>
      </w:r>
    </w:p>
    <w:p w14:paraId="0D488486" w14:textId="77777777" w:rsidR="00763FEE" w:rsidRPr="00763FEE" w:rsidRDefault="00763FEE" w:rsidP="00763FEE">
      <w:pPr>
        <w:shd w:val="clear" w:color="auto" w:fill="FFFFFF"/>
        <w:jc w:val="both"/>
        <w:rPr>
          <w:rFonts w:ascii="Cambria" w:hAnsi="Cambria" w:cstheme="majorHAnsi"/>
          <w:color w:val="000000" w:themeColor="text1"/>
          <w:lang w:val="en-US"/>
        </w:rPr>
      </w:pPr>
      <w:r w:rsidRPr="00763FEE">
        <w:rPr>
          <w:rFonts w:ascii="Cambria" w:hAnsi="Cambria" w:cstheme="majorHAnsi"/>
          <w:color w:val="000000" w:themeColor="text1"/>
          <w:vertAlign w:val="superscript"/>
          <w:lang w:val="en-US"/>
        </w:rPr>
        <w:t xml:space="preserve">§ </w:t>
      </w:r>
      <w:r w:rsidRPr="00763FEE">
        <w:rPr>
          <w:rFonts w:ascii="Cambria" w:hAnsi="Cambria" w:cstheme="majorHAnsi"/>
          <w:color w:val="000000" w:themeColor="text1"/>
          <w:lang w:val="en-US"/>
        </w:rPr>
        <w:t>Corresponding author: Judith Bellmann-Strobl, judith.bellmann-strobl@charite.de</w:t>
      </w:r>
    </w:p>
    <w:p w14:paraId="30C99567" w14:textId="5A9105C8" w:rsidR="0000147C" w:rsidRPr="005D69EC" w:rsidRDefault="00A4769A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  <w:lastRenderedPageBreak/>
        <w:t>Supplementary Table</w:t>
      </w:r>
      <w:r w:rsidR="00885AE5"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  <w:t>s</w:t>
      </w:r>
    </w:p>
    <w:p w14:paraId="3A109997" w14:textId="77777777" w:rsidR="007D4128" w:rsidRDefault="007D4128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FF0000"/>
          <w:lang w:val="en-US"/>
        </w:rPr>
      </w:pPr>
    </w:p>
    <w:p w14:paraId="698C030E" w14:textId="77777777" w:rsidR="007D4128" w:rsidRPr="007D4128" w:rsidRDefault="007D4128" w:rsidP="007D4128">
      <w:pPr>
        <w:rPr>
          <w:color w:val="FF0000"/>
          <w:sz w:val="20"/>
          <w:szCs w:val="20"/>
          <w:highlight w:val="yellow"/>
          <w:lang w:val="en-US"/>
        </w:rPr>
      </w:pPr>
      <w:r w:rsidRPr="00295B87">
        <w:rPr>
          <w:rFonts w:eastAsia="Times New Roman"/>
          <w:b/>
          <w:bCs/>
          <w:color w:val="FF0000"/>
          <w:sz w:val="20"/>
          <w:szCs w:val="20"/>
          <w:lang w:val="en-US"/>
        </w:rPr>
        <w:t>Age-matched normative cut-offs for hyposmia based on the extended Sniffin' Sticks Test</w:t>
      </w:r>
    </w:p>
    <w:tbl>
      <w:tblPr>
        <w:tblW w:w="8426" w:type="dxa"/>
        <w:tblLook w:val="04A0" w:firstRow="1" w:lastRow="0" w:firstColumn="1" w:lastColumn="0" w:noHBand="0" w:noVBand="1"/>
      </w:tblPr>
      <w:tblGrid>
        <w:gridCol w:w="1520"/>
        <w:gridCol w:w="1680"/>
        <w:gridCol w:w="1606"/>
        <w:gridCol w:w="1520"/>
        <w:gridCol w:w="2100"/>
      </w:tblGrid>
      <w:tr w:rsidR="007D4128" w:rsidRPr="00295B87" w14:paraId="69D3B099" w14:textId="77777777" w:rsidTr="00C90AD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E2101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Age</w:t>
            </w:r>
            <w:r w:rsidRPr="007D4128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 xml:space="preserve"> (</w:t>
            </w:r>
            <w:proofErr w:type="spellStart"/>
            <w:r w:rsidRPr="007D4128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years</w:t>
            </w:r>
            <w:proofErr w:type="spellEnd"/>
            <w:r w:rsidRPr="007D4128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24F2F0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295B87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Identification</w:t>
            </w:r>
            <w:proofErr w:type="spellEnd"/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8B748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295B87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Discrimination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C13AF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Threshold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BE1D6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Total</w:t>
            </w:r>
          </w:p>
        </w:tc>
      </w:tr>
      <w:tr w:rsidR="007D4128" w:rsidRPr="00295B87" w14:paraId="2BD34937" w14:textId="77777777" w:rsidTr="00C90AD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ABFF6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 xml:space="preserve">21-30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32D29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11.00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87436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11.00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EE7E6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6.25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349CE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30.75</w:t>
            </w:r>
          </w:p>
        </w:tc>
      </w:tr>
      <w:tr w:rsidR="007D4128" w:rsidRPr="00295B87" w14:paraId="3D99E2B9" w14:textId="77777777" w:rsidTr="00C90AD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C93AD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 xml:space="preserve">31-40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A45BC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12.00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24119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10.00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8230A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5.50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510FE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30.50</w:t>
            </w:r>
          </w:p>
        </w:tc>
      </w:tr>
      <w:tr w:rsidR="007D4128" w:rsidRPr="00295B87" w14:paraId="4273DBB3" w14:textId="77777777" w:rsidTr="00C90AD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BB630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 xml:space="preserve">41-50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92742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11.00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3BDF5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9.00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B3592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5.35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30C82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28.25</w:t>
            </w:r>
          </w:p>
        </w:tc>
      </w:tr>
      <w:tr w:rsidR="007D4128" w:rsidRPr="00295B87" w14:paraId="3237A4AF" w14:textId="77777777" w:rsidTr="00C90AD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04142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 xml:space="preserve">51-60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47C01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10.00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63C4F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9.00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4659C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4.25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AF360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27.20</w:t>
            </w:r>
          </w:p>
        </w:tc>
      </w:tr>
      <w:tr w:rsidR="007D4128" w:rsidRPr="00295B87" w14:paraId="44671BFC" w14:textId="77777777" w:rsidTr="00C90AD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59C54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 xml:space="preserve">61-70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AF252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10.00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F0948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8.00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3F2A9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3.58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11FA1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25.00</w:t>
            </w:r>
          </w:p>
        </w:tc>
      </w:tr>
      <w:tr w:rsidR="007D4128" w:rsidRPr="00295B87" w14:paraId="0394AA9C" w14:textId="77777777" w:rsidTr="00C90AD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96ABD" w14:textId="77777777" w:rsidR="007D4128" w:rsidRPr="00295B87" w:rsidRDefault="007D4128" w:rsidP="00C90AD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 xml:space="preserve">71-80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0A67B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7.00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FA403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6.00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3CD26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1.25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1FE47" w14:textId="77777777" w:rsidR="007D4128" w:rsidRPr="00295B87" w:rsidRDefault="007D4128" w:rsidP="00C90AD4">
            <w:pPr>
              <w:spacing w:line="240" w:lineRule="auto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295B87">
              <w:rPr>
                <w:rFonts w:eastAsia="Times New Roman"/>
                <w:color w:val="FF0000"/>
                <w:sz w:val="20"/>
                <w:szCs w:val="20"/>
              </w:rPr>
              <w:t>17.25</w:t>
            </w:r>
          </w:p>
        </w:tc>
      </w:tr>
    </w:tbl>
    <w:p w14:paraId="75A32811" w14:textId="77777777" w:rsidR="007D4128" w:rsidRDefault="007D4128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FF0000"/>
          <w:sz w:val="24"/>
          <w:szCs w:val="24"/>
          <w:lang w:val="en-US"/>
        </w:rPr>
      </w:pPr>
    </w:p>
    <w:p w14:paraId="7DF7557E" w14:textId="0C27AC0C" w:rsidR="00D51791" w:rsidRPr="00D06FDE" w:rsidRDefault="00D51791" w:rsidP="00D51791">
      <w:pPr>
        <w:shd w:val="clear" w:color="auto" w:fill="FFFFFF"/>
        <w:jc w:val="both"/>
        <w:rPr>
          <w:rFonts w:ascii="Cambria" w:hAnsi="Cambria" w:cstheme="majorHAnsi"/>
          <w:color w:val="FF0000"/>
          <w:lang w:val="en-US"/>
        </w:rPr>
      </w:pPr>
      <w:r w:rsidRPr="003841FA">
        <w:rPr>
          <w:rFonts w:ascii="Cambria" w:hAnsi="Cambria" w:cstheme="majorHAnsi"/>
          <w:b/>
          <w:bCs/>
          <w:color w:val="FF0000"/>
          <w:lang w:val="en-US"/>
        </w:rPr>
        <w:t xml:space="preserve">Supplementary Table 1: </w:t>
      </w:r>
      <w:r w:rsidR="00A64E0D">
        <w:rPr>
          <w:rFonts w:ascii="Cambria" w:hAnsi="Cambria" w:cstheme="majorHAnsi"/>
          <w:b/>
          <w:bCs/>
          <w:color w:val="FF0000"/>
          <w:lang w:val="en-US"/>
        </w:rPr>
        <w:t>A</w:t>
      </w:r>
      <w:r w:rsidRPr="003841FA">
        <w:rPr>
          <w:rFonts w:ascii="Cambria" w:hAnsi="Cambria" w:cstheme="majorHAnsi"/>
          <w:b/>
          <w:bCs/>
          <w:color w:val="FF0000"/>
          <w:lang w:val="en-US"/>
        </w:rPr>
        <w:t xml:space="preserve">ge-specific TDI </w:t>
      </w:r>
      <w:r w:rsidR="00A13BB3">
        <w:rPr>
          <w:rFonts w:ascii="Cambria" w:hAnsi="Cambria" w:cstheme="majorHAnsi"/>
          <w:b/>
          <w:bCs/>
          <w:color w:val="FF0000"/>
          <w:lang w:val="en-US"/>
        </w:rPr>
        <w:t>C</w:t>
      </w:r>
      <w:r w:rsidR="00A64E0D">
        <w:rPr>
          <w:rFonts w:ascii="Cambria" w:hAnsi="Cambria" w:cstheme="majorHAnsi"/>
          <w:b/>
          <w:bCs/>
          <w:color w:val="FF0000"/>
          <w:lang w:val="en-US"/>
        </w:rPr>
        <w:t xml:space="preserve">ut-off </w:t>
      </w:r>
      <w:r w:rsidR="00A13BB3">
        <w:rPr>
          <w:rFonts w:ascii="Cambria" w:hAnsi="Cambria" w:cstheme="majorHAnsi"/>
          <w:b/>
          <w:bCs/>
          <w:color w:val="FF0000"/>
          <w:lang w:val="en-US"/>
        </w:rPr>
        <w:t>V</w:t>
      </w:r>
      <w:r w:rsidR="00A64E0D">
        <w:rPr>
          <w:rFonts w:ascii="Cambria" w:hAnsi="Cambria" w:cstheme="majorHAnsi"/>
          <w:b/>
          <w:bCs/>
          <w:color w:val="FF0000"/>
          <w:lang w:val="en-US"/>
        </w:rPr>
        <w:t xml:space="preserve">alues for </w:t>
      </w:r>
      <w:r w:rsidR="00A13BB3">
        <w:rPr>
          <w:rFonts w:ascii="Cambria" w:hAnsi="Cambria" w:cstheme="majorHAnsi"/>
          <w:b/>
          <w:bCs/>
          <w:color w:val="FF0000"/>
          <w:lang w:val="en-US"/>
        </w:rPr>
        <w:t>H</w:t>
      </w:r>
      <w:r w:rsidR="00A64E0D">
        <w:rPr>
          <w:rFonts w:ascii="Cambria" w:hAnsi="Cambria" w:cstheme="majorHAnsi"/>
          <w:b/>
          <w:bCs/>
          <w:color w:val="FF0000"/>
          <w:lang w:val="en-US"/>
        </w:rPr>
        <w:t xml:space="preserve">yposmia </w:t>
      </w:r>
      <w:r w:rsidR="00A13BB3">
        <w:rPr>
          <w:rFonts w:ascii="Cambria" w:hAnsi="Cambria" w:cstheme="majorHAnsi"/>
          <w:b/>
          <w:bCs/>
          <w:color w:val="FF0000"/>
          <w:lang w:val="en-US"/>
        </w:rPr>
        <w:t>B</w:t>
      </w:r>
      <w:r w:rsidR="00A64E0D">
        <w:rPr>
          <w:rFonts w:ascii="Cambria" w:hAnsi="Cambria" w:cstheme="majorHAnsi"/>
          <w:b/>
          <w:bCs/>
          <w:color w:val="FF0000"/>
          <w:lang w:val="en-US"/>
        </w:rPr>
        <w:t xml:space="preserve">ased on TDI </w:t>
      </w:r>
      <w:r w:rsidR="00A13BB3">
        <w:rPr>
          <w:rFonts w:ascii="Cambria" w:hAnsi="Cambria" w:cstheme="majorHAnsi"/>
          <w:b/>
          <w:bCs/>
          <w:color w:val="FF0000"/>
          <w:lang w:val="en-US"/>
        </w:rPr>
        <w:t>S</w:t>
      </w:r>
      <w:r w:rsidR="00A64E0D">
        <w:rPr>
          <w:rFonts w:ascii="Cambria" w:hAnsi="Cambria" w:cstheme="majorHAnsi"/>
          <w:b/>
          <w:bCs/>
          <w:color w:val="FF0000"/>
          <w:lang w:val="en-US"/>
        </w:rPr>
        <w:t>cores</w:t>
      </w:r>
      <w:r w:rsidRPr="003841FA">
        <w:rPr>
          <w:rFonts w:ascii="Cambria" w:hAnsi="Cambria" w:cstheme="majorHAnsi"/>
          <w:b/>
          <w:bCs/>
          <w:color w:val="FF0000"/>
          <w:lang w:val="en-US"/>
        </w:rPr>
        <w:t>.</w:t>
      </w:r>
      <w:r w:rsidR="00D06FDE">
        <w:rPr>
          <w:rFonts w:ascii="Cambria" w:hAnsi="Cambria" w:cstheme="majorHAnsi"/>
          <w:b/>
          <w:bCs/>
          <w:color w:val="FF0000"/>
          <w:lang w:val="en-US"/>
        </w:rPr>
        <w:t xml:space="preserve"> </w:t>
      </w:r>
      <w:r w:rsidR="00D06FDE">
        <w:rPr>
          <w:rFonts w:ascii="Cambria" w:hAnsi="Cambria" w:cstheme="majorHAnsi"/>
          <w:color w:val="FF0000"/>
          <w:lang w:val="en-US"/>
        </w:rPr>
        <w:t xml:space="preserve">Values in columns 2-5 </w:t>
      </w:r>
      <w:r w:rsidR="00A64E0D">
        <w:rPr>
          <w:rFonts w:ascii="Cambria" w:hAnsi="Cambria" w:cstheme="majorHAnsi"/>
          <w:color w:val="FF0000"/>
          <w:lang w:val="en-US"/>
        </w:rPr>
        <w:t>represent</w:t>
      </w:r>
      <w:r w:rsidR="00D06FDE">
        <w:rPr>
          <w:rFonts w:ascii="Cambria" w:hAnsi="Cambria" w:cstheme="majorHAnsi"/>
          <w:color w:val="FF0000"/>
          <w:lang w:val="en-US"/>
        </w:rPr>
        <w:t xml:space="preserve"> </w:t>
      </w:r>
      <w:r w:rsidR="00A64E0D">
        <w:rPr>
          <w:rFonts w:ascii="Cambria" w:hAnsi="Cambria" w:cstheme="majorHAnsi"/>
          <w:color w:val="FF0000"/>
          <w:lang w:val="en-US"/>
        </w:rPr>
        <w:t>the thresholds</w:t>
      </w:r>
      <w:r w:rsidR="00D06FDE">
        <w:rPr>
          <w:rFonts w:ascii="Cambria" w:hAnsi="Cambria" w:cstheme="majorHAnsi"/>
          <w:color w:val="FF0000"/>
          <w:lang w:val="en-US"/>
        </w:rPr>
        <w:t xml:space="preserve"> below which hyposmia </w:t>
      </w:r>
      <w:r w:rsidR="00D24F3D">
        <w:rPr>
          <w:rFonts w:ascii="Cambria" w:hAnsi="Cambria" w:cstheme="majorHAnsi"/>
          <w:color w:val="FF0000"/>
          <w:lang w:val="en-US"/>
        </w:rPr>
        <w:t xml:space="preserve">is defined for each subtest (Identification, Discrimination, Threshold) and </w:t>
      </w:r>
      <w:r w:rsidR="00C10486">
        <w:rPr>
          <w:rFonts w:ascii="Cambria" w:hAnsi="Cambria" w:cstheme="majorHAnsi"/>
          <w:color w:val="FF0000"/>
          <w:lang w:val="en-US"/>
        </w:rPr>
        <w:t xml:space="preserve">for the </w:t>
      </w:r>
      <w:r w:rsidR="00D24F3D">
        <w:rPr>
          <w:rFonts w:ascii="Cambria" w:hAnsi="Cambria" w:cstheme="majorHAnsi"/>
          <w:color w:val="FF0000"/>
          <w:lang w:val="en-US"/>
        </w:rPr>
        <w:t>total TDI score</w:t>
      </w:r>
      <w:r w:rsidR="00BC367A">
        <w:rPr>
          <w:rFonts w:ascii="Cambria" w:hAnsi="Cambria" w:cstheme="majorHAnsi"/>
          <w:color w:val="FF0000"/>
          <w:lang w:val="en-US"/>
        </w:rPr>
        <w:t>, as determined for each</w:t>
      </w:r>
      <w:r w:rsidR="00D06FDE">
        <w:rPr>
          <w:rFonts w:ascii="Cambria" w:hAnsi="Cambria" w:cstheme="majorHAnsi"/>
          <w:color w:val="FF0000"/>
          <w:lang w:val="en-US"/>
        </w:rPr>
        <w:t xml:space="preserve"> age group </w:t>
      </w:r>
      <w:r w:rsidR="00A81DAB">
        <w:rPr>
          <w:rFonts w:ascii="Cambria" w:hAnsi="Cambria" w:cstheme="majorHAnsi"/>
          <w:color w:val="FF0000"/>
          <w:lang w:val="en-US"/>
        </w:rPr>
        <w:t xml:space="preserve">listed </w:t>
      </w:r>
      <w:r w:rsidR="00D06FDE">
        <w:rPr>
          <w:rFonts w:ascii="Cambria" w:hAnsi="Cambria" w:cstheme="majorHAnsi"/>
          <w:color w:val="FF0000"/>
          <w:lang w:val="en-US"/>
        </w:rPr>
        <w:t>in the first column</w:t>
      </w:r>
      <w:r w:rsidR="00054CCD">
        <w:rPr>
          <w:rFonts w:ascii="Cambria" w:hAnsi="Cambria" w:cstheme="majorHAnsi"/>
          <w:color w:val="FF0000"/>
          <w:lang w:val="en-US"/>
        </w:rPr>
        <w:t xml:space="preserve"> (Hummel et al., 2007)</w:t>
      </w:r>
      <w:r w:rsidR="00D06FDE">
        <w:rPr>
          <w:rFonts w:ascii="Cambria" w:hAnsi="Cambria" w:cstheme="majorHAnsi"/>
          <w:color w:val="FF0000"/>
          <w:lang w:val="en-US"/>
        </w:rPr>
        <w:t xml:space="preserve">. </w:t>
      </w:r>
    </w:p>
    <w:p w14:paraId="1511C762" w14:textId="77777777" w:rsidR="001E5070" w:rsidRDefault="001E5070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41BD001F" w14:textId="77777777" w:rsidR="00C83D3C" w:rsidRDefault="00C83D3C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60F490E0" w14:textId="77777777" w:rsidR="00C83D3C" w:rsidRDefault="00C83D3C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1342859A" w14:textId="54C55D31" w:rsidR="00885AE5" w:rsidRPr="00885AE5" w:rsidRDefault="00885AE5" w:rsidP="00763FEE">
      <w:pPr>
        <w:shd w:val="clear" w:color="auto" w:fill="FFFFFF"/>
        <w:jc w:val="both"/>
        <w:rPr>
          <w:rFonts w:ascii="Cambria" w:hAnsi="Cambria" w:cstheme="majorHAnsi"/>
          <w:color w:val="000000" w:themeColor="text1"/>
          <w:lang w:val="en-US"/>
        </w:rPr>
      </w:pPr>
      <w:r w:rsidRPr="00885AE5">
        <w:rPr>
          <w:rFonts w:ascii="Cambria" w:hAnsi="Cambria" w:cstheme="majorHAnsi"/>
          <w:color w:val="000000" w:themeColor="text1"/>
          <w:lang w:val="en-US"/>
        </w:rPr>
        <w:t>(Separate data file)</w:t>
      </w:r>
    </w:p>
    <w:p w14:paraId="3F08C246" w14:textId="77777777" w:rsidR="00885AE5" w:rsidRDefault="00885AE5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6FCB67DE" w14:textId="73E88BB5" w:rsidR="00A4769A" w:rsidRDefault="00A4769A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lang w:val="en-US"/>
        </w:rPr>
      </w:pPr>
      <w:bookmarkStart w:id="0" w:name="OLE_LINK19"/>
      <w:bookmarkStart w:id="1" w:name="OLE_LINK20"/>
      <w:bookmarkStart w:id="2" w:name="OLE_LINK21"/>
      <w:r w:rsidRPr="00A4769A">
        <w:rPr>
          <w:rFonts w:ascii="Cambria" w:hAnsi="Cambria" w:cstheme="majorHAnsi"/>
          <w:b/>
          <w:bCs/>
          <w:color w:val="000000" w:themeColor="text1"/>
          <w:lang w:val="en-US"/>
        </w:rPr>
        <w:t xml:space="preserve">Supplementary Table </w:t>
      </w:r>
      <w:r w:rsidR="001E5070">
        <w:rPr>
          <w:rFonts w:ascii="Cambria" w:hAnsi="Cambria" w:cstheme="majorHAnsi"/>
          <w:b/>
          <w:bCs/>
          <w:color w:val="000000" w:themeColor="text1"/>
          <w:lang w:val="en-US"/>
        </w:rPr>
        <w:t>2</w:t>
      </w:r>
      <w:r w:rsidRPr="00A4769A">
        <w:rPr>
          <w:rFonts w:ascii="Cambria" w:hAnsi="Cambria" w:cstheme="majorHAnsi"/>
          <w:b/>
          <w:bCs/>
          <w:color w:val="000000" w:themeColor="text1"/>
          <w:lang w:val="en-US"/>
        </w:rPr>
        <w:t xml:space="preserve">: </w:t>
      </w:r>
      <w:r w:rsidR="001908E8" w:rsidRPr="001908E8">
        <w:rPr>
          <w:rFonts w:ascii="Cambria" w:hAnsi="Cambria" w:cstheme="majorHAnsi"/>
          <w:b/>
          <w:bCs/>
          <w:color w:val="000000" w:themeColor="text1"/>
          <w:lang w:val="en-US"/>
        </w:rPr>
        <w:t xml:space="preserve">Effect </w:t>
      </w:r>
      <w:r w:rsidR="005E1AE4">
        <w:rPr>
          <w:rFonts w:ascii="Cambria" w:hAnsi="Cambria" w:cstheme="majorHAnsi"/>
          <w:b/>
          <w:bCs/>
          <w:color w:val="000000" w:themeColor="text1"/>
          <w:lang w:val="en-US"/>
        </w:rPr>
        <w:t>S</w:t>
      </w:r>
      <w:r w:rsidR="001908E8" w:rsidRPr="001908E8">
        <w:rPr>
          <w:rFonts w:ascii="Cambria" w:hAnsi="Cambria" w:cstheme="majorHAnsi"/>
          <w:b/>
          <w:bCs/>
          <w:color w:val="000000" w:themeColor="text1"/>
          <w:lang w:val="en-US"/>
        </w:rPr>
        <w:t xml:space="preserve">izes </w:t>
      </w:r>
      <w:r w:rsidR="00A13BB3">
        <w:rPr>
          <w:rFonts w:ascii="Cambria" w:hAnsi="Cambria" w:cstheme="majorHAnsi"/>
          <w:b/>
          <w:bCs/>
          <w:color w:val="000000" w:themeColor="text1"/>
          <w:lang w:val="en-US"/>
        </w:rPr>
        <w:t>for</w:t>
      </w:r>
      <w:r w:rsidR="001908E8" w:rsidRPr="001908E8">
        <w:rPr>
          <w:rFonts w:ascii="Cambria" w:hAnsi="Cambria" w:cstheme="majorHAnsi"/>
          <w:b/>
          <w:bCs/>
          <w:color w:val="000000" w:themeColor="text1"/>
          <w:lang w:val="en-US"/>
        </w:rPr>
        <w:t xml:space="preserve"> </w:t>
      </w:r>
      <w:r w:rsidR="005E1AE4">
        <w:rPr>
          <w:rFonts w:ascii="Cambria" w:hAnsi="Cambria" w:cstheme="majorHAnsi"/>
          <w:b/>
          <w:bCs/>
          <w:color w:val="000000" w:themeColor="text1"/>
          <w:lang w:val="en-US"/>
        </w:rPr>
        <w:t>A</w:t>
      </w:r>
      <w:r w:rsidR="001908E8" w:rsidRPr="001908E8">
        <w:rPr>
          <w:rFonts w:ascii="Cambria" w:hAnsi="Cambria" w:cstheme="majorHAnsi"/>
          <w:b/>
          <w:bCs/>
          <w:color w:val="000000" w:themeColor="text1"/>
          <w:lang w:val="en-US"/>
        </w:rPr>
        <w:t xml:space="preserve">ll </w:t>
      </w:r>
      <w:r w:rsidR="005E1AE4">
        <w:rPr>
          <w:rFonts w:ascii="Cambria" w:hAnsi="Cambria" w:cstheme="majorHAnsi"/>
          <w:b/>
          <w:bCs/>
          <w:color w:val="000000" w:themeColor="text1"/>
          <w:lang w:val="en-US"/>
        </w:rPr>
        <w:t>L</w:t>
      </w:r>
      <w:r w:rsidR="001908E8" w:rsidRPr="001908E8">
        <w:rPr>
          <w:rFonts w:ascii="Cambria" w:hAnsi="Cambria" w:cstheme="majorHAnsi"/>
          <w:b/>
          <w:bCs/>
          <w:color w:val="000000" w:themeColor="text1"/>
          <w:lang w:val="en-US"/>
        </w:rPr>
        <w:t xml:space="preserve">ongitudinal </w:t>
      </w:r>
      <w:r w:rsidR="005E1AE4">
        <w:rPr>
          <w:rFonts w:ascii="Cambria" w:hAnsi="Cambria" w:cstheme="majorHAnsi"/>
          <w:b/>
          <w:bCs/>
          <w:color w:val="000000" w:themeColor="text1"/>
          <w:lang w:val="en-US"/>
        </w:rPr>
        <w:t>G</w:t>
      </w:r>
      <w:r w:rsidR="001908E8" w:rsidRPr="001908E8">
        <w:rPr>
          <w:rFonts w:ascii="Cambria" w:hAnsi="Cambria" w:cstheme="majorHAnsi"/>
          <w:b/>
          <w:bCs/>
          <w:color w:val="000000" w:themeColor="text1"/>
          <w:lang w:val="en-US"/>
        </w:rPr>
        <w:t xml:space="preserve">roup </w:t>
      </w:r>
      <w:r w:rsidR="005E1AE4">
        <w:rPr>
          <w:rFonts w:ascii="Cambria" w:hAnsi="Cambria" w:cstheme="majorHAnsi"/>
          <w:b/>
          <w:bCs/>
          <w:color w:val="000000" w:themeColor="text1"/>
          <w:lang w:val="en-US"/>
        </w:rPr>
        <w:t>A</w:t>
      </w:r>
      <w:r w:rsidR="001908E8" w:rsidRPr="001908E8">
        <w:rPr>
          <w:rFonts w:ascii="Cambria" w:hAnsi="Cambria" w:cstheme="majorHAnsi"/>
          <w:b/>
          <w:bCs/>
          <w:color w:val="000000" w:themeColor="text1"/>
          <w:lang w:val="en-US"/>
        </w:rPr>
        <w:t>nalyses</w:t>
      </w:r>
      <w:r w:rsidR="001908E8">
        <w:rPr>
          <w:rFonts w:ascii="Cambria" w:hAnsi="Cambria" w:cstheme="majorHAnsi"/>
          <w:b/>
          <w:bCs/>
          <w:color w:val="000000" w:themeColor="text1"/>
          <w:lang w:val="en-US"/>
        </w:rPr>
        <w:t>.</w:t>
      </w:r>
      <w:r w:rsidR="001908E8" w:rsidRPr="001908E8">
        <w:rPr>
          <w:rFonts w:ascii="Cambria" w:hAnsi="Cambria" w:cstheme="majorHAnsi"/>
          <w:b/>
          <w:bCs/>
          <w:color w:val="000000" w:themeColor="text1"/>
          <w:lang w:val="en-US"/>
        </w:rPr>
        <w:t xml:space="preserve"> </w:t>
      </w:r>
      <w:r w:rsidR="001908E8" w:rsidRPr="001908E8">
        <w:rPr>
          <w:rFonts w:ascii="Cambria" w:hAnsi="Cambria" w:cstheme="majorHAnsi"/>
          <w:color w:val="000000" w:themeColor="text1"/>
          <w:lang w:val="en-US"/>
        </w:rPr>
        <w:t xml:space="preserve">Column A represents the olfactory outcome analyzed, column B represents the group categorized for, and column C the assessment period. Column </w:t>
      </w:r>
      <w:r w:rsidR="002F6FC6">
        <w:rPr>
          <w:rFonts w:ascii="Cambria" w:hAnsi="Cambria" w:cstheme="majorHAnsi"/>
          <w:color w:val="000000" w:themeColor="text1"/>
          <w:lang w:val="en-US"/>
        </w:rPr>
        <w:t>D indicates the number of observations analyzed, column E the effect sizes for each analysis, and column F</w:t>
      </w:r>
      <w:r w:rsidR="00994E53">
        <w:rPr>
          <w:rFonts w:ascii="Cambria" w:hAnsi="Cambria" w:cstheme="majorHAnsi"/>
          <w:color w:val="000000" w:themeColor="text1"/>
          <w:lang w:val="en-US"/>
        </w:rPr>
        <w:t xml:space="preserve"> (lower) and G (upper) </w:t>
      </w:r>
      <w:r w:rsidR="002F6FC6">
        <w:rPr>
          <w:rFonts w:ascii="Cambria" w:hAnsi="Cambria" w:cstheme="majorHAnsi"/>
          <w:color w:val="000000" w:themeColor="text1"/>
          <w:lang w:val="en-US"/>
        </w:rPr>
        <w:t xml:space="preserve">their 95% confidence intervals. </w:t>
      </w:r>
      <w:r w:rsidR="00994E53" w:rsidRPr="00994E53">
        <w:rPr>
          <w:rFonts w:ascii="Cambria" w:eastAsia="Cambria" w:hAnsi="Cambria" w:cs="Cambria"/>
          <w:lang w:val="en-US"/>
        </w:rPr>
        <w:t>The underlying effect measure is an adaption of the well-known Wilcoxon-Mann-Whitney effect for longitudinal data</w:t>
      </w:r>
      <w:r w:rsidR="00D34903">
        <w:rPr>
          <w:rFonts w:ascii="Cambria" w:eastAsia="Cambria" w:hAnsi="Cambria" w:cs="Cambria"/>
          <w:lang w:val="en-US"/>
        </w:rPr>
        <w:t>.</w:t>
      </w:r>
    </w:p>
    <w:bookmarkEnd w:id="0"/>
    <w:bookmarkEnd w:id="1"/>
    <w:bookmarkEnd w:id="2"/>
    <w:p w14:paraId="2737533C" w14:textId="77777777" w:rsidR="00A4769A" w:rsidRDefault="00A4769A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69CB2DF5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00A057D8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729D0CEE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14E62FBE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7E9813DA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19A00EF2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7E4B0792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6991BFD3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14694CDA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2EA646ED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41C95607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76CFDEE6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65C0B497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34AAD28C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01508ECE" w14:textId="77777777" w:rsidR="00C83D3C" w:rsidRDefault="00C83D3C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1EF34325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0A2776C7" w14:textId="77777777" w:rsidR="00EC67CD" w:rsidRDefault="00EC67CD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5CF0A233" w14:textId="452FAFF6" w:rsidR="00763FEE" w:rsidRDefault="00A4769A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  <w:lastRenderedPageBreak/>
        <w:t>Supplementary Figure</w:t>
      </w:r>
      <w:r w:rsidR="00795728"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  <w:t>s</w:t>
      </w:r>
    </w:p>
    <w:p w14:paraId="03212EB0" w14:textId="77777777" w:rsidR="00B06010" w:rsidRDefault="00B06010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52A2E3ED" w14:textId="02073392" w:rsidR="00D65F52" w:rsidRDefault="00561715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  <w:t>A</w:t>
      </w:r>
    </w:p>
    <w:p w14:paraId="442ADC04" w14:textId="30FF9086" w:rsidR="00D65F52" w:rsidRDefault="00272A5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Cambria" w:hAnsi="Cambria" w:cstheme="majorHAnsi"/>
          <w:b/>
          <w:bCs/>
          <w:noProof/>
          <w:color w:val="000000" w:themeColor="text1"/>
          <w:sz w:val="24"/>
          <w:szCs w:val="24"/>
          <w:lang w:val="en-US"/>
          <w14:ligatures w14:val="standardContextual"/>
        </w:rPr>
        <w:drawing>
          <wp:inline distT="0" distB="0" distL="0" distR="0" wp14:anchorId="575820C5" wp14:editId="7F2A5FD8">
            <wp:extent cx="5731510" cy="3830320"/>
            <wp:effectExtent l="0" t="0" r="0" b="5080"/>
            <wp:docPr id="1791215171" name="Picture 2" descr="A chart of a vaccination te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215171" name="Picture 2" descr="A chart of a vaccination test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8B3FB" w14:textId="77777777" w:rsidR="00D65F52" w:rsidRDefault="00D65F52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2F72016B" w14:textId="72608248" w:rsidR="00D65F52" w:rsidRDefault="00D65F52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  <w:t>B</w:t>
      </w:r>
      <w:r w:rsidR="00272A54">
        <w:rPr>
          <w:rFonts w:ascii="Cambria" w:hAnsi="Cambria" w:cstheme="majorHAnsi"/>
          <w:b/>
          <w:bCs/>
          <w:noProof/>
          <w:color w:val="000000" w:themeColor="text1"/>
          <w:sz w:val="24"/>
          <w:szCs w:val="24"/>
          <w:lang w:val="en-US"/>
          <w14:ligatures w14:val="standardContextual"/>
        </w:rPr>
        <w:drawing>
          <wp:inline distT="0" distB="0" distL="0" distR="0" wp14:anchorId="7B7304CE" wp14:editId="67CEAF5D">
            <wp:extent cx="5731510" cy="3830320"/>
            <wp:effectExtent l="0" t="0" r="0" b="5080"/>
            <wp:docPr id="2108119477" name="Picture 3" descr="A diagram of different types of covid-19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119477" name="Picture 3" descr="A diagram of different types of covid-19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D57D6" w14:textId="7E2835E9" w:rsidR="00561715" w:rsidRDefault="00561715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523BDD1D" w14:textId="5D9E70BC" w:rsidR="00561715" w:rsidRDefault="00561715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  <w:t>C</w:t>
      </w:r>
    </w:p>
    <w:p w14:paraId="19EA8EC7" w14:textId="55F2BB1F" w:rsidR="00561715" w:rsidRDefault="00272A5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Cambria" w:hAnsi="Cambria" w:cstheme="majorHAnsi"/>
          <w:b/>
          <w:bCs/>
          <w:noProof/>
          <w:color w:val="000000" w:themeColor="text1"/>
          <w:sz w:val="24"/>
          <w:szCs w:val="24"/>
          <w:lang w:val="en-US"/>
          <w14:ligatures w14:val="standardContextual"/>
        </w:rPr>
        <w:drawing>
          <wp:inline distT="0" distB="0" distL="0" distR="0" wp14:anchorId="5C018780" wp14:editId="48831523">
            <wp:extent cx="5731510" cy="3830320"/>
            <wp:effectExtent l="0" t="0" r="0" b="5080"/>
            <wp:docPr id="267764928" name="Picture 4" descr="A group of graphs showing different levels of resul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764928" name="Picture 4" descr="A group of graphs showing different levels of results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331AD" w14:textId="77777777" w:rsidR="00561715" w:rsidRDefault="00561715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4B5C31B1" w14:textId="28F4412E" w:rsidR="00B06010" w:rsidRDefault="00B06010" w:rsidP="00B06010">
      <w:pPr>
        <w:shd w:val="clear" w:color="auto" w:fill="FFFFFF"/>
        <w:jc w:val="both"/>
        <w:rPr>
          <w:rFonts w:ascii="Cambria" w:hAnsi="Cambria" w:cstheme="majorHAnsi"/>
          <w:lang w:val="en-US"/>
        </w:rPr>
      </w:pPr>
      <w:r w:rsidRPr="00E36F1E">
        <w:rPr>
          <w:rFonts w:ascii="Cambria" w:hAnsi="Cambria" w:cstheme="majorHAnsi"/>
          <w:b/>
          <w:bCs/>
          <w:color w:val="000000" w:themeColor="text1"/>
          <w:lang w:val="en-US"/>
        </w:rPr>
        <w:t xml:space="preserve">Supplementary Figure 1: </w:t>
      </w:r>
      <w:r w:rsidR="00310D69" w:rsidRPr="00E36F1E">
        <w:rPr>
          <w:rFonts w:ascii="Cambria" w:hAnsi="Cambria" w:cstheme="majorHAnsi"/>
          <w:b/>
          <w:bCs/>
          <w:color w:val="000000" w:themeColor="text1"/>
          <w:lang w:val="en-US"/>
        </w:rPr>
        <w:t xml:space="preserve">Olfactory </w:t>
      </w:r>
      <w:r w:rsidR="005E1AE4">
        <w:rPr>
          <w:rFonts w:ascii="Cambria" w:hAnsi="Cambria" w:cstheme="majorHAnsi"/>
          <w:b/>
          <w:bCs/>
          <w:color w:val="000000" w:themeColor="text1"/>
          <w:lang w:val="en-US"/>
        </w:rPr>
        <w:t>O</w:t>
      </w:r>
      <w:r w:rsidR="00310D69" w:rsidRPr="00E36F1E">
        <w:rPr>
          <w:rFonts w:ascii="Cambria" w:hAnsi="Cambria" w:cstheme="majorHAnsi"/>
          <w:b/>
          <w:bCs/>
          <w:color w:val="000000" w:themeColor="text1"/>
          <w:lang w:val="en-US"/>
        </w:rPr>
        <w:t xml:space="preserve">utcomes </w:t>
      </w:r>
      <w:r w:rsidR="005E1AE4">
        <w:rPr>
          <w:rFonts w:ascii="Cambria" w:hAnsi="Cambria" w:cstheme="majorHAnsi"/>
          <w:b/>
          <w:bCs/>
          <w:color w:val="000000" w:themeColor="text1"/>
          <w:lang w:val="en-US"/>
        </w:rPr>
        <w:t>F</w:t>
      </w:r>
      <w:r w:rsidR="00310D69" w:rsidRPr="00E36F1E">
        <w:rPr>
          <w:rFonts w:ascii="Cambria" w:hAnsi="Cambria" w:cstheme="majorHAnsi"/>
          <w:b/>
          <w:bCs/>
          <w:color w:val="000000" w:themeColor="text1"/>
          <w:lang w:val="en-US"/>
        </w:rPr>
        <w:t xml:space="preserve">ollowing COVID-19 </w:t>
      </w:r>
      <w:r w:rsidR="005E1AE4">
        <w:rPr>
          <w:rFonts w:ascii="Cambria" w:hAnsi="Cambria" w:cstheme="majorHAnsi"/>
          <w:b/>
          <w:bCs/>
          <w:color w:val="000000" w:themeColor="text1"/>
          <w:lang w:val="en-US"/>
        </w:rPr>
        <w:t>V</w:t>
      </w:r>
      <w:r w:rsidR="00310D69" w:rsidRPr="00E36F1E">
        <w:rPr>
          <w:rFonts w:ascii="Cambria" w:hAnsi="Cambria" w:cstheme="majorHAnsi"/>
          <w:b/>
          <w:bCs/>
          <w:color w:val="000000" w:themeColor="text1"/>
          <w:lang w:val="en-US"/>
        </w:rPr>
        <w:t xml:space="preserve">accination. </w:t>
      </w:r>
      <w:r w:rsidR="00310D69" w:rsidRPr="00E36F1E">
        <w:rPr>
          <w:rFonts w:ascii="Cambria" w:hAnsi="Cambria" w:cstheme="majorHAnsi"/>
          <w:lang w:val="en-US"/>
        </w:rPr>
        <w:t>(A)</w:t>
      </w:r>
      <w:r w:rsidR="00310D69" w:rsidRPr="00E36F1E">
        <w:rPr>
          <w:rFonts w:ascii="Cambria" w:hAnsi="Cambria" w:cstheme="majorHAnsi"/>
          <w:b/>
          <w:bCs/>
          <w:lang w:val="en-US"/>
        </w:rPr>
        <w:t xml:space="preserve"> </w:t>
      </w:r>
      <w:r w:rsidR="00310D69" w:rsidRPr="00E36F1E">
        <w:rPr>
          <w:rFonts w:ascii="Cambria" w:hAnsi="Cambria" w:cstheme="majorHAnsi"/>
          <w:lang w:val="en-US"/>
        </w:rPr>
        <w:t xml:space="preserve">Percentage of </w:t>
      </w:r>
      <w:r w:rsidR="007163AD" w:rsidRPr="00E36F1E">
        <w:rPr>
          <w:rFonts w:ascii="Cambria" w:hAnsi="Cambria" w:cstheme="majorHAnsi"/>
          <w:lang w:val="en-US"/>
        </w:rPr>
        <w:t>unvaccinated participants before COVID-19</w:t>
      </w:r>
      <w:r w:rsidR="00310D69" w:rsidRPr="00E36F1E">
        <w:rPr>
          <w:rFonts w:ascii="Cambria" w:hAnsi="Cambria" w:cstheme="majorHAnsi"/>
          <w:lang w:val="en-US"/>
        </w:rPr>
        <w:t xml:space="preserve"> (</w:t>
      </w:r>
      <w:r w:rsidR="007163AD" w:rsidRPr="00E36F1E">
        <w:rPr>
          <w:rFonts w:ascii="Cambria" w:hAnsi="Cambria" w:cstheme="majorHAnsi"/>
          <w:lang w:val="en-US"/>
        </w:rPr>
        <w:t>yellow</w:t>
      </w:r>
      <w:r w:rsidR="00310D69" w:rsidRPr="00E36F1E">
        <w:rPr>
          <w:rFonts w:ascii="Cambria" w:hAnsi="Cambria" w:cstheme="majorHAnsi"/>
          <w:lang w:val="en-US"/>
        </w:rPr>
        <w:t xml:space="preserve">) and </w:t>
      </w:r>
      <w:r w:rsidR="007163AD" w:rsidRPr="00E36F1E">
        <w:rPr>
          <w:rFonts w:ascii="Cambria" w:hAnsi="Cambria" w:cstheme="majorHAnsi"/>
          <w:lang w:val="en-US"/>
        </w:rPr>
        <w:t>vaccinated participants before COVID-19</w:t>
      </w:r>
      <w:r w:rsidR="00310D69" w:rsidRPr="00E36F1E">
        <w:rPr>
          <w:rFonts w:ascii="Cambria" w:hAnsi="Cambria" w:cstheme="majorHAnsi"/>
          <w:lang w:val="en-US"/>
        </w:rPr>
        <w:t xml:space="preserve"> (</w:t>
      </w:r>
      <w:r w:rsidR="007163AD" w:rsidRPr="00E36F1E">
        <w:rPr>
          <w:rFonts w:ascii="Cambria" w:hAnsi="Cambria" w:cstheme="majorHAnsi"/>
          <w:lang w:val="en-US"/>
        </w:rPr>
        <w:t>blue</w:t>
      </w:r>
      <w:r w:rsidR="00310D69" w:rsidRPr="00E36F1E">
        <w:rPr>
          <w:rFonts w:ascii="Cambria" w:hAnsi="Cambria" w:cstheme="majorHAnsi"/>
          <w:lang w:val="en-US"/>
        </w:rPr>
        <w:t xml:space="preserve">) patients (depicted on the y-axis) categorized by </w:t>
      </w:r>
      <w:proofErr w:type="spellStart"/>
      <w:r w:rsidR="00310D69" w:rsidRPr="00E36F1E">
        <w:rPr>
          <w:rFonts w:ascii="Cambria" w:hAnsi="Cambria" w:cstheme="majorHAnsi"/>
          <w:lang w:val="en-US"/>
        </w:rPr>
        <w:t>normosmia</w:t>
      </w:r>
      <w:proofErr w:type="spellEnd"/>
      <w:r w:rsidR="00310D69" w:rsidRPr="00E36F1E">
        <w:rPr>
          <w:rFonts w:ascii="Cambria" w:hAnsi="Cambria" w:cstheme="majorHAnsi"/>
          <w:lang w:val="en-US"/>
        </w:rPr>
        <w:t xml:space="preserve"> (left bar) and hyposmia/anosmia (right bar), with absolute patient numbers per </w:t>
      </w:r>
      <w:r w:rsidR="007142E8" w:rsidRPr="00E36F1E">
        <w:rPr>
          <w:rFonts w:ascii="Cambria" w:hAnsi="Cambria" w:cstheme="majorHAnsi"/>
          <w:lang w:val="en-US"/>
        </w:rPr>
        <w:t>vaccination group</w:t>
      </w:r>
      <w:r w:rsidR="00310D69" w:rsidRPr="00E36F1E">
        <w:rPr>
          <w:rFonts w:ascii="Cambria" w:hAnsi="Cambria" w:cstheme="majorHAnsi"/>
          <w:lang w:val="en-US"/>
        </w:rPr>
        <w:t xml:space="preserve"> (shown on the x-axis)</w:t>
      </w:r>
      <w:r w:rsidR="00785915" w:rsidRPr="00E36F1E">
        <w:rPr>
          <w:rFonts w:ascii="Cambria" w:hAnsi="Cambria" w:cstheme="majorHAnsi"/>
          <w:lang w:val="en-US"/>
        </w:rPr>
        <w:t xml:space="preserve"> during the first a</w:t>
      </w:r>
      <w:r w:rsidR="00310D69" w:rsidRPr="00E36F1E">
        <w:rPr>
          <w:rFonts w:ascii="Cambria" w:hAnsi="Cambria" w:cstheme="majorHAnsi"/>
          <w:lang w:val="en-US"/>
        </w:rPr>
        <w:t>ssessment period</w:t>
      </w:r>
      <w:r w:rsidR="00785915" w:rsidRPr="00E36F1E">
        <w:rPr>
          <w:rFonts w:ascii="Cambria" w:hAnsi="Cambria" w:cstheme="majorHAnsi"/>
          <w:lang w:val="en-US"/>
        </w:rPr>
        <w:t xml:space="preserve">. </w:t>
      </w:r>
      <w:r w:rsidR="002638DC" w:rsidRPr="00E36F1E">
        <w:rPr>
          <w:rFonts w:ascii="Cambria" w:hAnsi="Cambria" w:cstheme="majorHAnsi"/>
          <w:lang w:val="en-US"/>
        </w:rPr>
        <w:t>(B)</w:t>
      </w:r>
      <w:r w:rsidR="00DE31AE" w:rsidRPr="00E36F1E">
        <w:rPr>
          <w:rFonts w:ascii="Cambria" w:hAnsi="Cambria" w:cstheme="majorHAnsi"/>
          <w:lang w:val="en-US"/>
        </w:rPr>
        <w:t xml:space="preserve"> Distribution of </w:t>
      </w:r>
      <w:r w:rsidR="004C13CE" w:rsidRPr="00E36F1E">
        <w:rPr>
          <w:rFonts w:ascii="Cambria" w:hAnsi="Cambria" w:cstheme="majorHAnsi"/>
          <w:lang w:val="en-US"/>
        </w:rPr>
        <w:t xml:space="preserve">olfactory </w:t>
      </w:r>
      <w:r w:rsidR="007038EE" w:rsidRPr="00E36F1E">
        <w:rPr>
          <w:rFonts w:ascii="Cambria" w:hAnsi="Cambria" w:cstheme="majorHAnsi"/>
          <w:lang w:val="en-US"/>
        </w:rPr>
        <w:t xml:space="preserve">TDI </w:t>
      </w:r>
      <w:r w:rsidR="004C13CE" w:rsidRPr="00E36F1E">
        <w:rPr>
          <w:rFonts w:ascii="Cambria" w:hAnsi="Cambria" w:cstheme="majorHAnsi"/>
          <w:lang w:val="en-US"/>
        </w:rPr>
        <w:t>testing outcome</w:t>
      </w:r>
      <w:r w:rsidR="00084B02" w:rsidRPr="00E36F1E">
        <w:rPr>
          <w:rFonts w:ascii="Cambria" w:hAnsi="Cambria" w:cstheme="majorHAnsi"/>
          <w:lang w:val="en-US"/>
        </w:rPr>
        <w:t xml:space="preserve"> scores as depicted on the y-axis</w:t>
      </w:r>
      <w:r w:rsidR="004C13CE" w:rsidRPr="00E36F1E">
        <w:rPr>
          <w:rFonts w:ascii="Cambria" w:hAnsi="Cambria" w:cstheme="majorHAnsi"/>
          <w:lang w:val="en-US"/>
        </w:rPr>
        <w:t xml:space="preserve"> (</w:t>
      </w:r>
      <w:r w:rsidR="005D635E">
        <w:rPr>
          <w:rFonts w:ascii="Cambria" w:hAnsi="Cambria" w:cstheme="majorHAnsi"/>
          <w:lang w:val="en-US"/>
        </w:rPr>
        <w:t>(a)</w:t>
      </w:r>
      <w:r w:rsidR="004C13CE" w:rsidRPr="00E36F1E">
        <w:rPr>
          <w:rFonts w:ascii="Cambria" w:hAnsi="Cambria" w:cstheme="majorHAnsi"/>
          <w:lang w:val="en-US"/>
        </w:rPr>
        <w:t xml:space="preserve"> Discrimination, </w:t>
      </w:r>
      <w:r w:rsidR="005D635E">
        <w:rPr>
          <w:rFonts w:ascii="Cambria" w:hAnsi="Cambria" w:cstheme="majorHAnsi"/>
          <w:lang w:val="en-US"/>
        </w:rPr>
        <w:t xml:space="preserve">(b) </w:t>
      </w:r>
      <w:r w:rsidR="004C13CE" w:rsidRPr="00E36F1E">
        <w:rPr>
          <w:rFonts w:ascii="Cambria" w:hAnsi="Cambria" w:cstheme="majorHAnsi"/>
          <w:lang w:val="en-US"/>
        </w:rPr>
        <w:t xml:space="preserve">Identification, </w:t>
      </w:r>
      <w:r w:rsidR="005D635E">
        <w:rPr>
          <w:rFonts w:ascii="Cambria" w:hAnsi="Cambria" w:cstheme="majorHAnsi"/>
          <w:lang w:val="en-US"/>
        </w:rPr>
        <w:t xml:space="preserve">(c) </w:t>
      </w:r>
      <w:r w:rsidR="004C13CE" w:rsidRPr="00E36F1E">
        <w:rPr>
          <w:rFonts w:ascii="Cambria" w:hAnsi="Cambria" w:cstheme="majorHAnsi"/>
          <w:lang w:val="en-US"/>
        </w:rPr>
        <w:t xml:space="preserve">Threshold, and </w:t>
      </w:r>
      <w:r w:rsidR="005D635E">
        <w:rPr>
          <w:rFonts w:ascii="Cambria" w:hAnsi="Cambria" w:cstheme="majorHAnsi"/>
          <w:lang w:val="en-US"/>
        </w:rPr>
        <w:t xml:space="preserve">(d) </w:t>
      </w:r>
      <w:r w:rsidR="004C13CE" w:rsidRPr="00E36F1E">
        <w:rPr>
          <w:rFonts w:ascii="Cambria" w:hAnsi="Cambria" w:cstheme="majorHAnsi"/>
          <w:lang w:val="en-US"/>
        </w:rPr>
        <w:t xml:space="preserve">Total TDI Score) </w:t>
      </w:r>
      <w:r w:rsidR="00453357" w:rsidRPr="00E36F1E">
        <w:rPr>
          <w:rFonts w:ascii="Cambria" w:hAnsi="Cambria" w:cstheme="majorHAnsi"/>
          <w:lang w:val="en-US"/>
        </w:rPr>
        <w:t xml:space="preserve">in </w:t>
      </w:r>
      <w:r w:rsidR="00DE31AE" w:rsidRPr="00E36F1E">
        <w:rPr>
          <w:rFonts w:ascii="Cambria" w:hAnsi="Cambria" w:cstheme="majorHAnsi"/>
          <w:lang w:val="en-US"/>
        </w:rPr>
        <w:t xml:space="preserve">unvaccinated participants before COVID-19 (yellow) and vaccinated participants before COVID-19 (blue) during the first assessment period. </w:t>
      </w:r>
      <w:r w:rsidR="00084B02" w:rsidRPr="00E36F1E">
        <w:rPr>
          <w:rFonts w:ascii="Cambria" w:hAnsi="Cambria" w:cstheme="majorHAnsi"/>
          <w:lang w:val="en-US"/>
        </w:rPr>
        <w:t>Bars show group medians</w:t>
      </w:r>
      <w:r w:rsidR="009F3A72" w:rsidRPr="00E36F1E">
        <w:rPr>
          <w:rFonts w:ascii="Cambria" w:hAnsi="Cambria" w:cstheme="majorHAnsi"/>
          <w:lang w:val="en-US"/>
        </w:rPr>
        <w:t xml:space="preserve"> and box</w:t>
      </w:r>
      <w:r w:rsidR="00CD20D0" w:rsidRPr="00E36F1E">
        <w:rPr>
          <w:rFonts w:ascii="Cambria" w:hAnsi="Cambria" w:cstheme="majorHAnsi"/>
          <w:lang w:val="en-US"/>
        </w:rPr>
        <w:t>es</w:t>
      </w:r>
      <w:r w:rsidR="009F3A72" w:rsidRPr="00E36F1E">
        <w:rPr>
          <w:rFonts w:ascii="Cambria" w:hAnsi="Cambria" w:cstheme="majorHAnsi"/>
          <w:lang w:val="en-US"/>
        </w:rPr>
        <w:t xml:space="preserve"> </w:t>
      </w:r>
      <w:r w:rsidR="00CD20D0" w:rsidRPr="00E36F1E">
        <w:rPr>
          <w:rFonts w:ascii="Cambria" w:hAnsi="Cambria" w:cstheme="majorHAnsi"/>
          <w:lang w:val="en-US"/>
        </w:rPr>
        <w:t>depict where 50% of data lies</w:t>
      </w:r>
      <w:r w:rsidR="009F3A72" w:rsidRPr="00E36F1E">
        <w:rPr>
          <w:rFonts w:ascii="Cambria" w:hAnsi="Cambria" w:cstheme="majorHAnsi"/>
          <w:lang w:val="en-US"/>
        </w:rPr>
        <w:t xml:space="preserve">. (C) </w:t>
      </w:r>
      <w:r w:rsidR="00707E2E" w:rsidRPr="00E36F1E">
        <w:rPr>
          <w:rFonts w:ascii="Cambria" w:hAnsi="Cambria" w:cstheme="majorHAnsi"/>
          <w:lang w:val="en-US"/>
        </w:rPr>
        <w:t xml:space="preserve">Individual plots for </w:t>
      </w:r>
      <w:r w:rsidR="00561715">
        <w:rPr>
          <w:rFonts w:ascii="Cambria" w:hAnsi="Cambria" w:cstheme="majorHAnsi"/>
          <w:lang w:val="en-US"/>
        </w:rPr>
        <w:t xml:space="preserve">(a) </w:t>
      </w:r>
      <w:r w:rsidR="00707E2E" w:rsidRPr="00E36F1E">
        <w:rPr>
          <w:rFonts w:ascii="Cambria" w:hAnsi="Cambria" w:cstheme="majorHAnsi"/>
          <w:lang w:val="en-US"/>
        </w:rPr>
        <w:t xml:space="preserve">Discrimination, </w:t>
      </w:r>
      <w:r w:rsidR="00561715">
        <w:rPr>
          <w:rFonts w:ascii="Cambria" w:hAnsi="Cambria" w:cstheme="majorHAnsi"/>
          <w:lang w:val="en-US"/>
        </w:rPr>
        <w:t xml:space="preserve">(b) </w:t>
      </w:r>
      <w:r w:rsidR="00707E2E" w:rsidRPr="00E36F1E">
        <w:rPr>
          <w:rFonts w:ascii="Cambria" w:hAnsi="Cambria" w:cstheme="majorHAnsi"/>
          <w:lang w:val="en-US"/>
        </w:rPr>
        <w:t xml:space="preserve">Identification, </w:t>
      </w:r>
      <w:r w:rsidR="00561715">
        <w:rPr>
          <w:rFonts w:ascii="Cambria" w:hAnsi="Cambria" w:cstheme="majorHAnsi"/>
          <w:lang w:val="en-US"/>
        </w:rPr>
        <w:t xml:space="preserve">(c) </w:t>
      </w:r>
      <w:r w:rsidR="00707E2E" w:rsidRPr="00E36F1E">
        <w:rPr>
          <w:rFonts w:ascii="Cambria" w:hAnsi="Cambria" w:cstheme="majorHAnsi"/>
          <w:lang w:val="en-US"/>
        </w:rPr>
        <w:t xml:space="preserve">Threshold, </w:t>
      </w:r>
      <w:r w:rsidR="00707E2E" w:rsidRPr="001301FF">
        <w:rPr>
          <w:rFonts w:ascii="Cambria" w:hAnsi="Cambria" w:cstheme="majorHAnsi"/>
          <w:lang w:val="en-US"/>
        </w:rPr>
        <w:t xml:space="preserve">and </w:t>
      </w:r>
      <w:r w:rsidR="00561715">
        <w:rPr>
          <w:rFonts w:ascii="Cambria" w:hAnsi="Cambria" w:cstheme="majorHAnsi"/>
          <w:lang w:val="en-US"/>
        </w:rPr>
        <w:t xml:space="preserve">(d) </w:t>
      </w:r>
      <w:r w:rsidR="00707E2E" w:rsidRPr="001301FF">
        <w:rPr>
          <w:rFonts w:ascii="Cambria" w:hAnsi="Cambria" w:cstheme="majorHAnsi"/>
          <w:lang w:val="en-US"/>
        </w:rPr>
        <w:t xml:space="preserve">Total TDI Score as defined by the TDI </w:t>
      </w:r>
      <w:r w:rsidR="00BB4A0B" w:rsidRPr="001301FF">
        <w:rPr>
          <w:rFonts w:ascii="Cambria" w:hAnsi="Cambria" w:cstheme="majorHAnsi"/>
          <w:lang w:val="en-US"/>
        </w:rPr>
        <w:t>T</w:t>
      </w:r>
      <w:r w:rsidR="00707E2E" w:rsidRPr="001301FF">
        <w:rPr>
          <w:rFonts w:ascii="Cambria" w:hAnsi="Cambria" w:cstheme="majorHAnsi"/>
          <w:lang w:val="en-US"/>
        </w:rPr>
        <w:t xml:space="preserve">est, with absolute test scores on the left y-axis. Blue dots represent </w:t>
      </w:r>
      <w:r w:rsidR="00DB6AE6" w:rsidRPr="001301FF">
        <w:rPr>
          <w:rFonts w:ascii="Cambria" w:hAnsi="Cambria" w:cstheme="majorHAnsi"/>
          <w:lang w:val="en-US"/>
        </w:rPr>
        <w:t>unvaccinated participants before the first assessment</w:t>
      </w:r>
      <w:r w:rsidR="00707E2E" w:rsidRPr="001301FF">
        <w:rPr>
          <w:rFonts w:ascii="Cambria" w:hAnsi="Cambria" w:cstheme="majorHAnsi"/>
          <w:lang w:val="en-US"/>
        </w:rPr>
        <w:t xml:space="preserve">, red dots represent </w:t>
      </w:r>
      <w:r w:rsidR="00DB6AE6" w:rsidRPr="001301FF">
        <w:rPr>
          <w:rFonts w:ascii="Cambria" w:hAnsi="Cambria" w:cstheme="majorHAnsi"/>
          <w:lang w:val="en-US"/>
        </w:rPr>
        <w:t>vaccinated participants before the first assessment</w:t>
      </w:r>
      <w:r w:rsidR="00707E2E" w:rsidRPr="001301FF">
        <w:rPr>
          <w:rFonts w:ascii="Cambria" w:hAnsi="Cambria" w:cstheme="majorHAnsi"/>
          <w:lang w:val="en-US"/>
        </w:rPr>
        <w:t>, as shown on the color legends below the plots. Bars show group medians</w:t>
      </w:r>
      <w:r w:rsidR="0072542F" w:rsidRPr="001301FF">
        <w:rPr>
          <w:rFonts w:ascii="Cambria" w:hAnsi="Cambria" w:cstheme="majorHAnsi"/>
          <w:lang w:val="en-US"/>
        </w:rPr>
        <w:t>. Lines (</w:t>
      </w:r>
      <w:r w:rsidR="002E7250">
        <w:rPr>
          <w:rFonts w:ascii="Cambria" w:hAnsi="Cambria" w:cstheme="majorHAnsi"/>
          <w:lang w:val="en-US"/>
        </w:rPr>
        <w:t>blue</w:t>
      </w:r>
      <w:r w:rsidR="001301FF" w:rsidRPr="001301FF">
        <w:rPr>
          <w:rFonts w:ascii="Cambria" w:hAnsi="Cambria" w:cstheme="majorHAnsi"/>
          <w:lang w:val="en-US"/>
        </w:rPr>
        <w:t xml:space="preserve"> for unvaccinated before </w:t>
      </w:r>
      <w:r w:rsidR="00D63B24">
        <w:rPr>
          <w:rFonts w:ascii="Cambria" w:hAnsi="Cambria" w:cstheme="majorHAnsi"/>
          <w:lang w:val="en-US"/>
        </w:rPr>
        <w:t>1</w:t>
      </w:r>
      <w:r w:rsidR="00D63B24" w:rsidRPr="00D63B24">
        <w:rPr>
          <w:rFonts w:ascii="Cambria" w:hAnsi="Cambria" w:cstheme="majorHAnsi"/>
          <w:lang w:val="en-US"/>
        </w:rPr>
        <w:t>st</w:t>
      </w:r>
      <w:r w:rsidR="001301FF" w:rsidRPr="001301FF">
        <w:rPr>
          <w:rFonts w:ascii="Cambria" w:hAnsi="Cambria" w:cstheme="majorHAnsi"/>
          <w:lang w:val="en-US"/>
        </w:rPr>
        <w:t xml:space="preserve"> assessment</w:t>
      </w:r>
      <w:r w:rsidR="0072542F" w:rsidRPr="001301FF">
        <w:rPr>
          <w:rFonts w:ascii="Cambria" w:hAnsi="Cambria" w:cstheme="majorHAnsi"/>
          <w:lang w:val="en-US"/>
        </w:rPr>
        <w:t xml:space="preserve">, </w:t>
      </w:r>
      <w:r w:rsidR="002E7250">
        <w:rPr>
          <w:rFonts w:ascii="Cambria" w:hAnsi="Cambria" w:cstheme="majorHAnsi"/>
          <w:lang w:val="en-US"/>
        </w:rPr>
        <w:t>red</w:t>
      </w:r>
      <w:r w:rsidR="0072542F" w:rsidRPr="001301FF">
        <w:rPr>
          <w:rFonts w:ascii="Cambria" w:hAnsi="Cambria" w:cstheme="majorHAnsi"/>
          <w:lang w:val="en-US"/>
        </w:rPr>
        <w:t xml:space="preserve"> for </w:t>
      </w:r>
      <w:r w:rsidR="001301FF" w:rsidRPr="001301FF">
        <w:rPr>
          <w:rFonts w:ascii="Cambria" w:hAnsi="Cambria" w:cstheme="majorHAnsi"/>
          <w:lang w:val="en-US"/>
        </w:rPr>
        <w:t xml:space="preserve">vaccinated before </w:t>
      </w:r>
      <w:r w:rsidR="00D63B24">
        <w:rPr>
          <w:rFonts w:ascii="Cambria" w:hAnsi="Cambria" w:cstheme="majorHAnsi"/>
          <w:lang w:val="en-US"/>
        </w:rPr>
        <w:t>1</w:t>
      </w:r>
      <w:r w:rsidR="00D63B24" w:rsidRPr="00D63B24">
        <w:rPr>
          <w:rFonts w:ascii="Cambria" w:hAnsi="Cambria" w:cstheme="majorHAnsi"/>
          <w:lang w:val="en-US"/>
        </w:rPr>
        <w:t>st</w:t>
      </w:r>
      <w:r w:rsidR="001301FF" w:rsidRPr="001301FF">
        <w:rPr>
          <w:rFonts w:ascii="Cambria" w:hAnsi="Cambria" w:cstheme="majorHAnsi"/>
          <w:lang w:val="en-US"/>
        </w:rPr>
        <w:t xml:space="preserve"> assessment</w:t>
      </w:r>
      <w:r w:rsidR="0072542F" w:rsidRPr="001301FF">
        <w:rPr>
          <w:rFonts w:ascii="Cambria" w:hAnsi="Cambria" w:cstheme="majorHAnsi"/>
          <w:lang w:val="en-US"/>
        </w:rPr>
        <w:t xml:space="preserve">) represent </w:t>
      </w:r>
      <w:r w:rsidR="002E7250">
        <w:rPr>
          <w:rFonts w:ascii="Cambria" w:hAnsi="Cambria" w:cstheme="majorHAnsi"/>
          <w:lang w:val="en-US"/>
        </w:rPr>
        <w:t>the change in relative</w:t>
      </w:r>
      <w:r w:rsidR="0072542F" w:rsidRPr="001301FF">
        <w:rPr>
          <w:rFonts w:ascii="Cambria" w:hAnsi="Cambria" w:cstheme="majorHAnsi"/>
          <w:lang w:val="en-US"/>
        </w:rPr>
        <w:t xml:space="preserve"> effects </w:t>
      </w:r>
      <w:r w:rsidR="002E7250">
        <w:rPr>
          <w:rFonts w:ascii="Cambria" w:hAnsi="Cambria" w:cstheme="majorHAnsi"/>
          <w:lang w:val="en-US"/>
        </w:rPr>
        <w:t xml:space="preserve">over </w:t>
      </w:r>
      <w:r w:rsidR="003C03E0">
        <w:rPr>
          <w:rFonts w:ascii="Cambria" w:hAnsi="Cambria" w:cstheme="majorHAnsi"/>
          <w:lang w:val="en-US"/>
        </w:rPr>
        <w:t xml:space="preserve">three </w:t>
      </w:r>
      <w:r w:rsidR="002E7250">
        <w:rPr>
          <w:rFonts w:ascii="Cambria" w:hAnsi="Cambria" w:cstheme="majorHAnsi"/>
          <w:lang w:val="en-US"/>
        </w:rPr>
        <w:t>time</w:t>
      </w:r>
      <w:r w:rsidR="003C03E0">
        <w:rPr>
          <w:rFonts w:ascii="Cambria" w:hAnsi="Cambria" w:cstheme="majorHAnsi"/>
          <w:lang w:val="en-US"/>
        </w:rPr>
        <w:t>points</w:t>
      </w:r>
      <w:r w:rsidR="002E7250">
        <w:rPr>
          <w:rFonts w:ascii="Cambria" w:hAnsi="Cambria" w:cstheme="majorHAnsi"/>
          <w:lang w:val="en-US"/>
        </w:rPr>
        <w:t xml:space="preserve"> </w:t>
      </w:r>
      <w:r w:rsidR="0072542F" w:rsidRPr="001301FF">
        <w:rPr>
          <w:rFonts w:ascii="Cambria" w:hAnsi="Cambria" w:cstheme="majorHAnsi"/>
          <w:lang w:val="en-US"/>
        </w:rPr>
        <w:t xml:space="preserve">as quantified on the right y-axis, with the colored surfaces indicating their 95% confidence intervals. </w:t>
      </w:r>
      <w:r w:rsidR="00707E2E" w:rsidRPr="001301FF">
        <w:rPr>
          <w:rFonts w:ascii="Cambria" w:hAnsi="Cambria" w:cstheme="majorHAnsi"/>
          <w:lang w:val="en-US"/>
        </w:rPr>
        <w:t>Assessment periods and absolute participant</w:t>
      </w:r>
      <w:r w:rsidR="00707E2E" w:rsidRPr="00E36F1E">
        <w:rPr>
          <w:rFonts w:ascii="Cambria" w:hAnsi="Cambria" w:cstheme="majorHAnsi"/>
          <w:lang w:val="en-US"/>
        </w:rPr>
        <w:t xml:space="preserve"> numbers per diagnosis group are indicated on the x-axis. p ≤ 0.05 = *, p ≤ 0.01 = **, p ≤ 0.001 = ***.</w:t>
      </w:r>
    </w:p>
    <w:p w14:paraId="016D91BB" w14:textId="7751EC07" w:rsidR="003E77A9" w:rsidRPr="003E77A9" w:rsidRDefault="003E77A9" w:rsidP="003E77A9">
      <w:pPr>
        <w:jc w:val="both"/>
        <w:rPr>
          <w:rFonts w:ascii="Cambria" w:hAnsi="Cambria" w:cstheme="majorHAnsi"/>
          <w:b/>
          <w:bCs/>
          <w:lang w:val="en-US"/>
        </w:rPr>
      </w:pPr>
      <w:r w:rsidRPr="003E77A9">
        <w:rPr>
          <w:rFonts w:ascii="Cambria" w:hAnsi="Cambria" w:cstheme="majorHAnsi"/>
          <w:lang w:val="en-US"/>
        </w:rPr>
        <w:t xml:space="preserve">Abbreviation: </w:t>
      </w:r>
      <w:r w:rsidRPr="003E77A9">
        <w:rPr>
          <w:rFonts w:ascii="Cambria" w:eastAsia="Cambria" w:hAnsi="Cambria" w:cs="Cambria"/>
          <w:lang w:val="en-US"/>
        </w:rPr>
        <w:t>Threshold-Discrimination-Identification Test (TDI)</w:t>
      </w:r>
    </w:p>
    <w:p w14:paraId="09F306E5" w14:textId="77777777" w:rsidR="00B06010" w:rsidRDefault="00B06010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1CFE3E16" w14:textId="77777777" w:rsidR="006B3334" w:rsidRDefault="006B333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5C139DCC" w14:textId="4A220EDB" w:rsidR="006B3334" w:rsidRDefault="00272A5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Cambria" w:hAnsi="Cambria" w:cstheme="majorHAnsi"/>
          <w:b/>
          <w:bCs/>
          <w:noProof/>
          <w:color w:val="000000" w:themeColor="text1"/>
          <w:sz w:val="24"/>
          <w:szCs w:val="24"/>
          <w:lang w:val="en-US"/>
          <w14:ligatures w14:val="standardContextual"/>
        </w:rPr>
        <w:lastRenderedPageBreak/>
        <w:drawing>
          <wp:inline distT="0" distB="0" distL="0" distR="0" wp14:anchorId="17A0B437" wp14:editId="7C8D0198">
            <wp:extent cx="5731510" cy="3830320"/>
            <wp:effectExtent l="0" t="0" r="0" b="5080"/>
            <wp:docPr id="1186171402" name="Picture 5" descr="A diagram of different stages of growt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71402" name="Picture 5" descr="A diagram of different stages of growth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5A3CF" w14:textId="77777777" w:rsidR="00272A54" w:rsidRDefault="00272A54" w:rsidP="001F2881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lang w:val="en-US"/>
        </w:rPr>
      </w:pPr>
    </w:p>
    <w:p w14:paraId="54713826" w14:textId="1925BB0D" w:rsidR="001F2881" w:rsidRDefault="001F2881" w:rsidP="001F2881">
      <w:pPr>
        <w:shd w:val="clear" w:color="auto" w:fill="FFFFFF"/>
        <w:jc w:val="both"/>
        <w:rPr>
          <w:rFonts w:ascii="Cambria" w:hAnsi="Cambria" w:cstheme="majorHAnsi"/>
          <w:lang w:val="en-US"/>
        </w:rPr>
      </w:pPr>
      <w:r w:rsidRPr="00A4769A">
        <w:rPr>
          <w:rFonts w:ascii="Cambria" w:hAnsi="Cambria" w:cstheme="majorHAnsi"/>
          <w:b/>
          <w:bCs/>
          <w:color w:val="000000" w:themeColor="text1"/>
          <w:lang w:val="en-US"/>
        </w:rPr>
        <w:t xml:space="preserve">Supplementary </w:t>
      </w:r>
      <w:r>
        <w:rPr>
          <w:rFonts w:ascii="Cambria" w:hAnsi="Cambria" w:cstheme="majorHAnsi"/>
          <w:b/>
          <w:bCs/>
          <w:color w:val="000000" w:themeColor="text1"/>
          <w:lang w:val="en-US"/>
        </w:rPr>
        <w:t>Figure</w:t>
      </w:r>
      <w:r w:rsidRPr="00A4769A">
        <w:rPr>
          <w:rFonts w:ascii="Cambria" w:hAnsi="Cambria" w:cstheme="majorHAnsi"/>
          <w:b/>
          <w:bCs/>
          <w:color w:val="000000" w:themeColor="text1"/>
          <w:lang w:val="en-US"/>
        </w:rPr>
        <w:t xml:space="preserve"> </w:t>
      </w:r>
      <w:r>
        <w:rPr>
          <w:rFonts w:ascii="Cambria" w:hAnsi="Cambria" w:cstheme="majorHAnsi"/>
          <w:b/>
          <w:bCs/>
          <w:color w:val="000000" w:themeColor="text1"/>
          <w:lang w:val="en-US"/>
        </w:rPr>
        <w:t>2</w:t>
      </w:r>
      <w:r w:rsidRPr="00A4769A">
        <w:rPr>
          <w:rFonts w:ascii="Cambria" w:hAnsi="Cambria" w:cstheme="majorHAnsi"/>
          <w:b/>
          <w:bCs/>
          <w:color w:val="000000" w:themeColor="text1"/>
          <w:lang w:val="en-US"/>
        </w:rPr>
        <w:t xml:space="preserve">: </w:t>
      </w:r>
      <w:r w:rsidR="00675296" w:rsidRPr="00675296">
        <w:rPr>
          <w:rFonts w:ascii="Cambria" w:hAnsi="Cambria" w:cstheme="majorHAnsi"/>
          <w:b/>
          <w:bCs/>
          <w:lang w:val="en-US"/>
        </w:rPr>
        <w:t xml:space="preserve">Frequency of </w:t>
      </w:r>
      <w:r w:rsidR="004A6450">
        <w:rPr>
          <w:rFonts w:ascii="Cambria" w:hAnsi="Cambria" w:cstheme="majorHAnsi"/>
          <w:b/>
          <w:bCs/>
          <w:lang w:val="en-US"/>
        </w:rPr>
        <w:t>H</w:t>
      </w:r>
      <w:r w:rsidR="00675296" w:rsidRPr="00675296">
        <w:rPr>
          <w:rFonts w:ascii="Cambria" w:hAnsi="Cambria" w:cstheme="majorHAnsi"/>
          <w:b/>
          <w:bCs/>
          <w:lang w:val="en-US"/>
        </w:rPr>
        <w:t>yposmia/</w:t>
      </w:r>
      <w:r w:rsidR="004A6450">
        <w:rPr>
          <w:rFonts w:ascii="Cambria" w:hAnsi="Cambria" w:cstheme="majorHAnsi"/>
          <w:b/>
          <w:bCs/>
          <w:lang w:val="en-US"/>
        </w:rPr>
        <w:t>A</w:t>
      </w:r>
      <w:r w:rsidR="00675296" w:rsidRPr="00675296">
        <w:rPr>
          <w:rFonts w:ascii="Cambria" w:hAnsi="Cambria" w:cstheme="majorHAnsi"/>
          <w:b/>
          <w:bCs/>
          <w:lang w:val="en-US"/>
        </w:rPr>
        <w:t xml:space="preserve">nosmia </w:t>
      </w:r>
      <w:r w:rsidR="004A6450">
        <w:rPr>
          <w:rFonts w:ascii="Cambria" w:hAnsi="Cambria" w:cstheme="majorHAnsi"/>
          <w:b/>
          <w:bCs/>
          <w:lang w:val="en-US"/>
        </w:rPr>
        <w:t>L</w:t>
      </w:r>
      <w:r w:rsidR="00675296" w:rsidRPr="00675296">
        <w:rPr>
          <w:rFonts w:ascii="Cambria" w:hAnsi="Cambria" w:cstheme="majorHAnsi"/>
          <w:b/>
          <w:bCs/>
          <w:lang w:val="en-US"/>
        </w:rPr>
        <w:t xml:space="preserve">inked to </w:t>
      </w:r>
      <w:r w:rsidR="004A6450">
        <w:rPr>
          <w:rFonts w:ascii="Cambria" w:hAnsi="Cambria" w:cstheme="majorHAnsi"/>
          <w:b/>
          <w:bCs/>
          <w:lang w:val="en-US"/>
        </w:rPr>
        <w:t>A</w:t>
      </w:r>
      <w:r w:rsidR="00675296" w:rsidRPr="00675296">
        <w:rPr>
          <w:rFonts w:ascii="Cambria" w:hAnsi="Cambria" w:cstheme="majorHAnsi"/>
          <w:b/>
          <w:bCs/>
          <w:lang w:val="en-US"/>
        </w:rPr>
        <w:t xml:space="preserve">ssumed </w:t>
      </w:r>
      <w:r w:rsidR="004A6450">
        <w:rPr>
          <w:rFonts w:ascii="Cambria" w:hAnsi="Cambria" w:cstheme="majorHAnsi"/>
          <w:b/>
          <w:bCs/>
          <w:lang w:val="en-US"/>
        </w:rPr>
        <w:t>V</w:t>
      </w:r>
      <w:r w:rsidR="00675296" w:rsidRPr="00675296">
        <w:rPr>
          <w:rFonts w:ascii="Cambria" w:hAnsi="Cambria" w:cstheme="majorHAnsi"/>
          <w:b/>
          <w:bCs/>
          <w:lang w:val="en-US"/>
        </w:rPr>
        <w:t xml:space="preserve">irus </w:t>
      </w:r>
      <w:r w:rsidR="004A6450">
        <w:rPr>
          <w:rFonts w:ascii="Cambria" w:hAnsi="Cambria" w:cstheme="majorHAnsi"/>
          <w:b/>
          <w:bCs/>
          <w:lang w:val="en-US"/>
        </w:rPr>
        <w:t>V</w:t>
      </w:r>
      <w:r w:rsidR="00675296" w:rsidRPr="00675296">
        <w:rPr>
          <w:rFonts w:ascii="Cambria" w:hAnsi="Cambria" w:cstheme="majorHAnsi"/>
          <w:b/>
          <w:bCs/>
          <w:lang w:val="en-US"/>
        </w:rPr>
        <w:t>ariant.</w:t>
      </w:r>
      <w:r w:rsidR="00675296" w:rsidRPr="00E36F1E">
        <w:rPr>
          <w:rFonts w:ascii="Cambria" w:hAnsi="Cambria" w:cstheme="majorHAnsi"/>
          <w:b/>
          <w:bCs/>
          <w:lang w:val="en-US"/>
        </w:rPr>
        <w:t xml:space="preserve"> </w:t>
      </w:r>
      <w:r w:rsidR="00675296" w:rsidRPr="00E36F1E">
        <w:rPr>
          <w:rFonts w:ascii="Cambria" w:hAnsi="Cambria" w:cstheme="majorHAnsi"/>
          <w:lang w:val="en-US"/>
        </w:rPr>
        <w:t xml:space="preserve">Percentage of </w:t>
      </w:r>
      <w:r w:rsidR="000303A3">
        <w:rPr>
          <w:rFonts w:ascii="Cambria" w:hAnsi="Cambria" w:cstheme="majorHAnsi"/>
          <w:lang w:val="en-US"/>
        </w:rPr>
        <w:t>wildtype SARS-CoV-2</w:t>
      </w:r>
      <w:r w:rsidR="00675296" w:rsidRPr="00E36F1E">
        <w:rPr>
          <w:rFonts w:ascii="Cambria" w:hAnsi="Cambria" w:cstheme="majorHAnsi"/>
          <w:lang w:val="en-US"/>
        </w:rPr>
        <w:t xml:space="preserve"> (</w:t>
      </w:r>
      <w:r w:rsidR="000303A3">
        <w:rPr>
          <w:rFonts w:ascii="Cambria" w:hAnsi="Cambria" w:cstheme="majorHAnsi"/>
          <w:lang w:val="en-US"/>
        </w:rPr>
        <w:t>orange</w:t>
      </w:r>
      <w:r w:rsidR="00675296" w:rsidRPr="00E36F1E">
        <w:rPr>
          <w:rFonts w:ascii="Cambria" w:hAnsi="Cambria" w:cstheme="majorHAnsi"/>
          <w:lang w:val="en-US"/>
        </w:rPr>
        <w:t xml:space="preserve">) and </w:t>
      </w:r>
      <w:r w:rsidR="00622E47">
        <w:rPr>
          <w:rFonts w:ascii="Cambria" w:hAnsi="Cambria" w:cstheme="majorHAnsi"/>
          <w:lang w:val="en-US"/>
        </w:rPr>
        <w:t xml:space="preserve">later SARS-CoV-2 </w:t>
      </w:r>
      <w:r w:rsidR="00675296" w:rsidRPr="00E36F1E">
        <w:rPr>
          <w:rFonts w:ascii="Cambria" w:hAnsi="Cambria" w:cstheme="majorHAnsi"/>
          <w:lang w:val="en-US"/>
        </w:rPr>
        <w:t xml:space="preserve">(blue) </w:t>
      </w:r>
      <w:r w:rsidR="009B5BA5">
        <w:rPr>
          <w:rFonts w:ascii="Cambria" w:hAnsi="Cambria" w:cstheme="majorHAnsi"/>
          <w:lang w:val="en-US"/>
        </w:rPr>
        <w:t xml:space="preserve">variants </w:t>
      </w:r>
      <w:r w:rsidR="00675296" w:rsidRPr="00E36F1E">
        <w:rPr>
          <w:rFonts w:ascii="Cambria" w:hAnsi="Cambria" w:cstheme="majorHAnsi"/>
          <w:lang w:val="en-US"/>
        </w:rPr>
        <w:t xml:space="preserve">(depicted on the y-axis) categorized by </w:t>
      </w:r>
      <w:proofErr w:type="spellStart"/>
      <w:r w:rsidR="00675296" w:rsidRPr="00E36F1E">
        <w:rPr>
          <w:rFonts w:ascii="Cambria" w:hAnsi="Cambria" w:cstheme="majorHAnsi"/>
          <w:lang w:val="en-US"/>
        </w:rPr>
        <w:t>normosmia</w:t>
      </w:r>
      <w:proofErr w:type="spellEnd"/>
      <w:r w:rsidR="00675296" w:rsidRPr="00E36F1E">
        <w:rPr>
          <w:rFonts w:ascii="Cambria" w:hAnsi="Cambria" w:cstheme="majorHAnsi"/>
          <w:lang w:val="en-US"/>
        </w:rPr>
        <w:t xml:space="preserve"> (left bar) and hyposmia/anosmia (right bar), with absolute patient numbers per </w:t>
      </w:r>
      <w:r w:rsidR="00031348">
        <w:rPr>
          <w:rFonts w:ascii="Cambria" w:hAnsi="Cambria" w:cstheme="majorHAnsi"/>
          <w:lang w:val="en-US"/>
        </w:rPr>
        <w:t>virus variant group</w:t>
      </w:r>
      <w:r w:rsidR="00675296" w:rsidRPr="00E36F1E">
        <w:rPr>
          <w:rFonts w:ascii="Cambria" w:hAnsi="Cambria" w:cstheme="majorHAnsi"/>
          <w:lang w:val="en-US"/>
        </w:rPr>
        <w:t xml:space="preserve"> (shown on the x-axis) during the first assessment period.</w:t>
      </w:r>
    </w:p>
    <w:p w14:paraId="0C661927" w14:textId="77777777" w:rsidR="006B3334" w:rsidRDefault="006B3334" w:rsidP="001F2881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5F260C6A" w14:textId="77777777" w:rsidR="00272A54" w:rsidRDefault="00272A54" w:rsidP="001F2881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74596798" w14:textId="77777777" w:rsidR="00272A54" w:rsidRDefault="00272A54" w:rsidP="001F2881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7A3F2445" w14:textId="77777777" w:rsidR="00272A54" w:rsidRDefault="00272A54" w:rsidP="001F2881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5C3EC349" w14:textId="77777777" w:rsidR="00272A54" w:rsidRDefault="00272A54" w:rsidP="001F2881">
      <w:pPr>
        <w:shd w:val="clear" w:color="auto" w:fill="FFFFFF"/>
        <w:jc w:val="both"/>
        <w:rPr>
          <w:rFonts w:ascii="Cambria" w:hAnsi="Cambria" w:cstheme="majorHAnsi"/>
          <w:lang w:val="en-US"/>
        </w:rPr>
      </w:pPr>
    </w:p>
    <w:p w14:paraId="760B8123" w14:textId="3B62B006" w:rsidR="006B3334" w:rsidRPr="00A4769A" w:rsidRDefault="006B3334" w:rsidP="001F2881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lang w:val="en-US"/>
        </w:rPr>
      </w:pPr>
    </w:p>
    <w:p w14:paraId="35CB5463" w14:textId="319B6034" w:rsidR="001F2881" w:rsidRDefault="001F2881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3D3DA8FF" w14:textId="0BCDBAAB" w:rsidR="00880241" w:rsidRDefault="00272A54" w:rsidP="001F2881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lang w:val="en-US"/>
        </w:rPr>
      </w:pPr>
      <w:r>
        <w:rPr>
          <w:rFonts w:ascii="Cambria" w:hAnsi="Cambria" w:cstheme="majorHAnsi"/>
          <w:b/>
          <w:bCs/>
          <w:noProof/>
          <w:color w:val="000000" w:themeColor="text1"/>
          <w:lang w:val="en-US"/>
          <w14:ligatures w14:val="standardContextual"/>
        </w:rPr>
        <w:lastRenderedPageBreak/>
        <w:drawing>
          <wp:inline distT="0" distB="0" distL="0" distR="0" wp14:anchorId="6E7EE140" wp14:editId="3CEA1DFB">
            <wp:extent cx="5731510" cy="3249930"/>
            <wp:effectExtent l="0" t="0" r="0" b="1270"/>
            <wp:docPr id="1131653259" name="Picture 7" descr="A diagram of a number of different types of diseas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653259" name="Picture 7" descr="A diagram of a number of different types of diseases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4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880C2" w14:textId="77777777" w:rsidR="00272A54" w:rsidRDefault="00272A54" w:rsidP="00E91B20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lang w:val="en-US"/>
        </w:rPr>
      </w:pPr>
    </w:p>
    <w:p w14:paraId="159998A2" w14:textId="6ED69C56" w:rsidR="00283CAF" w:rsidRPr="00E91B20" w:rsidRDefault="001F2881" w:rsidP="00E91B20">
      <w:pPr>
        <w:shd w:val="clear" w:color="auto" w:fill="FFFFFF"/>
        <w:jc w:val="both"/>
        <w:rPr>
          <w:rFonts w:ascii="Cambria" w:hAnsi="Cambria" w:cstheme="majorHAnsi"/>
          <w:lang w:val="en-US"/>
        </w:rPr>
      </w:pPr>
      <w:r w:rsidRPr="00A4769A">
        <w:rPr>
          <w:rFonts w:ascii="Cambria" w:hAnsi="Cambria" w:cstheme="majorHAnsi"/>
          <w:b/>
          <w:bCs/>
          <w:color w:val="000000" w:themeColor="text1"/>
          <w:lang w:val="en-US"/>
        </w:rPr>
        <w:t xml:space="preserve">Supplementary </w:t>
      </w:r>
      <w:r>
        <w:rPr>
          <w:rFonts w:ascii="Cambria" w:hAnsi="Cambria" w:cstheme="majorHAnsi"/>
          <w:b/>
          <w:bCs/>
          <w:color w:val="000000" w:themeColor="text1"/>
          <w:lang w:val="en-US"/>
        </w:rPr>
        <w:t>Figure</w:t>
      </w:r>
      <w:r w:rsidRPr="00A4769A">
        <w:rPr>
          <w:rFonts w:ascii="Cambria" w:hAnsi="Cambria" w:cstheme="majorHAnsi"/>
          <w:b/>
          <w:bCs/>
          <w:color w:val="000000" w:themeColor="text1"/>
          <w:lang w:val="en-US"/>
        </w:rPr>
        <w:t xml:space="preserve"> </w:t>
      </w:r>
      <w:r>
        <w:rPr>
          <w:rFonts w:ascii="Cambria" w:hAnsi="Cambria" w:cstheme="majorHAnsi"/>
          <w:b/>
          <w:bCs/>
          <w:color w:val="000000" w:themeColor="text1"/>
          <w:lang w:val="en-US"/>
        </w:rPr>
        <w:t>3</w:t>
      </w:r>
      <w:r w:rsidRPr="00A4769A">
        <w:rPr>
          <w:rFonts w:ascii="Cambria" w:hAnsi="Cambria" w:cstheme="majorHAnsi"/>
          <w:b/>
          <w:bCs/>
          <w:color w:val="000000" w:themeColor="text1"/>
          <w:lang w:val="en-US"/>
        </w:rPr>
        <w:t xml:space="preserve">: </w:t>
      </w:r>
      <w:r w:rsidR="006C1B5C">
        <w:rPr>
          <w:rFonts w:ascii="Cambria" w:hAnsi="Cambria" w:cstheme="majorHAnsi"/>
          <w:b/>
          <w:bCs/>
          <w:color w:val="000000" w:themeColor="text1"/>
          <w:lang w:val="en-US"/>
        </w:rPr>
        <w:t xml:space="preserve">Effect of </w:t>
      </w:r>
      <w:r w:rsidR="00FE0928">
        <w:rPr>
          <w:rFonts w:ascii="Cambria" w:hAnsi="Cambria" w:cstheme="majorHAnsi"/>
          <w:b/>
          <w:bCs/>
          <w:color w:val="000000" w:themeColor="text1"/>
          <w:lang w:val="en-US"/>
        </w:rPr>
        <w:t>O</w:t>
      </w:r>
      <w:r w:rsidR="006C1B5C">
        <w:rPr>
          <w:rFonts w:ascii="Cambria" w:hAnsi="Cambria" w:cstheme="majorHAnsi"/>
          <w:b/>
          <w:bCs/>
          <w:color w:val="000000" w:themeColor="text1"/>
          <w:lang w:val="en-US"/>
        </w:rPr>
        <w:t xml:space="preserve">lfactory </w:t>
      </w:r>
      <w:r w:rsidR="00FE0928">
        <w:rPr>
          <w:rFonts w:ascii="Cambria" w:hAnsi="Cambria" w:cstheme="majorHAnsi"/>
          <w:b/>
          <w:bCs/>
          <w:color w:val="000000" w:themeColor="text1"/>
          <w:lang w:val="en-US"/>
        </w:rPr>
        <w:t>I</w:t>
      </w:r>
      <w:r w:rsidR="006C1B5C">
        <w:rPr>
          <w:rFonts w:ascii="Cambria" w:hAnsi="Cambria" w:cstheme="majorHAnsi"/>
          <w:b/>
          <w:bCs/>
          <w:color w:val="000000" w:themeColor="text1"/>
          <w:lang w:val="en-US"/>
        </w:rPr>
        <w:t xml:space="preserve">mpairment </w:t>
      </w:r>
      <w:r w:rsidR="00FE0928">
        <w:rPr>
          <w:rFonts w:ascii="Cambria" w:hAnsi="Cambria" w:cstheme="majorHAnsi"/>
          <w:b/>
          <w:bCs/>
          <w:color w:val="000000" w:themeColor="text1"/>
          <w:lang w:val="en-US"/>
        </w:rPr>
        <w:t>D</w:t>
      </w:r>
      <w:r w:rsidR="006C1B5C">
        <w:rPr>
          <w:rFonts w:ascii="Cambria" w:hAnsi="Cambria" w:cstheme="majorHAnsi"/>
          <w:b/>
          <w:bCs/>
          <w:color w:val="000000" w:themeColor="text1"/>
          <w:lang w:val="en-US"/>
        </w:rPr>
        <w:t xml:space="preserve">uring </w:t>
      </w:r>
      <w:r w:rsidR="00FE0928">
        <w:rPr>
          <w:rFonts w:ascii="Cambria" w:hAnsi="Cambria" w:cstheme="majorHAnsi"/>
          <w:b/>
          <w:bCs/>
          <w:color w:val="000000" w:themeColor="text1"/>
          <w:lang w:val="en-US"/>
        </w:rPr>
        <w:t>Ac</w:t>
      </w:r>
      <w:r w:rsidR="006C1B5C">
        <w:rPr>
          <w:rFonts w:ascii="Cambria" w:hAnsi="Cambria" w:cstheme="majorHAnsi"/>
          <w:b/>
          <w:bCs/>
          <w:color w:val="000000" w:themeColor="text1"/>
          <w:lang w:val="en-US"/>
        </w:rPr>
        <w:t xml:space="preserve">ute COVID-19 on </w:t>
      </w:r>
      <w:r w:rsidR="00FE0928">
        <w:rPr>
          <w:rFonts w:ascii="Cambria" w:hAnsi="Cambria" w:cstheme="majorHAnsi"/>
          <w:b/>
          <w:bCs/>
          <w:color w:val="000000" w:themeColor="text1"/>
          <w:lang w:val="en-US"/>
        </w:rPr>
        <w:t>L</w:t>
      </w:r>
      <w:r w:rsidR="006C1B5C">
        <w:rPr>
          <w:rFonts w:ascii="Cambria" w:hAnsi="Cambria" w:cstheme="majorHAnsi"/>
          <w:b/>
          <w:bCs/>
          <w:color w:val="000000" w:themeColor="text1"/>
          <w:lang w:val="en-US"/>
        </w:rPr>
        <w:t xml:space="preserve">ong-term </w:t>
      </w:r>
      <w:r w:rsidR="00FE0928">
        <w:rPr>
          <w:rFonts w:ascii="Cambria" w:hAnsi="Cambria" w:cstheme="majorHAnsi"/>
          <w:b/>
          <w:bCs/>
          <w:color w:val="000000" w:themeColor="text1"/>
          <w:lang w:val="en-US"/>
        </w:rPr>
        <w:t>O</w:t>
      </w:r>
      <w:r w:rsidR="006C1B5C">
        <w:rPr>
          <w:rFonts w:ascii="Cambria" w:hAnsi="Cambria" w:cstheme="majorHAnsi"/>
          <w:b/>
          <w:bCs/>
          <w:color w:val="000000" w:themeColor="text1"/>
          <w:lang w:val="en-US"/>
        </w:rPr>
        <w:t xml:space="preserve">lfactory </w:t>
      </w:r>
      <w:r w:rsidR="00FE0928">
        <w:rPr>
          <w:rFonts w:ascii="Cambria" w:hAnsi="Cambria" w:cstheme="majorHAnsi"/>
          <w:b/>
          <w:bCs/>
          <w:color w:val="000000" w:themeColor="text1"/>
          <w:lang w:val="en-US"/>
        </w:rPr>
        <w:t>P</w:t>
      </w:r>
      <w:r w:rsidR="006C1B5C">
        <w:rPr>
          <w:rFonts w:ascii="Cambria" w:hAnsi="Cambria" w:cstheme="majorHAnsi"/>
          <w:b/>
          <w:bCs/>
          <w:color w:val="000000" w:themeColor="text1"/>
          <w:lang w:val="en-US"/>
        </w:rPr>
        <w:t>erformance.</w:t>
      </w:r>
      <w:r w:rsidR="006C1B5C" w:rsidRPr="00E36F1E">
        <w:rPr>
          <w:rFonts w:ascii="Cambria" w:hAnsi="Cambria" w:cstheme="majorHAnsi"/>
          <w:lang w:val="en-US"/>
        </w:rPr>
        <w:t xml:space="preserve"> (</w:t>
      </w:r>
      <w:r w:rsidR="00E36BBE">
        <w:rPr>
          <w:rFonts w:ascii="Cambria" w:hAnsi="Cambria" w:cstheme="majorHAnsi"/>
          <w:lang w:val="en-US"/>
        </w:rPr>
        <w:t xml:space="preserve">A) </w:t>
      </w:r>
      <w:r w:rsidR="006C1B5C" w:rsidRPr="00E36F1E">
        <w:rPr>
          <w:rFonts w:ascii="Cambria" w:hAnsi="Cambria" w:cstheme="majorHAnsi"/>
          <w:lang w:val="en-US"/>
        </w:rPr>
        <w:t xml:space="preserve">Discrimination, </w:t>
      </w:r>
      <w:r w:rsidR="00E36BBE">
        <w:rPr>
          <w:rFonts w:ascii="Cambria" w:hAnsi="Cambria" w:cstheme="majorHAnsi"/>
          <w:lang w:val="en-US"/>
        </w:rPr>
        <w:t xml:space="preserve">(B) </w:t>
      </w:r>
      <w:r w:rsidR="006C1B5C" w:rsidRPr="00E36F1E">
        <w:rPr>
          <w:rFonts w:ascii="Cambria" w:hAnsi="Cambria" w:cstheme="majorHAnsi"/>
          <w:lang w:val="en-US"/>
        </w:rPr>
        <w:t xml:space="preserve">Identification, </w:t>
      </w:r>
      <w:r w:rsidR="00E36BBE">
        <w:rPr>
          <w:rFonts w:ascii="Cambria" w:hAnsi="Cambria" w:cstheme="majorHAnsi"/>
          <w:lang w:val="en-US"/>
        </w:rPr>
        <w:t xml:space="preserve">(C) </w:t>
      </w:r>
      <w:r w:rsidR="006C1B5C" w:rsidRPr="00E36F1E">
        <w:rPr>
          <w:rFonts w:ascii="Cambria" w:hAnsi="Cambria" w:cstheme="majorHAnsi"/>
          <w:lang w:val="en-US"/>
        </w:rPr>
        <w:t xml:space="preserve">Threshold, </w:t>
      </w:r>
      <w:r w:rsidR="00E36BBE">
        <w:rPr>
          <w:rFonts w:ascii="Cambria" w:hAnsi="Cambria" w:cstheme="majorHAnsi"/>
          <w:lang w:val="en-US"/>
        </w:rPr>
        <w:t xml:space="preserve">(D) </w:t>
      </w:r>
      <w:r w:rsidR="006C1B5C" w:rsidRPr="00E36F1E">
        <w:rPr>
          <w:rFonts w:ascii="Cambria" w:hAnsi="Cambria" w:cstheme="majorHAnsi"/>
          <w:lang w:val="en-US"/>
        </w:rPr>
        <w:t>Total TDI Score</w:t>
      </w:r>
      <w:r w:rsidR="00E36BBE">
        <w:rPr>
          <w:rFonts w:ascii="Cambria" w:hAnsi="Cambria" w:cstheme="majorHAnsi"/>
          <w:lang w:val="en-US"/>
        </w:rPr>
        <w:t>, and (E) hyposmia/anosmia (</w:t>
      </w:r>
      <w:r w:rsidR="00E36BBE" w:rsidRPr="00E36F1E">
        <w:rPr>
          <w:rFonts w:ascii="Cambria" w:hAnsi="Cambria" w:cstheme="majorHAnsi"/>
          <w:lang w:val="en-US"/>
        </w:rPr>
        <w:t xml:space="preserve">as defined by the TDI </w:t>
      </w:r>
      <w:r w:rsidR="00E66DCC">
        <w:rPr>
          <w:rFonts w:ascii="Cambria" w:hAnsi="Cambria" w:cstheme="majorHAnsi"/>
          <w:lang w:val="en-US"/>
        </w:rPr>
        <w:t>T</w:t>
      </w:r>
      <w:r w:rsidR="00E36BBE" w:rsidRPr="00E36F1E">
        <w:rPr>
          <w:rFonts w:ascii="Cambria" w:hAnsi="Cambria" w:cstheme="majorHAnsi"/>
          <w:lang w:val="en-US"/>
        </w:rPr>
        <w:t>est</w:t>
      </w:r>
      <w:r w:rsidR="00E36BBE">
        <w:rPr>
          <w:rFonts w:ascii="Cambria" w:hAnsi="Cambria" w:cstheme="majorHAnsi"/>
          <w:lang w:val="en-US"/>
        </w:rPr>
        <w:t>)</w:t>
      </w:r>
      <w:r w:rsidR="006C1B5C" w:rsidRPr="00E36F1E">
        <w:rPr>
          <w:rFonts w:ascii="Cambria" w:hAnsi="Cambria" w:cstheme="majorHAnsi"/>
          <w:lang w:val="en-US"/>
        </w:rPr>
        <w:t xml:space="preserve">, with absolute test scores on the left y-axis. </w:t>
      </w:r>
      <w:r w:rsidR="007D2DFE">
        <w:rPr>
          <w:rFonts w:ascii="Cambria" w:hAnsi="Cambria" w:cstheme="majorHAnsi"/>
          <w:lang w:val="en-US"/>
        </w:rPr>
        <w:t>Green</w:t>
      </w:r>
      <w:r w:rsidR="006C1B5C" w:rsidRPr="00E36F1E">
        <w:rPr>
          <w:rFonts w:ascii="Cambria" w:hAnsi="Cambria" w:cstheme="majorHAnsi"/>
          <w:lang w:val="en-US"/>
        </w:rPr>
        <w:t xml:space="preserve"> dots represent</w:t>
      </w:r>
      <w:r w:rsidR="00A80F0C">
        <w:rPr>
          <w:rFonts w:ascii="Cambria" w:hAnsi="Cambria" w:cstheme="majorHAnsi"/>
          <w:lang w:val="en-US"/>
        </w:rPr>
        <w:t xml:space="preserve"> participants who reported hyposmia or anosmia during acute COVID-19</w:t>
      </w:r>
      <w:r w:rsidR="006C1B5C" w:rsidRPr="00E36F1E">
        <w:rPr>
          <w:rFonts w:ascii="Cambria" w:hAnsi="Cambria" w:cstheme="majorHAnsi"/>
          <w:lang w:val="en-US"/>
        </w:rPr>
        <w:t xml:space="preserve">, </w:t>
      </w:r>
      <w:r w:rsidR="00BE5598">
        <w:rPr>
          <w:rFonts w:ascii="Cambria" w:hAnsi="Cambria" w:cstheme="majorHAnsi"/>
          <w:lang w:val="en-US"/>
        </w:rPr>
        <w:t>purple</w:t>
      </w:r>
      <w:r w:rsidR="006C1B5C" w:rsidRPr="00E36F1E">
        <w:rPr>
          <w:rFonts w:ascii="Cambria" w:hAnsi="Cambria" w:cstheme="majorHAnsi"/>
          <w:lang w:val="en-US"/>
        </w:rPr>
        <w:t xml:space="preserve"> dots represent </w:t>
      </w:r>
      <w:r w:rsidR="007E3868">
        <w:rPr>
          <w:rFonts w:ascii="Cambria" w:hAnsi="Cambria" w:cstheme="majorHAnsi"/>
          <w:lang w:val="en-US"/>
        </w:rPr>
        <w:t xml:space="preserve">participants who reported </w:t>
      </w:r>
      <w:proofErr w:type="spellStart"/>
      <w:r w:rsidR="007E3868">
        <w:rPr>
          <w:rFonts w:ascii="Cambria" w:hAnsi="Cambria" w:cstheme="majorHAnsi"/>
          <w:lang w:val="en-US"/>
        </w:rPr>
        <w:t>normosmia</w:t>
      </w:r>
      <w:proofErr w:type="spellEnd"/>
      <w:r w:rsidR="005922BB">
        <w:rPr>
          <w:rFonts w:ascii="Cambria" w:hAnsi="Cambria" w:cstheme="majorHAnsi"/>
          <w:lang w:val="en-US"/>
        </w:rPr>
        <w:t xml:space="preserve"> </w:t>
      </w:r>
      <w:r w:rsidR="007E3868">
        <w:rPr>
          <w:rFonts w:ascii="Cambria" w:hAnsi="Cambria" w:cstheme="majorHAnsi"/>
          <w:lang w:val="en-US"/>
        </w:rPr>
        <w:t>during acute COVID-19</w:t>
      </w:r>
      <w:r w:rsidR="006C1B5C" w:rsidRPr="00E36F1E">
        <w:rPr>
          <w:rFonts w:ascii="Cambria" w:hAnsi="Cambria" w:cstheme="majorHAnsi"/>
          <w:lang w:val="en-US"/>
        </w:rPr>
        <w:t xml:space="preserve">, as shown on the color legends </w:t>
      </w:r>
      <w:r w:rsidR="006C1B5C" w:rsidRPr="00182615">
        <w:rPr>
          <w:rFonts w:ascii="Cambria" w:hAnsi="Cambria" w:cstheme="majorHAnsi"/>
          <w:lang w:val="en-US"/>
        </w:rPr>
        <w:t xml:space="preserve">below the plots. Bars show group medians. </w:t>
      </w:r>
      <w:bookmarkStart w:id="3" w:name="OLE_LINK22"/>
      <w:bookmarkStart w:id="4" w:name="OLE_LINK23"/>
      <w:r w:rsidR="00182615" w:rsidRPr="00182615">
        <w:rPr>
          <w:rFonts w:ascii="Cambria" w:hAnsi="Cambria" w:cstheme="majorHAnsi"/>
          <w:lang w:val="en-US"/>
        </w:rPr>
        <w:t xml:space="preserve">Lines (green for hyposmia/anosmia during COVID-19, purple for </w:t>
      </w:r>
      <w:proofErr w:type="spellStart"/>
      <w:r w:rsidR="00182615" w:rsidRPr="00182615">
        <w:rPr>
          <w:rFonts w:ascii="Cambria" w:hAnsi="Cambria" w:cstheme="majorHAnsi"/>
          <w:lang w:val="en-US"/>
        </w:rPr>
        <w:t>normosmia</w:t>
      </w:r>
      <w:proofErr w:type="spellEnd"/>
      <w:r w:rsidR="00182615" w:rsidRPr="00182615">
        <w:rPr>
          <w:rFonts w:ascii="Cambria" w:hAnsi="Cambria" w:cstheme="majorHAnsi"/>
          <w:lang w:val="en-US"/>
        </w:rPr>
        <w:t xml:space="preserve"> during COVID-19) represent </w:t>
      </w:r>
      <w:r w:rsidR="00823DFF">
        <w:rPr>
          <w:rFonts w:ascii="Cambria" w:hAnsi="Cambria" w:cstheme="majorHAnsi"/>
          <w:lang w:val="en-US"/>
        </w:rPr>
        <w:t>the change in relative</w:t>
      </w:r>
      <w:r w:rsidR="00823DFF" w:rsidRPr="001301FF">
        <w:rPr>
          <w:rFonts w:ascii="Cambria" w:hAnsi="Cambria" w:cstheme="majorHAnsi"/>
          <w:lang w:val="en-US"/>
        </w:rPr>
        <w:t xml:space="preserve"> effects </w:t>
      </w:r>
      <w:r w:rsidR="00823DFF">
        <w:rPr>
          <w:rFonts w:ascii="Cambria" w:hAnsi="Cambria" w:cstheme="majorHAnsi"/>
          <w:lang w:val="en-US"/>
        </w:rPr>
        <w:t xml:space="preserve">over </w:t>
      </w:r>
      <w:r w:rsidR="00FD6288">
        <w:rPr>
          <w:rFonts w:ascii="Cambria" w:hAnsi="Cambria" w:cstheme="majorHAnsi"/>
          <w:lang w:val="en-US"/>
        </w:rPr>
        <w:t xml:space="preserve">three </w:t>
      </w:r>
      <w:r w:rsidR="00823DFF">
        <w:rPr>
          <w:rFonts w:ascii="Cambria" w:hAnsi="Cambria" w:cstheme="majorHAnsi"/>
          <w:lang w:val="en-US"/>
        </w:rPr>
        <w:t>time</w:t>
      </w:r>
      <w:r w:rsidR="00FD6288">
        <w:rPr>
          <w:rFonts w:ascii="Cambria" w:hAnsi="Cambria" w:cstheme="majorHAnsi"/>
          <w:lang w:val="en-US"/>
        </w:rPr>
        <w:t>points</w:t>
      </w:r>
      <w:r w:rsidR="00823DFF">
        <w:rPr>
          <w:rFonts w:ascii="Cambria" w:hAnsi="Cambria" w:cstheme="majorHAnsi"/>
          <w:lang w:val="en-US"/>
        </w:rPr>
        <w:t xml:space="preserve"> </w:t>
      </w:r>
      <w:r w:rsidR="00182615" w:rsidRPr="00182615">
        <w:rPr>
          <w:rFonts w:ascii="Cambria" w:hAnsi="Cambria" w:cstheme="majorHAnsi"/>
          <w:lang w:val="en-US"/>
        </w:rPr>
        <w:t xml:space="preserve">as quantified on the right y-axis, with the colored surfaces indicating their 95% confidence intervals. </w:t>
      </w:r>
      <w:bookmarkEnd w:id="3"/>
      <w:bookmarkEnd w:id="4"/>
      <w:r w:rsidR="006C1B5C" w:rsidRPr="00182615">
        <w:rPr>
          <w:rFonts w:ascii="Cambria" w:hAnsi="Cambria" w:cstheme="majorHAnsi"/>
          <w:lang w:val="en-US"/>
        </w:rPr>
        <w:t>Assessment</w:t>
      </w:r>
      <w:r w:rsidR="006C1B5C" w:rsidRPr="00E36F1E">
        <w:rPr>
          <w:rFonts w:ascii="Cambria" w:hAnsi="Cambria" w:cstheme="majorHAnsi"/>
          <w:lang w:val="en-US"/>
        </w:rPr>
        <w:t xml:space="preserve"> periods and absolute participant numbers per diagnosis group are indicated on the x-axis. p ≤ 0.05 = *, p ≤ 0.01 = **, p ≤ 0.001 = ***.</w:t>
      </w:r>
      <w:r w:rsidR="00E91B20">
        <w:rPr>
          <w:rFonts w:ascii="Cambria" w:hAnsi="Cambria" w:cstheme="majorHAnsi"/>
          <w:lang w:val="en-US"/>
        </w:rPr>
        <w:t xml:space="preserve"> </w:t>
      </w:r>
      <w:r w:rsidR="00283CAF" w:rsidRPr="003E77A9">
        <w:rPr>
          <w:rFonts w:ascii="Cambria" w:hAnsi="Cambria" w:cstheme="majorHAnsi"/>
          <w:lang w:val="en-US"/>
        </w:rPr>
        <w:t xml:space="preserve">Abbreviation: </w:t>
      </w:r>
      <w:r w:rsidR="00283CAF" w:rsidRPr="003E77A9">
        <w:rPr>
          <w:rFonts w:ascii="Cambria" w:eastAsia="Cambria" w:hAnsi="Cambria" w:cs="Cambria"/>
          <w:lang w:val="en-US"/>
        </w:rPr>
        <w:t>Threshold-Discrimination-Identification Test (TDI)</w:t>
      </w:r>
    </w:p>
    <w:p w14:paraId="46AA7D66" w14:textId="77777777" w:rsidR="00283CAF" w:rsidRPr="00A4769A" w:rsidRDefault="00283CAF" w:rsidP="001F2881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lang w:val="en-US"/>
        </w:rPr>
      </w:pPr>
    </w:p>
    <w:p w14:paraId="5E9B4D46" w14:textId="77777777" w:rsidR="001F2881" w:rsidRDefault="001F2881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6629283D" w14:textId="77777777" w:rsidR="00A463AB" w:rsidRDefault="00A463AB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204C24AF" w14:textId="77777777" w:rsidR="00272A54" w:rsidRDefault="00272A5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319FB4A6" w14:textId="77777777" w:rsidR="00272A54" w:rsidRDefault="00272A5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3AA2CF03" w14:textId="77777777" w:rsidR="00272A54" w:rsidRDefault="00272A5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1536E7AC" w14:textId="77777777" w:rsidR="00272A54" w:rsidRDefault="00272A5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383AFDDE" w14:textId="77777777" w:rsidR="00272A54" w:rsidRDefault="00272A5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47A7EC84" w14:textId="77777777" w:rsidR="00272A54" w:rsidRDefault="00272A5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089D6483" w14:textId="77777777" w:rsidR="00272A54" w:rsidRDefault="00272A54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48F66199" w14:textId="77777777" w:rsidR="00C83D3C" w:rsidRDefault="00C83D3C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571C993B" w14:textId="77777777" w:rsidR="00C83D3C" w:rsidRDefault="00C83D3C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335C5C6E" w14:textId="77777777" w:rsidR="00C83D3C" w:rsidRDefault="00C83D3C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7349D087" w14:textId="77777777" w:rsidR="00C83D3C" w:rsidRDefault="00C83D3C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14C5EBCC" w14:textId="77777777" w:rsidR="00C83D3C" w:rsidRDefault="00C83D3C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2A17937E" w14:textId="77777777" w:rsidR="00C83D3C" w:rsidRDefault="00C83D3C" w:rsidP="00763FEE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</w:p>
    <w:p w14:paraId="6500B89E" w14:textId="275332D9" w:rsidR="00054CCD" w:rsidRPr="00054CCD" w:rsidRDefault="00A463AB" w:rsidP="00EC67CD">
      <w:pPr>
        <w:shd w:val="clear" w:color="auto" w:fill="FFFFFF"/>
        <w:jc w:val="both"/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Cambria" w:hAnsi="Cambria" w:cstheme="majorHAnsi"/>
          <w:b/>
          <w:bCs/>
          <w:color w:val="000000" w:themeColor="text1"/>
          <w:sz w:val="24"/>
          <w:szCs w:val="24"/>
          <w:lang w:val="en-US"/>
        </w:rPr>
        <w:lastRenderedPageBreak/>
        <w:t>Supplementary References</w:t>
      </w:r>
    </w:p>
    <w:p w14:paraId="7F419312" w14:textId="76D715D9" w:rsidR="00821844" w:rsidRPr="00A4769A" w:rsidRDefault="00054CCD" w:rsidP="00074C27">
      <w:pPr>
        <w:widowControl w:val="0"/>
        <w:spacing w:after="240"/>
        <w:jc w:val="both"/>
        <w:rPr>
          <w:rFonts w:ascii="Cambria" w:hAnsi="Cambria"/>
          <w:lang w:val="en-US"/>
        </w:rPr>
      </w:pPr>
      <w:hyperlink r:id="rId9">
        <w:r w:rsidRPr="00054CCD">
          <w:rPr>
            <w:rFonts w:ascii="Cambria" w:hAnsi="Cambria"/>
            <w:lang w:val="en-US"/>
          </w:rPr>
          <w:t xml:space="preserve">Hummel T, Kobal G, </w:t>
        </w:r>
        <w:proofErr w:type="spellStart"/>
        <w:r w:rsidRPr="00054CCD">
          <w:rPr>
            <w:rFonts w:ascii="Cambria" w:hAnsi="Cambria"/>
            <w:lang w:val="en-US"/>
          </w:rPr>
          <w:t>Gudziol</w:t>
        </w:r>
        <w:proofErr w:type="spellEnd"/>
        <w:r w:rsidRPr="00054CCD">
          <w:rPr>
            <w:rFonts w:ascii="Cambria" w:hAnsi="Cambria"/>
            <w:lang w:val="en-US"/>
          </w:rPr>
          <w:t xml:space="preserve"> H, Mackay-Sim A. Normative data for the “Sniffin’ Sticks” including tests of odor identification, odor discrimination, and olfactory thresholds: an upgrade based on a group of more than 3,000 subjects. </w:t>
        </w:r>
        <w:proofErr w:type="spellStart"/>
        <w:r w:rsidRPr="00054CCD">
          <w:rPr>
            <w:rFonts w:ascii="Cambria" w:hAnsi="Cambria"/>
            <w:lang w:val="en-US"/>
          </w:rPr>
          <w:t>Eur</w:t>
        </w:r>
        <w:proofErr w:type="spellEnd"/>
        <w:r w:rsidRPr="00054CCD">
          <w:rPr>
            <w:rFonts w:ascii="Cambria" w:hAnsi="Cambria"/>
            <w:lang w:val="en-US"/>
          </w:rPr>
          <w:t xml:space="preserve"> Arch Oto-Rhino-</w:t>
        </w:r>
        <w:proofErr w:type="spellStart"/>
        <w:r w:rsidRPr="00054CCD">
          <w:rPr>
            <w:rFonts w:ascii="Cambria" w:hAnsi="Cambria"/>
            <w:lang w:val="en-US"/>
          </w:rPr>
          <w:t>Laryngol</w:t>
        </w:r>
        <w:proofErr w:type="spellEnd"/>
        <w:r w:rsidRPr="00054CCD">
          <w:rPr>
            <w:rFonts w:ascii="Cambria" w:hAnsi="Cambria"/>
            <w:lang w:val="en-US"/>
          </w:rPr>
          <w:t xml:space="preserve"> Off J </w:t>
        </w:r>
        <w:proofErr w:type="spellStart"/>
        <w:r w:rsidRPr="00054CCD">
          <w:rPr>
            <w:rFonts w:ascii="Cambria" w:hAnsi="Cambria"/>
            <w:lang w:val="en-US"/>
          </w:rPr>
          <w:t>Eur</w:t>
        </w:r>
        <w:proofErr w:type="spellEnd"/>
        <w:r w:rsidRPr="00054CCD">
          <w:rPr>
            <w:rFonts w:ascii="Cambria" w:hAnsi="Cambria"/>
            <w:lang w:val="en-US"/>
          </w:rPr>
          <w:t xml:space="preserve"> Fed Oto-Rhino-</w:t>
        </w:r>
        <w:proofErr w:type="spellStart"/>
        <w:r w:rsidRPr="00054CCD">
          <w:rPr>
            <w:rFonts w:ascii="Cambria" w:hAnsi="Cambria"/>
            <w:lang w:val="en-US"/>
          </w:rPr>
          <w:t>Laryngol</w:t>
        </w:r>
        <w:proofErr w:type="spellEnd"/>
        <w:r w:rsidRPr="00054CCD">
          <w:rPr>
            <w:rFonts w:ascii="Cambria" w:hAnsi="Cambria"/>
            <w:lang w:val="en-US"/>
          </w:rPr>
          <w:t xml:space="preserve"> Soc EUFOS </w:t>
        </w:r>
        <w:proofErr w:type="spellStart"/>
        <w:r w:rsidRPr="00054CCD">
          <w:rPr>
            <w:rFonts w:ascii="Cambria" w:hAnsi="Cambria"/>
            <w:lang w:val="en-US"/>
          </w:rPr>
          <w:t>Affil</w:t>
        </w:r>
        <w:proofErr w:type="spellEnd"/>
        <w:r w:rsidRPr="00054CCD">
          <w:rPr>
            <w:rFonts w:ascii="Cambria" w:hAnsi="Cambria"/>
            <w:lang w:val="en-US"/>
          </w:rPr>
          <w:t xml:space="preserve"> Ger Soc Oto-Rhino-</w:t>
        </w:r>
        <w:proofErr w:type="spellStart"/>
        <w:r w:rsidRPr="00054CCD">
          <w:rPr>
            <w:rFonts w:ascii="Cambria" w:hAnsi="Cambria"/>
            <w:lang w:val="en-US"/>
          </w:rPr>
          <w:t>Laryngol</w:t>
        </w:r>
        <w:proofErr w:type="spellEnd"/>
        <w:r w:rsidRPr="00054CCD">
          <w:rPr>
            <w:rFonts w:ascii="Cambria" w:hAnsi="Cambria"/>
            <w:lang w:val="en-US"/>
          </w:rPr>
          <w:t xml:space="preserve"> - Head Neck Surg. 2007 Mar;264(3):237–43.</w:t>
        </w:r>
      </w:hyperlink>
    </w:p>
    <w:sectPr w:rsidR="00821844" w:rsidRPr="00A476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844"/>
    <w:rsid w:val="0000147C"/>
    <w:rsid w:val="000303A3"/>
    <w:rsid w:val="00031348"/>
    <w:rsid w:val="00054CCD"/>
    <w:rsid w:val="00062421"/>
    <w:rsid w:val="00074C27"/>
    <w:rsid w:val="00084B02"/>
    <w:rsid w:val="000D50F8"/>
    <w:rsid w:val="001257F6"/>
    <w:rsid w:val="001301FF"/>
    <w:rsid w:val="00182615"/>
    <w:rsid w:val="001908E8"/>
    <w:rsid w:val="001E5070"/>
    <w:rsid w:val="001F096C"/>
    <w:rsid w:val="001F2881"/>
    <w:rsid w:val="002638DC"/>
    <w:rsid w:val="00272A54"/>
    <w:rsid w:val="00283CAF"/>
    <w:rsid w:val="002E3C92"/>
    <w:rsid w:val="002E7250"/>
    <w:rsid w:val="002E767B"/>
    <w:rsid w:val="002F6FC6"/>
    <w:rsid w:val="00310D69"/>
    <w:rsid w:val="003462E4"/>
    <w:rsid w:val="003841FA"/>
    <w:rsid w:val="003C03E0"/>
    <w:rsid w:val="003E77A9"/>
    <w:rsid w:val="00405150"/>
    <w:rsid w:val="00453357"/>
    <w:rsid w:val="004A6450"/>
    <w:rsid w:val="004C13CE"/>
    <w:rsid w:val="00561715"/>
    <w:rsid w:val="005922BB"/>
    <w:rsid w:val="005D635E"/>
    <w:rsid w:val="005D69EC"/>
    <w:rsid w:val="005E1AE4"/>
    <w:rsid w:val="006031C2"/>
    <w:rsid w:val="00622E47"/>
    <w:rsid w:val="00675296"/>
    <w:rsid w:val="006B3334"/>
    <w:rsid w:val="006C1B5C"/>
    <w:rsid w:val="007038EE"/>
    <w:rsid w:val="00707E2E"/>
    <w:rsid w:val="007142E8"/>
    <w:rsid w:val="007163AD"/>
    <w:rsid w:val="0072542F"/>
    <w:rsid w:val="00763FEE"/>
    <w:rsid w:val="00785915"/>
    <w:rsid w:val="0079280C"/>
    <w:rsid w:val="00795728"/>
    <w:rsid w:val="007D2DFE"/>
    <w:rsid w:val="007D4128"/>
    <w:rsid w:val="007E3868"/>
    <w:rsid w:val="00821844"/>
    <w:rsid w:val="00823DFF"/>
    <w:rsid w:val="00850F9E"/>
    <w:rsid w:val="00880241"/>
    <w:rsid w:val="00885AE5"/>
    <w:rsid w:val="00973F8A"/>
    <w:rsid w:val="00994E53"/>
    <w:rsid w:val="009A5BF8"/>
    <w:rsid w:val="009B5BA5"/>
    <w:rsid w:val="009F3A72"/>
    <w:rsid w:val="00A13BB3"/>
    <w:rsid w:val="00A463AB"/>
    <w:rsid w:val="00A4769A"/>
    <w:rsid w:val="00A64E0D"/>
    <w:rsid w:val="00A80F0C"/>
    <w:rsid w:val="00A81DAB"/>
    <w:rsid w:val="00AC7263"/>
    <w:rsid w:val="00B06010"/>
    <w:rsid w:val="00B7599A"/>
    <w:rsid w:val="00BB4A0B"/>
    <w:rsid w:val="00BC367A"/>
    <w:rsid w:val="00BE5598"/>
    <w:rsid w:val="00C10486"/>
    <w:rsid w:val="00C762EE"/>
    <w:rsid w:val="00C83D3C"/>
    <w:rsid w:val="00CD20D0"/>
    <w:rsid w:val="00D06FDE"/>
    <w:rsid w:val="00D24F3D"/>
    <w:rsid w:val="00D34903"/>
    <w:rsid w:val="00D51791"/>
    <w:rsid w:val="00D63B24"/>
    <w:rsid w:val="00D65F52"/>
    <w:rsid w:val="00DB6AE6"/>
    <w:rsid w:val="00DE31AE"/>
    <w:rsid w:val="00E12DBD"/>
    <w:rsid w:val="00E16733"/>
    <w:rsid w:val="00E36BBE"/>
    <w:rsid w:val="00E36F1E"/>
    <w:rsid w:val="00E66DCC"/>
    <w:rsid w:val="00E726D9"/>
    <w:rsid w:val="00E91B20"/>
    <w:rsid w:val="00EC67CD"/>
    <w:rsid w:val="00F85D42"/>
    <w:rsid w:val="00FB2906"/>
    <w:rsid w:val="00FD6288"/>
    <w:rsid w:val="00FE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601A82"/>
  <w15:chartTrackingRefBased/>
  <w15:docId w15:val="{6EB4A627-A1CB-B746-A721-D4C2C022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44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de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184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DE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184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DE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184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DE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184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DE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184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DE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184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DE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184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DE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184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DE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184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DE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8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18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18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18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18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18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18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18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18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18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DE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218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184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DE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218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184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DE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218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184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DE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218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18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DE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18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18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www.zotero.org/google-docs/?4cDQ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1007</Words>
  <Characters>5742</Characters>
  <Application>Microsoft Office Word</Application>
  <DocSecurity>0</DocSecurity>
  <Lines>47</Lines>
  <Paragraphs>13</Paragraphs>
  <ScaleCrop>false</ScaleCrop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 Arndt, Lil Antonia</dc:creator>
  <cp:keywords/>
  <dc:description/>
  <cp:lastModifiedBy>Meyer Arndt, Lil Antonia</cp:lastModifiedBy>
  <cp:revision>97</cp:revision>
  <dcterms:created xsi:type="dcterms:W3CDTF">2024-08-18T14:25:00Z</dcterms:created>
  <dcterms:modified xsi:type="dcterms:W3CDTF">2025-08-21T12:40:00Z</dcterms:modified>
</cp:coreProperties>
</file>