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8C5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Empagliflozin reduces left ventricular mass increase and improves cardiomyocyte hypertrophy after 5/6 nephrectomy.</w:t>
      </w:r>
    </w:p>
    <w:p w14:paraId="23B41A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 w14:paraId="4F73D5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Running title: Empagliflozin improves cardiomyocyte hypertrophy.</w:t>
      </w:r>
    </w:p>
    <w:p w14:paraId="29DC0C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 w14:paraId="79E9BD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  <w:vertAlign w:val="superscript"/>
        </w:rPr>
      </w:pPr>
      <w:bookmarkStart w:id="0" w:name="_Hlk190854797"/>
      <w:r>
        <w:rPr>
          <w:rFonts w:hint="default" w:ascii="Times New Roman" w:hAnsi="Times New Roman" w:cs="Times New Roman"/>
          <w:sz w:val="22"/>
          <w:szCs w:val="22"/>
        </w:rPr>
        <w:t>Xin Chen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1,2,8</w:t>
      </w:r>
      <w:r>
        <w:rPr>
          <w:rFonts w:hint="default" w:ascii="Times New Roman" w:hAnsi="Times New Roman" w:cs="Times New Roman"/>
          <w:sz w:val="22"/>
          <w:szCs w:val="22"/>
        </w:rPr>
        <w:t xml:space="preserve">, </w:t>
      </w:r>
      <w:bookmarkEnd w:id="0"/>
      <w:r>
        <w:rPr>
          <w:rFonts w:hint="default" w:ascii="Times New Roman" w:hAnsi="Times New Roman" w:cs="Times New Roman"/>
          <w:sz w:val="22"/>
          <w:szCs w:val="22"/>
        </w:rPr>
        <w:t>Christian T. Wohnhaas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3</w:t>
      </w:r>
      <w:r>
        <w:rPr>
          <w:rFonts w:hint="default" w:ascii="Times New Roman" w:hAnsi="Times New Roman" w:cs="Times New Roman"/>
          <w:sz w:val="22"/>
          <w:szCs w:val="22"/>
        </w:rPr>
        <w:t>, Denis Delić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2,3</w:t>
      </w:r>
      <w:r>
        <w:rPr>
          <w:rFonts w:hint="default" w:ascii="Times New Roman" w:hAnsi="Times New Roman" w:cs="Times New Roman"/>
          <w:sz w:val="22"/>
          <w:szCs w:val="22"/>
        </w:rPr>
        <w:t>, Nicolas Schommer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4</w:t>
      </w:r>
      <w:r>
        <w:rPr>
          <w:rFonts w:hint="default" w:ascii="Times New Roman" w:hAnsi="Times New Roman" w:cs="Times New Roman"/>
          <w:sz w:val="22"/>
          <w:szCs w:val="22"/>
          <w:vertAlign w:val="superscript"/>
          <w:lang w:val="en-US" w:eastAsia="zh-CN"/>
        </w:rPr>
        <w:t>,6</w:t>
      </w:r>
      <w:r>
        <w:rPr>
          <w:rFonts w:hint="default" w:ascii="Times New Roman" w:hAnsi="Times New Roman" w:cs="Times New Roman"/>
          <w:sz w:val="22"/>
          <w:szCs w:val="22"/>
        </w:rPr>
        <w:t>, Daniel D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ue</w:t>
      </w:r>
      <w:r>
        <w:rPr>
          <w:rFonts w:hint="default" w:ascii="Times New Roman" w:hAnsi="Times New Roman" w:cs="Times New Roman"/>
          <w:sz w:val="22"/>
          <w:szCs w:val="22"/>
        </w:rPr>
        <w:t>rschmied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4,5,6</w:t>
      </w:r>
      <w:r>
        <w:rPr>
          <w:rFonts w:hint="default" w:ascii="Times New Roman" w:hAnsi="Times New Roman" w:cs="Times New Roman"/>
          <w:sz w:val="22"/>
          <w:szCs w:val="22"/>
        </w:rPr>
        <w:t>, Yaochen Cao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2,7</w:t>
      </w:r>
      <w:r>
        <w:rPr>
          <w:rFonts w:hint="default" w:ascii="Times New Roman" w:hAnsi="Times New Roman" w:cs="Times New Roman"/>
          <w:sz w:val="22"/>
          <w:szCs w:val="22"/>
        </w:rPr>
        <w:t>, Zeyu Zhang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2,8</w:t>
      </w:r>
      <w:r>
        <w:rPr>
          <w:rFonts w:hint="default" w:ascii="Times New Roman" w:hAnsi="Times New Roman" w:cs="Times New Roman"/>
          <w:sz w:val="22"/>
          <w:szCs w:val="22"/>
        </w:rPr>
        <w:t>, Christoph Reichetzeder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1</w:t>
      </w:r>
      <w:r>
        <w:rPr>
          <w:rFonts w:hint="default" w:ascii="Times New Roman" w:hAnsi="Times New Roman" w:cs="Times New Roman"/>
          <w:sz w:val="22"/>
          <w:szCs w:val="22"/>
        </w:rPr>
        <w:t>, Mohamed M.S. Gaballa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2,9,10</w:t>
      </w:r>
      <w:r>
        <w:rPr>
          <w:rFonts w:hint="default" w:ascii="Times New Roman" w:hAnsi="Times New Roman" w:cs="Times New Roman"/>
          <w:sz w:val="22"/>
          <w:szCs w:val="22"/>
        </w:rPr>
        <w:t>, Bernhard K. Krämer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2,5</w:t>
      </w:r>
      <w:r>
        <w:rPr>
          <w:rFonts w:hint="default" w:ascii="Times New Roman" w:hAnsi="Times New Roman" w:cs="Times New Roman"/>
          <w:sz w:val="22"/>
          <w:szCs w:val="22"/>
        </w:rPr>
        <w:t>, Thomas Klein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11</w:t>
      </w:r>
      <w:r>
        <w:rPr>
          <w:rFonts w:hint="default" w:ascii="Times New Roman" w:hAnsi="Times New Roman" w:cs="Times New Roman"/>
          <w:sz w:val="22"/>
          <w:szCs w:val="22"/>
        </w:rPr>
        <w:t>, Ben He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12</w:t>
      </w:r>
      <w:r>
        <w:rPr>
          <w:rFonts w:hint="default" w:ascii="Times New Roman" w:hAnsi="Times New Roman" w:cs="Times New Roman"/>
          <w:sz w:val="22"/>
          <w:szCs w:val="22"/>
        </w:rPr>
        <w:t>, Linghong Shen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12</w:t>
      </w:r>
      <w:r>
        <w:rPr>
          <w:rFonts w:hint="default" w:ascii="Times New Roman" w:hAnsi="Times New Roman" w:cs="Times New Roman"/>
          <w:sz w:val="22"/>
          <w:szCs w:val="22"/>
        </w:rPr>
        <w:t>, Berthold Hocher</w:t>
      </w: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2,13,14</w:t>
      </w:r>
    </w:p>
    <w:p w14:paraId="170BBE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 w14:paraId="389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1</w:t>
      </w:r>
      <w:r>
        <w:rPr>
          <w:rFonts w:hint="default" w:ascii="Times New Roman" w:hAnsi="Times New Roman" w:cs="Times New Roman"/>
          <w:sz w:val="22"/>
          <w:szCs w:val="22"/>
        </w:rPr>
        <w:t>Institute for Clinical Research and Systems Medicine, Health and Medical University, Potsdam, Germany.</w:t>
      </w:r>
    </w:p>
    <w:p w14:paraId="1D385A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hint="default" w:ascii="Times New Roman" w:hAnsi="Times New Roman" w:cs="Times New Roman"/>
          <w:sz w:val="22"/>
          <w:szCs w:val="22"/>
        </w:rPr>
        <w:t xml:space="preserve">Fifth Department of Medicine (Nephrology/Endocrinology/Rheumatology/Pneumology), University Medical Centre Mannheim, University of Heidelberg, Germany. </w:t>
      </w:r>
    </w:p>
    <w:p w14:paraId="160284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3</w:t>
      </w:r>
      <w:r>
        <w:rPr>
          <w:rFonts w:hint="default" w:ascii="Times New Roman" w:hAnsi="Times New Roman" w:cs="Times New Roman"/>
          <w:sz w:val="22"/>
          <w:szCs w:val="22"/>
        </w:rPr>
        <w:t>Translational Medicine &amp; Clinical Pharmacology, Boehringer Ingelheim Pharma GmbH &amp; Co. KG, Birkendorferstr.65, 88397 Biberach, Germany.</w:t>
      </w:r>
    </w:p>
    <w:p w14:paraId="799CA0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4</w:t>
      </w:r>
      <w:r>
        <w:rPr>
          <w:rFonts w:hint="default" w:ascii="Times New Roman" w:hAnsi="Times New Roman" w:cs="Times New Roman"/>
          <w:sz w:val="22"/>
          <w:szCs w:val="22"/>
        </w:rPr>
        <w:t>Cardiology, Angiology, Haemostaseology, and Medical Intensive Care, Medical Centre Mannheim and Medical Faculty Mannheim, Heidelberg University, Germany.</w:t>
      </w:r>
    </w:p>
    <w:p w14:paraId="08C54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5</w:t>
      </w:r>
      <w:r>
        <w:rPr>
          <w:rFonts w:hint="default" w:ascii="Times New Roman" w:hAnsi="Times New Roman" w:cs="Times New Roman"/>
          <w:sz w:val="22"/>
          <w:szCs w:val="22"/>
        </w:rPr>
        <w:t>European Center for AngioScience (ECAS), German Centre for Cardiovascular Research (DZHK) partner site Heidelberg/ Mannheim, and Centre for Cardiovascular Acute Medicine Mannheim (ZKAM), Medical Centre Mannheim and Medical Faculty Mannheim, Heidelberg University, Germany.</w:t>
      </w:r>
    </w:p>
    <w:p w14:paraId="1345A8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6</w:t>
      </w:r>
      <w:r>
        <w:rPr>
          <w:rFonts w:hint="default" w:ascii="Times New Roman" w:hAnsi="Times New Roman" w:cs="Times New Roman"/>
          <w:sz w:val="22"/>
          <w:szCs w:val="22"/>
        </w:rPr>
        <w:t>Helmholtz-Institute for Translational AngioCardioScience (HI-TAC) of the Max Delbrück Center for Molecular Medicine in the Helmholtz Association (MDC) at Heidelberg University, Germany.</w:t>
      </w:r>
    </w:p>
    <w:p w14:paraId="724EF0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7</w:t>
      </w:r>
      <w:r>
        <w:rPr>
          <w:rFonts w:hint="default" w:ascii="Times New Roman" w:hAnsi="Times New Roman" w:cs="Times New Roman"/>
          <w:sz w:val="22"/>
          <w:szCs w:val="22"/>
        </w:rPr>
        <w:t>Department of Nephrology, Charité - Universitätsmedizin Berlin, Campus Mitte, Berlin, Germany.</w:t>
      </w:r>
    </w:p>
    <w:p w14:paraId="5975A5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8</w:t>
      </w:r>
      <w:r>
        <w:rPr>
          <w:rFonts w:hint="default" w:ascii="Times New Roman" w:hAnsi="Times New Roman" w:cs="Times New Roman"/>
          <w:sz w:val="22"/>
          <w:szCs w:val="22"/>
        </w:rPr>
        <w:t>The First Clinical Medical College of Jinan University, The First Affiliated Hospital of Jinan University, Guangzhou, China.</w:t>
      </w:r>
    </w:p>
    <w:p w14:paraId="1161A7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9</w:t>
      </w:r>
      <w:r>
        <w:rPr>
          <w:rFonts w:hint="default" w:ascii="Times New Roman" w:hAnsi="Times New Roman" w:cs="Times New Roman"/>
          <w:sz w:val="22"/>
          <w:szCs w:val="22"/>
        </w:rPr>
        <w:t xml:space="preserve">Institute of Pharmacy, Freie Universität Berlin, Germany. </w:t>
      </w:r>
    </w:p>
    <w:p w14:paraId="6A6F48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10</w:t>
      </w:r>
      <w:r>
        <w:rPr>
          <w:rFonts w:hint="default" w:ascii="Times New Roman" w:hAnsi="Times New Roman" w:cs="Times New Roman"/>
          <w:sz w:val="22"/>
          <w:szCs w:val="22"/>
        </w:rPr>
        <w:t>Faculty of Veterinary Medicine, Benha University, Toukh, Egypt.</w:t>
      </w:r>
    </w:p>
    <w:p w14:paraId="4A2B05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11</w:t>
      </w:r>
      <w:r>
        <w:rPr>
          <w:rFonts w:hint="default" w:ascii="Times New Roman" w:hAnsi="Times New Roman" w:cs="Times New Roman"/>
          <w:sz w:val="22"/>
          <w:szCs w:val="22"/>
        </w:rPr>
        <w:t>Department of Cardiometabolic Diseases Research, Boehringer Ingelheim Pharma GmbH &amp; Co. KG, Birkendorfer Str. 65, 88397 Biberach, Germany.</w:t>
      </w:r>
    </w:p>
    <w:p w14:paraId="6F74E7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12</w:t>
      </w:r>
      <w:r>
        <w:rPr>
          <w:rFonts w:hint="default" w:ascii="Times New Roman" w:hAnsi="Times New Roman" w:cs="Times New Roman"/>
          <w:sz w:val="22"/>
          <w:szCs w:val="22"/>
        </w:rPr>
        <w:t>Department of Cardiology, Shanghai Chest Hospital, Shanghai Jiao Tong University School of Medicine, Shanghai, China</w:t>
      </w:r>
    </w:p>
    <w:p w14:paraId="72D0BB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vertAlign w:val="superscript"/>
        </w:rPr>
        <w:t>13</w:t>
      </w:r>
      <w:r>
        <w:rPr>
          <w:rFonts w:hint="default" w:ascii="Times New Roman" w:hAnsi="Times New Roman" w:cs="Times New Roman"/>
          <w:sz w:val="22"/>
          <w:szCs w:val="22"/>
        </w:rPr>
        <w:t>Reproductive and Genetic Hospital of CITIC-Xiangya, Changsha, China.</w:t>
      </w:r>
    </w:p>
    <w:p w14:paraId="4CA8DA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  <w:lang w:val="de-DE"/>
        </w:rPr>
      </w:pPr>
      <w:r>
        <w:rPr>
          <w:rFonts w:hint="default" w:ascii="Times New Roman" w:hAnsi="Times New Roman" w:cs="Times New Roman"/>
          <w:sz w:val="22"/>
          <w:szCs w:val="22"/>
          <w:vertAlign w:val="superscript"/>
          <w:lang w:val="de-DE"/>
        </w:rPr>
        <w:t>14</w:t>
      </w:r>
      <w:r>
        <w:rPr>
          <w:rFonts w:hint="default" w:ascii="Times New Roman" w:hAnsi="Times New Roman" w:cs="Times New Roman"/>
          <w:sz w:val="22"/>
          <w:szCs w:val="22"/>
          <w:lang w:val="de-DE"/>
        </w:rPr>
        <w:t>IMD Institut für Medizinische Diagnostik Berlin-Potsdam GbR, Berlin, Germany.</w:t>
      </w:r>
    </w:p>
    <w:p w14:paraId="04E0B7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  <w:lang w:val="de-DE"/>
        </w:rPr>
      </w:pPr>
    </w:p>
    <w:p w14:paraId="3BF1A4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Correspondence: </w:t>
      </w:r>
    </w:p>
    <w:p w14:paraId="405037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Prof. Dr. Berthold Hocher</w:t>
      </w:r>
    </w:p>
    <w:p w14:paraId="605D58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Fifth Department of Medicine (Nephrology/Endocrinology/Rheumatology/Pneumology), University Medical Centre Mannheim, University of Heidelberg, Heidelberg, Germany. </w:t>
      </w:r>
    </w:p>
    <w:p w14:paraId="781516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Fax 0621 / 383-3804; Telephone 0621 / 383-5172. </w:t>
      </w:r>
    </w:p>
    <w:p w14:paraId="5C201B9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mail: </w:t>
      </w:r>
      <w:r>
        <w:rPr>
          <w:rFonts w:hint="default" w:ascii="Times New Roman" w:hAnsi="Times New Roman" w:cs="Times New Roman"/>
          <w:sz w:val="22"/>
          <w:szCs w:val="22"/>
        </w:rPr>
        <w:fldChar w:fldCharType="begin"/>
      </w:r>
      <w:r>
        <w:rPr>
          <w:rFonts w:hint="default" w:ascii="Times New Roman" w:hAnsi="Times New Roman" w:cs="Times New Roman"/>
          <w:sz w:val="22"/>
          <w:szCs w:val="22"/>
        </w:rPr>
        <w:instrText xml:space="preserve"> HYPERLINK "mailto:berthold.hocher@medma.uni-heidelberg.de" </w:instrText>
      </w:r>
      <w:r>
        <w:rPr>
          <w:rFonts w:hint="default" w:ascii="Times New Roman" w:hAnsi="Times New Roman" w:cs="Times New Roman"/>
          <w:sz w:val="22"/>
          <w:szCs w:val="22"/>
        </w:rPr>
        <w:fldChar w:fldCharType="separate"/>
      </w:r>
      <w:r>
        <w:rPr>
          <w:rStyle w:val="6"/>
          <w:rFonts w:hint="default" w:ascii="Times New Roman" w:hAnsi="Times New Roman" w:cs="Times New Roman"/>
          <w:sz w:val="22"/>
          <w:szCs w:val="22"/>
        </w:rPr>
        <w:t>berthold.hocher@medma.uni-heidelberg.de</w:t>
      </w:r>
      <w:r>
        <w:rPr>
          <w:rStyle w:val="6"/>
          <w:rFonts w:hint="default" w:ascii="Times New Roman" w:hAnsi="Times New Roman" w:cs="Times New Roman"/>
          <w:sz w:val="22"/>
          <w:szCs w:val="22"/>
        </w:rPr>
        <w:fldChar w:fldCharType="end"/>
      </w:r>
    </w:p>
    <w:p w14:paraId="3F3260D2">
      <w:r>
        <w:br w:type="page"/>
      </w:r>
    </w:p>
    <w:p w14:paraId="31443632">
      <w:pPr>
        <w:widowControl/>
        <w:jc w:val="left"/>
        <w:rPr>
          <w:rFonts w:hint="eastAsia" w:ascii="Times New Roman" w:hAnsi="Times New Roman"/>
          <w:b/>
          <w:sz w:val="22"/>
        </w:rPr>
      </w:pPr>
      <w:r>
        <w:rPr>
          <w:rFonts w:hint="eastAsia" w:ascii="Times New Roman" w:hAnsi="Times New Roman" w:eastAsiaTheme="minorEastAsia"/>
          <w:b/>
          <w:sz w:val="22"/>
          <w:lang w:eastAsia="zh-CN"/>
        </w:rPr>
        <w:drawing>
          <wp:inline distT="0" distB="0" distL="114300" distR="114300">
            <wp:extent cx="5268595" cy="5432425"/>
            <wp:effectExtent l="0" t="0" r="4445" b="8255"/>
            <wp:docPr id="3" name="Picture 3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igure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952A7">
      <w:pPr>
        <w:widowControl/>
        <w:jc w:val="both"/>
        <w:rPr>
          <w:rFonts w:hint="eastAsia" w:ascii="Times New Roman" w:hAnsi="Times New Roman" w:cs="Times New Roman" w:eastAsiaTheme="minorEastAsia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 xml:space="preserve">Supplementary figure 1: snRNA-seq identified cell cluster in heart. (A) </w:t>
      </w:r>
      <w:r>
        <w:rPr>
          <w:rFonts w:hint="default" w:ascii="Times New Roman" w:hAnsi="Times New Roman" w:cs="Times New Roman"/>
          <w:bCs/>
          <w:sz w:val="22"/>
          <w:szCs w:val="22"/>
        </w:rPr>
        <w:t xml:space="preserve">Cell clusters were determined via Seurat’s default graph-based clustering strategy using the “FindNeighbors” and “FindClusters” functions. The top 40 principal components (PCs) and 1.45 resolution were used to compute the cell clusters. Forty-two cell clusters were identified in the dataset and represented via UMAP. </w:t>
      </w:r>
      <w:r>
        <w:rPr>
          <w:rFonts w:hint="default" w:ascii="Times New Roman" w:hAnsi="Times New Roman" w:cs="Times New Roman"/>
          <w:b/>
          <w:sz w:val="22"/>
          <w:szCs w:val="22"/>
        </w:rPr>
        <w:t>(B)</w:t>
      </w:r>
      <w:r>
        <w:rPr>
          <w:rFonts w:hint="default" w:ascii="Times New Roman" w:hAnsi="Times New Roman" w:cs="Times New Roman"/>
          <w:bCs/>
          <w:sz w:val="22"/>
          <w:szCs w:val="22"/>
        </w:rPr>
        <w:t xml:space="preserve"> Cluster-based cell type annotation was performed on the expression of known marker genes which also identified clusters of cell multiplets and a single cluster representing low-quality nuclei that were removed for further analysis</w:t>
      </w:r>
      <w:r>
        <w:rPr>
          <w:rFonts w:hint="eastAsia" w:ascii="Times New Roman" w:hAnsi="Times New Roman" w:cs="Times New Roman"/>
          <w:bCs/>
          <w:sz w:val="22"/>
          <w:szCs w:val="22"/>
          <w:lang w:val="en-US" w:eastAsia="zh-CN"/>
        </w:rPr>
        <w:t>.</w:t>
      </w:r>
    </w:p>
    <w:p w14:paraId="1B64C3C3">
      <w:pPr>
        <w:widowControl/>
        <w:jc w:val="both"/>
        <w:rPr>
          <w:rFonts w:hint="eastAsia" w:ascii="Times New Roman" w:hAnsi="Times New Roman" w:cs="Times New Roman" w:eastAsiaTheme="minorEastAsia"/>
          <w:bCs/>
          <w:sz w:val="22"/>
          <w:szCs w:val="22"/>
          <w:lang w:eastAsia="zh-CN"/>
        </w:rPr>
      </w:pPr>
      <w:r>
        <w:rPr>
          <w:rFonts w:hint="eastAsia" w:ascii="Times New Roman" w:hAnsi="Times New Roman" w:cs="Times New Roman" w:eastAsiaTheme="minorEastAsia"/>
          <w:bCs/>
          <w:sz w:val="22"/>
          <w:szCs w:val="22"/>
          <w:lang w:eastAsia="zh-CN"/>
        </w:rPr>
        <w:drawing>
          <wp:inline distT="0" distB="0" distL="114300" distR="114300">
            <wp:extent cx="5271135" cy="6017895"/>
            <wp:effectExtent l="0" t="0" r="1905" b="1905"/>
            <wp:docPr id="4" name="Picture 4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igure 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3FE8">
      <w:pPr>
        <w:widowControl/>
        <w:jc w:val="both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Supplementary figure 2:</w:t>
      </w:r>
      <w:r>
        <w:rPr>
          <w:rFonts w:hint="default" w:ascii="Times New Roman" w:hAnsi="Times New Roman" w:cs="Times New Roman"/>
          <w:bCs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snRNA-seq identified the major immune cell cluster in heart.</w:t>
      </w:r>
      <w:r>
        <w:rPr>
          <w:rFonts w:hint="default" w:ascii="Times New Roman" w:hAnsi="Times New Roman" w:cs="Times New Roman"/>
          <w:bCs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(A)</w:t>
      </w:r>
      <w:r>
        <w:rPr>
          <w:rFonts w:hint="default" w:ascii="Times New Roman" w:hAnsi="Times New Roman" w:cs="Times New Roman"/>
          <w:bCs/>
          <w:sz w:val="22"/>
          <w:szCs w:val="22"/>
        </w:rPr>
        <w:t xml:space="preserve"> Dimensionality reduction and clustering of  2943 immune cells. 1</w:t>
      </w:r>
      <w:r>
        <w:rPr>
          <w:rFonts w:hint="eastAsia" w:ascii="Times New Roman" w:hAnsi="Times New Roman" w:cs="Times New Roman"/>
          <w:bCs/>
          <w:sz w:val="22"/>
          <w:szCs w:val="22"/>
          <w:lang w:val="en-US" w:eastAsia="zh-CN"/>
        </w:rPr>
        <w:t>2</w:t>
      </w:r>
      <w:r>
        <w:rPr>
          <w:rFonts w:hint="default" w:ascii="Times New Roman" w:hAnsi="Times New Roman" w:cs="Times New Roman"/>
          <w:bCs/>
          <w:sz w:val="22"/>
          <w:szCs w:val="22"/>
        </w:rPr>
        <w:t xml:space="preserve"> immune cell clusters were identified. </w:t>
      </w:r>
      <w:r>
        <w:rPr>
          <w:rFonts w:hint="default" w:ascii="Times New Roman" w:hAnsi="Times New Roman" w:cs="Times New Roman"/>
          <w:b/>
          <w:sz w:val="22"/>
          <w:szCs w:val="22"/>
        </w:rPr>
        <w:t>(B)</w:t>
      </w:r>
      <w:r>
        <w:rPr>
          <w:rFonts w:hint="default" w:ascii="Times New Roman" w:hAnsi="Times New Roman" w:cs="Times New Roman"/>
          <w:bCs/>
          <w:sz w:val="22"/>
          <w:szCs w:val="22"/>
        </w:rPr>
        <w:t xml:space="preserve"> UMAP embeddings of snRNA-seq data for each group: The circle marks the monocytes/neutrophils cluster. </w:t>
      </w:r>
      <w:r>
        <w:rPr>
          <w:rFonts w:hint="default" w:ascii="Times New Roman" w:hAnsi="Times New Roman" w:cs="Times New Roman"/>
          <w:b/>
          <w:sz w:val="22"/>
          <w:szCs w:val="22"/>
        </w:rPr>
        <w:t>(C)</w:t>
      </w:r>
      <w:r>
        <w:rPr>
          <w:rFonts w:hint="default" w:ascii="Times New Roman" w:hAnsi="Times New Roman" w:cs="Times New Roman"/>
          <w:bCs/>
          <w:sz w:val="22"/>
          <w:szCs w:val="22"/>
        </w:rPr>
        <w:t xml:space="preserve"> Stacked bar graphs depicting the alterations in the percentage of different immune cell clusters between groups. </w:t>
      </w:r>
      <w:r>
        <w:rPr>
          <w:rFonts w:hint="default" w:ascii="Times New Roman" w:hAnsi="Times New Roman" w:cs="Times New Roman"/>
          <w:b/>
          <w:sz w:val="22"/>
          <w:szCs w:val="22"/>
        </w:rPr>
        <w:t xml:space="preserve">(D-M) </w:t>
      </w:r>
      <w:r>
        <w:rPr>
          <w:rFonts w:hint="default" w:ascii="Times New Roman" w:hAnsi="Times New Roman" w:cs="Times New Roman"/>
          <w:bCs/>
          <w:sz w:val="22"/>
          <w:szCs w:val="22"/>
        </w:rPr>
        <w:t>Comparison of the percentage of different immune cell clusters in each group. Sham: Sham operation; 5/6Nx: 5/6 nephrectomized rat model; PBO: Placebo; TELM: Telmisartan; EMPA: Empagliflozin. Values displayed are mean ± SEM. Compared with the 5/6NX+PBO group, p&lt;0.05 is considered to be statistically significant. **p&lt;0.01.</w:t>
      </w:r>
      <w:r>
        <w:rPr>
          <w:rFonts w:hint="eastAsia" w:ascii="Times New Roman" w:hAnsi="Times New Roman" w:cs="Times New Roman"/>
          <w:bCs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/>
          <w:bCs/>
          <w:sz w:val="22"/>
          <w:lang w:val="en-US" w:eastAsia="zh-CN"/>
        </w:rPr>
        <w:t>One-way ANOVA with Bonferroni's post hoc test was used for between-group comparisons.</w:t>
      </w:r>
      <w:bookmarkStart w:id="1" w:name="_GoBack"/>
      <w:bookmarkEnd w:id="1"/>
    </w:p>
    <w:sectPr>
      <w:footerReference r:id="rId3" w:type="default"/>
      <w:pgSz w:w="11906" w:h="16838"/>
      <w:pgMar w:top="1440" w:right="1800" w:bottom="1440" w:left="1800" w:header="720" w:footer="720" w:gutter="0"/>
      <w:lnNumType w:countBy="1" w:restart="continuous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3E89C6">
    <w:pPr>
      <w:pStyle w:val="4"/>
      <w:suppressLineNumbers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D8FFAF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zSVju0AAAAAUBAAAP&#10;AAAAAAAAAAEAIAAAACIAAABkcnMvZG93bnJldi54bWxQSwECFAAUAAAACACHTuJAXC3l+iACAABg&#10;BAAADgAAAAAAAAABACAAAAAfAQAAZHJzL2Uyb0RvYy54bWxQSwUGAAAAAAYABgBZAQAAs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7D8FFAF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E0B661"/>
    <w:multiLevelType w:val="singleLevel"/>
    <w:tmpl w:val="BEE0B661"/>
    <w:lvl w:ilvl="0" w:tentative="0">
      <w:start w:val="5"/>
      <w:numFmt w:val="upperLetter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F2CCA"/>
    <w:rsid w:val="67081A82"/>
    <w:rsid w:val="68073A4C"/>
    <w:rsid w:val="738F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Hyperlink"/>
    <w:basedOn w:val="2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2025-04-07T13:41:00Z</dcterms:created>
  <dc:creator>58208</dc:creator>
  <cp:lastModifiedBy>WPS_1722854528</cp:lastModifiedBy>
  <dcterms:modified xsi:type="dcterms:W3CDTF">2025-05-05T07:04:35Z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BF73F983988A4F60A0DED53E3978536B_11</vt:lpwstr>
  </property>
</Properties>
</file>