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5C82" w14:textId="4600FA36" w:rsidR="00680E4F" w:rsidRDefault="00680E4F">
      <w:pPr>
        <w:spacing w:after="160" w:line="259" w:lineRule="auto"/>
      </w:pPr>
    </w:p>
    <w:tbl>
      <w:tblPr>
        <w:tblStyle w:val="TableGrid"/>
        <w:tblW w:w="10435" w:type="dxa"/>
        <w:jc w:val="center"/>
        <w:tblLayout w:type="fixed"/>
        <w:tblLook w:val="0420" w:firstRow="1" w:lastRow="0" w:firstColumn="0" w:lastColumn="0" w:noHBand="0" w:noVBand="1"/>
      </w:tblPr>
      <w:tblGrid>
        <w:gridCol w:w="4350"/>
        <w:gridCol w:w="1465"/>
        <w:gridCol w:w="1560"/>
        <w:gridCol w:w="1370"/>
        <w:gridCol w:w="1690"/>
      </w:tblGrid>
      <w:tr w:rsidR="00FE050A" w:rsidRPr="00FE050A" w14:paraId="1777635E" w14:textId="77777777" w:rsidTr="008F6A57">
        <w:trPr>
          <w:trHeight w:val="381"/>
          <w:jc w:val="center"/>
        </w:trPr>
        <w:tc>
          <w:tcPr>
            <w:tcW w:w="10435" w:type="dxa"/>
            <w:gridSpan w:val="5"/>
          </w:tcPr>
          <w:p w14:paraId="081B3971" w14:textId="77777777" w:rsidR="00FE050A" w:rsidRPr="00FE050A" w:rsidRDefault="00FE050A" w:rsidP="008F6A57">
            <w:pPr>
              <w:rPr>
                <w:rFonts w:asciiTheme="majorBidi" w:hAnsiTheme="majorBidi" w:cstheme="majorBidi"/>
                <w:iCs/>
                <w:lang w:val="en-US"/>
              </w:rPr>
            </w:pPr>
            <w:r w:rsidRPr="00C62202">
              <w:rPr>
                <w:rFonts w:asciiTheme="majorBidi" w:hAnsiTheme="majorBidi" w:cstheme="majorBidi"/>
                <w:b/>
                <w:bCs/>
                <w:iCs/>
                <w:lang w:val="en-US"/>
              </w:rPr>
              <w:t>Supplementary Table 1.</w:t>
            </w:r>
            <w:r w:rsidRPr="00FE050A">
              <w:rPr>
                <w:rFonts w:asciiTheme="majorBidi" w:hAnsiTheme="majorBidi" w:cstheme="majorBidi"/>
                <w:iCs/>
                <w:lang w:val="en-US"/>
              </w:rPr>
              <w:t xml:space="preserve"> Onset clinical presentation in MOGAD and AQP4-NMOSD patients, stratified by presence or absence of autoimmune diseases (AID).</w:t>
            </w:r>
          </w:p>
        </w:tc>
      </w:tr>
      <w:tr w:rsidR="00FE050A" w:rsidRPr="00CA2A05" w14:paraId="409F0137" w14:textId="77777777" w:rsidTr="008F6A57">
        <w:trPr>
          <w:trHeight w:val="381"/>
          <w:jc w:val="center"/>
        </w:trPr>
        <w:tc>
          <w:tcPr>
            <w:tcW w:w="4350" w:type="dxa"/>
            <w:vMerge w:val="restart"/>
          </w:tcPr>
          <w:p w14:paraId="5A2BD348" w14:textId="77777777" w:rsidR="00FE050A" w:rsidRPr="00CA2A05" w:rsidRDefault="00FE050A" w:rsidP="008F6A57">
            <w:pPr>
              <w:jc w:val="both"/>
              <w:rPr>
                <w:rFonts w:asciiTheme="majorBidi" w:hAnsiTheme="majorBidi" w:cstheme="majorBidi"/>
                <w:iCs/>
                <w:sz w:val="22"/>
                <w:szCs w:val="22"/>
                <w:lang w:val="en-US"/>
              </w:rPr>
            </w:pPr>
          </w:p>
        </w:tc>
        <w:tc>
          <w:tcPr>
            <w:tcW w:w="3025" w:type="dxa"/>
            <w:gridSpan w:val="2"/>
          </w:tcPr>
          <w:p w14:paraId="5E554B98" w14:textId="77777777" w:rsidR="00FE050A" w:rsidRPr="00CA2A05" w:rsidRDefault="00FE050A" w:rsidP="008F6A57">
            <w:pPr>
              <w:jc w:val="center"/>
              <w:rPr>
                <w:rFonts w:asciiTheme="majorBidi" w:hAnsiTheme="majorBidi" w:cstheme="majorBidi"/>
                <w:iCs/>
                <w:lang w:val="en-US"/>
              </w:rPr>
            </w:pPr>
            <w:r w:rsidRPr="00CA2A05">
              <w:rPr>
                <w:rFonts w:asciiTheme="majorBidi" w:hAnsiTheme="majorBidi" w:cstheme="majorBidi"/>
                <w:iCs/>
                <w:lang w:val="en-US"/>
              </w:rPr>
              <w:t>MOGAD</w:t>
            </w:r>
          </w:p>
        </w:tc>
        <w:tc>
          <w:tcPr>
            <w:tcW w:w="3060" w:type="dxa"/>
            <w:gridSpan w:val="2"/>
          </w:tcPr>
          <w:p w14:paraId="0941E947" w14:textId="77777777" w:rsidR="00FE050A" w:rsidRPr="00CA2A05" w:rsidRDefault="00FE050A" w:rsidP="008F6A57">
            <w:pPr>
              <w:jc w:val="center"/>
              <w:rPr>
                <w:rFonts w:asciiTheme="majorBidi" w:hAnsiTheme="majorBidi" w:cstheme="majorBidi"/>
                <w:iCs/>
                <w:lang w:val="en-US"/>
              </w:rPr>
            </w:pPr>
            <w:r w:rsidRPr="00CA2A05">
              <w:rPr>
                <w:rFonts w:asciiTheme="majorBidi" w:hAnsiTheme="majorBidi" w:cstheme="majorBidi"/>
                <w:iCs/>
                <w:lang w:val="en-US"/>
              </w:rPr>
              <w:t>AQP4-NMOSD</w:t>
            </w:r>
          </w:p>
        </w:tc>
      </w:tr>
      <w:tr w:rsidR="00FE050A" w:rsidRPr="00CA2A05" w14:paraId="58B6B78E" w14:textId="77777777" w:rsidTr="008F6A57">
        <w:trPr>
          <w:trHeight w:val="381"/>
          <w:jc w:val="center"/>
        </w:trPr>
        <w:tc>
          <w:tcPr>
            <w:tcW w:w="4350" w:type="dxa"/>
            <w:vMerge/>
          </w:tcPr>
          <w:p w14:paraId="2EFE6C34" w14:textId="77777777" w:rsidR="00FE050A" w:rsidRPr="00CA2A05" w:rsidRDefault="00FE050A" w:rsidP="008F6A57">
            <w:pPr>
              <w:rPr>
                <w:rFonts w:asciiTheme="majorBidi" w:hAnsiTheme="majorBidi" w:cstheme="majorBidi"/>
                <w:iCs/>
                <w:lang w:val="en-US"/>
              </w:rPr>
            </w:pPr>
            <w:bookmarkStart w:id="0" w:name="_Hlk198145165"/>
          </w:p>
        </w:tc>
        <w:tc>
          <w:tcPr>
            <w:tcW w:w="1465" w:type="dxa"/>
          </w:tcPr>
          <w:p w14:paraId="7189DCD5" w14:textId="77777777" w:rsidR="00FE050A" w:rsidRPr="00CA2A05" w:rsidRDefault="00FE050A" w:rsidP="008F6A57">
            <w:pPr>
              <w:jc w:val="center"/>
              <w:rPr>
                <w:rFonts w:asciiTheme="majorBidi" w:hAnsiTheme="majorBidi" w:cstheme="majorBidi"/>
                <w:iCs/>
                <w:lang w:val="en-US"/>
              </w:rPr>
            </w:pPr>
            <w:r w:rsidRPr="00CA2A05">
              <w:rPr>
                <w:rFonts w:asciiTheme="majorBidi" w:hAnsiTheme="majorBidi" w:cstheme="majorBidi"/>
                <w:iCs/>
                <w:lang w:val="en-US"/>
              </w:rPr>
              <w:t>With A</w:t>
            </w:r>
            <w:r w:rsidRPr="00FE050A">
              <w:rPr>
                <w:rFonts w:asciiTheme="majorBidi" w:hAnsiTheme="majorBidi" w:cstheme="majorBidi"/>
                <w:iCs/>
                <w:lang w:val="en-US"/>
              </w:rPr>
              <w:t>I</w:t>
            </w:r>
            <w:r w:rsidRPr="00CA2A05">
              <w:rPr>
                <w:rFonts w:asciiTheme="majorBidi" w:hAnsiTheme="majorBidi" w:cstheme="majorBidi"/>
                <w:iCs/>
                <w:lang w:val="en-US"/>
              </w:rPr>
              <w:t xml:space="preserve">D </w:t>
            </w:r>
          </w:p>
          <w:p w14:paraId="50E9BE54" w14:textId="77777777" w:rsidR="00FE050A" w:rsidRPr="00CA2A05" w:rsidRDefault="00FE050A" w:rsidP="008F6A57">
            <w:pPr>
              <w:jc w:val="center"/>
              <w:rPr>
                <w:rFonts w:asciiTheme="majorBidi" w:hAnsiTheme="majorBidi" w:cstheme="majorBidi"/>
                <w:iCs/>
                <w:lang w:val="en-US"/>
              </w:rPr>
            </w:pPr>
            <w:r w:rsidRPr="00CA2A05">
              <w:rPr>
                <w:rFonts w:asciiTheme="majorBidi" w:hAnsiTheme="majorBidi" w:cstheme="majorBidi"/>
                <w:iCs/>
                <w:lang w:val="en-US"/>
              </w:rPr>
              <w:t>(25)</w:t>
            </w:r>
          </w:p>
        </w:tc>
        <w:tc>
          <w:tcPr>
            <w:tcW w:w="1560" w:type="dxa"/>
          </w:tcPr>
          <w:p w14:paraId="32378C89" w14:textId="77777777" w:rsidR="00FE050A" w:rsidRPr="00CA2A05" w:rsidRDefault="00FE050A" w:rsidP="008F6A57">
            <w:pPr>
              <w:jc w:val="center"/>
              <w:rPr>
                <w:rFonts w:asciiTheme="majorBidi" w:hAnsiTheme="majorBidi" w:cstheme="majorBidi"/>
                <w:iCs/>
                <w:lang w:val="en-US"/>
              </w:rPr>
            </w:pPr>
            <w:r w:rsidRPr="00CA2A05">
              <w:rPr>
                <w:rFonts w:asciiTheme="majorBidi" w:hAnsiTheme="majorBidi" w:cstheme="majorBidi"/>
                <w:iCs/>
                <w:lang w:val="en-US"/>
              </w:rPr>
              <w:t>Without A</w:t>
            </w:r>
            <w:r w:rsidRPr="00FE050A">
              <w:rPr>
                <w:rFonts w:asciiTheme="majorBidi" w:hAnsiTheme="majorBidi" w:cstheme="majorBidi"/>
                <w:iCs/>
                <w:lang w:val="en-US"/>
              </w:rPr>
              <w:t>I</w:t>
            </w:r>
            <w:r w:rsidRPr="00CA2A05">
              <w:rPr>
                <w:rFonts w:asciiTheme="majorBidi" w:hAnsiTheme="majorBidi" w:cstheme="majorBidi"/>
                <w:iCs/>
                <w:lang w:val="en-US"/>
              </w:rPr>
              <w:t>D (196)</w:t>
            </w:r>
          </w:p>
        </w:tc>
        <w:tc>
          <w:tcPr>
            <w:tcW w:w="1370" w:type="dxa"/>
          </w:tcPr>
          <w:p w14:paraId="18172C74" w14:textId="77777777" w:rsidR="00FE050A" w:rsidRPr="00CA2A05" w:rsidRDefault="00FE050A" w:rsidP="008F6A57">
            <w:pPr>
              <w:jc w:val="center"/>
              <w:rPr>
                <w:rFonts w:asciiTheme="majorBidi" w:hAnsiTheme="majorBidi" w:cstheme="majorBidi"/>
                <w:iCs/>
                <w:lang w:val="en-US"/>
              </w:rPr>
            </w:pPr>
            <w:r w:rsidRPr="00CA2A05">
              <w:rPr>
                <w:rFonts w:asciiTheme="majorBidi" w:hAnsiTheme="majorBidi" w:cstheme="majorBidi"/>
                <w:iCs/>
                <w:lang w:val="en-US"/>
              </w:rPr>
              <w:t>With A</w:t>
            </w:r>
            <w:r w:rsidRPr="00FE050A">
              <w:rPr>
                <w:rFonts w:asciiTheme="majorBidi" w:hAnsiTheme="majorBidi" w:cstheme="majorBidi"/>
                <w:iCs/>
                <w:lang w:val="en-US"/>
              </w:rPr>
              <w:t>I</w:t>
            </w:r>
            <w:r w:rsidRPr="00CA2A05">
              <w:rPr>
                <w:rFonts w:asciiTheme="majorBidi" w:hAnsiTheme="majorBidi" w:cstheme="majorBidi"/>
                <w:iCs/>
                <w:lang w:val="en-US"/>
              </w:rPr>
              <w:t>D</w:t>
            </w:r>
          </w:p>
          <w:p w14:paraId="4C1118F5" w14:textId="77777777" w:rsidR="00FE050A" w:rsidRPr="00CA2A05" w:rsidRDefault="00FE050A" w:rsidP="008F6A57">
            <w:pPr>
              <w:jc w:val="center"/>
              <w:rPr>
                <w:rFonts w:asciiTheme="majorBidi" w:hAnsiTheme="majorBidi" w:cstheme="majorBidi"/>
                <w:iCs/>
                <w:lang w:val="en-US"/>
              </w:rPr>
            </w:pPr>
            <w:r w:rsidRPr="00CA2A05">
              <w:rPr>
                <w:rFonts w:asciiTheme="majorBidi" w:hAnsiTheme="majorBidi" w:cstheme="majorBidi"/>
                <w:iCs/>
                <w:lang w:val="en-US"/>
              </w:rPr>
              <w:t>(49)</w:t>
            </w:r>
          </w:p>
        </w:tc>
        <w:tc>
          <w:tcPr>
            <w:tcW w:w="1690" w:type="dxa"/>
          </w:tcPr>
          <w:p w14:paraId="46F75F65" w14:textId="77777777" w:rsidR="00FE050A" w:rsidRPr="00CA2A05" w:rsidRDefault="00FE050A" w:rsidP="008F6A57">
            <w:pPr>
              <w:jc w:val="center"/>
              <w:rPr>
                <w:rFonts w:asciiTheme="majorBidi" w:hAnsiTheme="majorBidi" w:cstheme="majorBidi"/>
                <w:iCs/>
                <w:lang w:val="en-US"/>
              </w:rPr>
            </w:pPr>
            <w:r w:rsidRPr="00CA2A05">
              <w:rPr>
                <w:rFonts w:asciiTheme="majorBidi" w:hAnsiTheme="majorBidi" w:cstheme="majorBidi"/>
                <w:iCs/>
                <w:lang w:val="en-US"/>
              </w:rPr>
              <w:t>Without A</w:t>
            </w:r>
            <w:r w:rsidRPr="00FE050A">
              <w:rPr>
                <w:rFonts w:asciiTheme="majorBidi" w:hAnsiTheme="majorBidi" w:cstheme="majorBidi"/>
                <w:iCs/>
                <w:lang w:val="en-US"/>
              </w:rPr>
              <w:t>I</w:t>
            </w:r>
            <w:r w:rsidRPr="00CA2A05">
              <w:rPr>
                <w:rFonts w:asciiTheme="majorBidi" w:hAnsiTheme="majorBidi" w:cstheme="majorBidi"/>
                <w:iCs/>
                <w:lang w:val="en-US"/>
              </w:rPr>
              <w:t>D</w:t>
            </w:r>
          </w:p>
          <w:p w14:paraId="1B139137" w14:textId="77777777" w:rsidR="00FE050A" w:rsidRPr="00CA2A05" w:rsidRDefault="00FE050A" w:rsidP="008F6A57">
            <w:pPr>
              <w:jc w:val="center"/>
              <w:rPr>
                <w:rFonts w:asciiTheme="majorBidi" w:hAnsiTheme="majorBidi" w:cstheme="majorBidi"/>
                <w:iCs/>
                <w:lang w:val="en-US"/>
              </w:rPr>
            </w:pPr>
            <w:r w:rsidRPr="00CA2A05">
              <w:rPr>
                <w:rFonts w:asciiTheme="majorBidi" w:hAnsiTheme="majorBidi" w:cstheme="majorBidi"/>
                <w:iCs/>
                <w:lang w:val="en-US"/>
              </w:rPr>
              <w:t>(126)</w:t>
            </w:r>
          </w:p>
        </w:tc>
      </w:tr>
      <w:bookmarkEnd w:id="0"/>
      <w:tr w:rsidR="00FE050A" w:rsidRPr="00CA2A05" w14:paraId="714E8C8B" w14:textId="77777777" w:rsidTr="008F6A57">
        <w:trPr>
          <w:trHeight w:val="2247"/>
          <w:jc w:val="center"/>
        </w:trPr>
        <w:tc>
          <w:tcPr>
            <w:tcW w:w="4350" w:type="dxa"/>
          </w:tcPr>
          <w:p w14:paraId="74ACB4D9" w14:textId="77777777" w:rsidR="00FE050A" w:rsidRPr="00CA2A05" w:rsidRDefault="00FE050A" w:rsidP="008F6A57">
            <w:pPr>
              <w:rPr>
                <w:rFonts w:asciiTheme="majorBidi" w:hAnsiTheme="majorBidi" w:cstheme="majorBidi"/>
                <w:iCs/>
                <w:lang w:val="en-US"/>
              </w:rPr>
            </w:pPr>
            <w:r w:rsidRPr="00CA2A05">
              <w:rPr>
                <w:rFonts w:asciiTheme="majorBidi" w:hAnsiTheme="majorBidi" w:cstheme="majorBidi"/>
                <w:iCs/>
                <w:lang w:val="en-US"/>
              </w:rPr>
              <w:t>Presentation of onset attack (</w:t>
            </w:r>
            <w:r w:rsidRPr="00FE050A">
              <w:rPr>
                <w:rFonts w:asciiTheme="majorBidi" w:hAnsiTheme="majorBidi" w:cstheme="majorBidi"/>
                <w:iCs/>
                <w:lang w:val="en-US"/>
              </w:rPr>
              <w:t>No</w:t>
            </w:r>
            <w:r w:rsidRPr="00CA2A05">
              <w:rPr>
                <w:rFonts w:asciiTheme="majorBidi" w:hAnsiTheme="majorBidi" w:cstheme="majorBidi"/>
                <w:iCs/>
                <w:lang w:val="en-US"/>
              </w:rPr>
              <w:t>)</w:t>
            </w:r>
          </w:p>
          <w:p w14:paraId="20A2E91D" w14:textId="77777777" w:rsidR="00FE050A" w:rsidRPr="00CA2A05" w:rsidRDefault="00FE050A" w:rsidP="008F6A57">
            <w:pPr>
              <w:rPr>
                <w:rFonts w:asciiTheme="majorBidi" w:hAnsiTheme="majorBidi" w:cstheme="majorBidi"/>
                <w:iCs/>
                <w:lang w:val="en-US"/>
              </w:rPr>
            </w:pPr>
            <w:r w:rsidRPr="00CA2A05">
              <w:rPr>
                <w:rFonts w:asciiTheme="majorBidi" w:hAnsiTheme="majorBidi" w:cstheme="majorBidi"/>
                <w:iCs/>
                <w:lang w:val="en-US"/>
              </w:rPr>
              <w:t xml:space="preserve">             -</w:t>
            </w:r>
            <w:r w:rsidRPr="00FE050A">
              <w:rPr>
                <w:rFonts w:asciiTheme="majorBidi" w:hAnsiTheme="majorBidi" w:cstheme="majorBidi"/>
                <w:iCs/>
                <w:lang w:val="en-US"/>
              </w:rPr>
              <w:t>Optic Neuritis</w:t>
            </w:r>
          </w:p>
          <w:p w14:paraId="24D5AFD0" w14:textId="77777777" w:rsidR="00FE050A" w:rsidRPr="00CA2A05" w:rsidRDefault="00FE050A" w:rsidP="008F6A57">
            <w:pPr>
              <w:rPr>
                <w:rFonts w:asciiTheme="majorBidi" w:hAnsiTheme="majorBidi" w:cstheme="majorBidi"/>
                <w:iCs/>
                <w:lang w:val="en-US"/>
              </w:rPr>
            </w:pPr>
            <w:r w:rsidRPr="00CA2A05">
              <w:rPr>
                <w:rFonts w:asciiTheme="majorBidi" w:hAnsiTheme="majorBidi" w:cstheme="majorBidi"/>
                <w:iCs/>
                <w:lang w:val="en-US"/>
              </w:rPr>
              <w:t xml:space="preserve">             -Brain</w:t>
            </w:r>
          </w:p>
          <w:p w14:paraId="34C693D5" w14:textId="77777777" w:rsidR="00FE050A" w:rsidRPr="00CA2A05" w:rsidRDefault="00FE050A" w:rsidP="008F6A57">
            <w:pPr>
              <w:rPr>
                <w:rFonts w:asciiTheme="majorBidi" w:hAnsiTheme="majorBidi" w:cstheme="majorBidi"/>
                <w:iCs/>
                <w:lang w:val="en-US"/>
              </w:rPr>
            </w:pPr>
            <w:r w:rsidRPr="00CA2A05">
              <w:rPr>
                <w:rFonts w:asciiTheme="majorBidi" w:hAnsiTheme="majorBidi" w:cstheme="majorBidi"/>
                <w:iCs/>
                <w:lang w:val="en-US"/>
              </w:rPr>
              <w:t xml:space="preserve">              -</w:t>
            </w:r>
            <w:r w:rsidRPr="00FE050A">
              <w:rPr>
                <w:rFonts w:asciiTheme="majorBidi" w:hAnsiTheme="majorBidi" w:cstheme="majorBidi"/>
                <w:iCs/>
                <w:lang w:val="en-US"/>
              </w:rPr>
              <w:t>ADEM with encephalopathy</w:t>
            </w:r>
          </w:p>
          <w:p w14:paraId="412220FB" w14:textId="77777777" w:rsidR="00FE050A" w:rsidRPr="00CA2A05" w:rsidRDefault="00FE050A" w:rsidP="008F6A57">
            <w:pPr>
              <w:rPr>
                <w:rFonts w:asciiTheme="majorBidi" w:hAnsiTheme="majorBidi" w:cstheme="majorBidi"/>
                <w:iCs/>
                <w:lang w:val="en-US"/>
              </w:rPr>
            </w:pPr>
            <w:r w:rsidRPr="00CA2A05">
              <w:rPr>
                <w:rFonts w:asciiTheme="majorBidi" w:hAnsiTheme="majorBidi" w:cstheme="majorBidi"/>
                <w:iCs/>
                <w:lang w:val="en-US"/>
              </w:rPr>
              <w:t xml:space="preserve">             -</w:t>
            </w:r>
            <w:r w:rsidRPr="00FE050A">
              <w:rPr>
                <w:rFonts w:asciiTheme="majorBidi" w:hAnsiTheme="majorBidi" w:cstheme="majorBidi"/>
                <w:iCs/>
                <w:lang w:val="en-US"/>
              </w:rPr>
              <w:t>ADEM without encephalopathy</w:t>
            </w:r>
          </w:p>
          <w:p w14:paraId="5558056A" w14:textId="77777777" w:rsidR="00FE050A" w:rsidRPr="00CA2A05" w:rsidRDefault="00FE050A" w:rsidP="008F6A57">
            <w:pPr>
              <w:rPr>
                <w:rFonts w:asciiTheme="majorBidi" w:hAnsiTheme="majorBidi" w:cstheme="majorBidi"/>
                <w:iCs/>
                <w:lang w:val="en-US"/>
              </w:rPr>
            </w:pPr>
            <w:r w:rsidRPr="00CA2A05">
              <w:rPr>
                <w:rFonts w:asciiTheme="majorBidi" w:hAnsiTheme="majorBidi" w:cstheme="majorBidi"/>
                <w:iCs/>
                <w:lang w:val="en-US"/>
              </w:rPr>
              <w:t xml:space="preserve">             -</w:t>
            </w:r>
            <w:r w:rsidRPr="00FE050A">
              <w:rPr>
                <w:rFonts w:asciiTheme="majorBidi" w:hAnsiTheme="majorBidi" w:cstheme="majorBidi"/>
                <w:iCs/>
                <w:lang w:val="en-US"/>
              </w:rPr>
              <w:t>Transverse Myelitis</w:t>
            </w:r>
          </w:p>
          <w:p w14:paraId="2CD4913F" w14:textId="77777777" w:rsidR="00FE050A" w:rsidRPr="00CA2A05" w:rsidRDefault="00FE050A" w:rsidP="008F6A57">
            <w:pPr>
              <w:rPr>
                <w:rFonts w:asciiTheme="majorBidi" w:hAnsiTheme="majorBidi" w:cstheme="majorBidi"/>
                <w:iCs/>
                <w:lang w:val="en-US"/>
              </w:rPr>
            </w:pPr>
            <w:r w:rsidRPr="00CA2A05">
              <w:rPr>
                <w:rFonts w:asciiTheme="majorBidi" w:hAnsiTheme="majorBidi" w:cstheme="majorBidi"/>
                <w:iCs/>
                <w:lang w:val="en-US"/>
              </w:rPr>
              <w:t xml:space="preserve">             -</w:t>
            </w:r>
            <w:r w:rsidRPr="00FE050A">
              <w:rPr>
                <w:rFonts w:asciiTheme="majorBidi" w:hAnsiTheme="majorBidi" w:cstheme="majorBidi"/>
                <w:iCs/>
                <w:lang w:val="en-US"/>
              </w:rPr>
              <w:t>Brainstem/Cerebellar</w:t>
            </w:r>
          </w:p>
          <w:p w14:paraId="71D4DA47" w14:textId="77777777" w:rsidR="00FE050A" w:rsidRPr="00CA2A05" w:rsidRDefault="00FE050A" w:rsidP="008F6A57">
            <w:pPr>
              <w:rPr>
                <w:rFonts w:asciiTheme="majorBidi" w:hAnsiTheme="majorBidi" w:cstheme="majorBidi"/>
                <w:iCs/>
                <w:lang w:val="en-US"/>
              </w:rPr>
            </w:pPr>
            <w:r w:rsidRPr="00CA2A05">
              <w:rPr>
                <w:rFonts w:asciiTheme="majorBidi" w:hAnsiTheme="majorBidi" w:cstheme="majorBidi"/>
                <w:iCs/>
                <w:lang w:val="en-US"/>
              </w:rPr>
              <w:t xml:space="preserve">             -</w:t>
            </w:r>
            <w:r w:rsidRPr="00FE050A">
              <w:rPr>
                <w:rFonts w:asciiTheme="majorBidi" w:hAnsiTheme="majorBidi" w:cstheme="majorBidi"/>
                <w:iCs/>
                <w:lang w:val="en-US"/>
              </w:rPr>
              <w:t>Cortical/Cerebellar/Encephalitis</w:t>
            </w:r>
          </w:p>
          <w:p w14:paraId="0DC6BF12" w14:textId="77777777" w:rsidR="00FE050A" w:rsidRPr="00CA2A05" w:rsidRDefault="00FE050A" w:rsidP="008F6A57">
            <w:pPr>
              <w:rPr>
                <w:rFonts w:asciiTheme="majorBidi" w:hAnsiTheme="majorBidi" w:cstheme="majorBidi"/>
                <w:iCs/>
                <w:lang w:val="en-US"/>
              </w:rPr>
            </w:pPr>
            <w:r w:rsidRPr="00CA2A05">
              <w:rPr>
                <w:rFonts w:asciiTheme="majorBidi" w:hAnsiTheme="majorBidi" w:cstheme="majorBidi"/>
                <w:iCs/>
                <w:lang w:val="en-US"/>
              </w:rPr>
              <w:t xml:space="preserve">             -Others </w:t>
            </w:r>
          </w:p>
        </w:tc>
        <w:tc>
          <w:tcPr>
            <w:tcW w:w="1465" w:type="dxa"/>
          </w:tcPr>
          <w:p w14:paraId="1C9CD0F6" w14:textId="77777777" w:rsidR="00FE050A" w:rsidRPr="00CA2A05" w:rsidRDefault="00FE050A" w:rsidP="008F6A57">
            <w:pPr>
              <w:jc w:val="center"/>
              <w:rPr>
                <w:rFonts w:asciiTheme="majorBidi" w:hAnsiTheme="majorBidi" w:cstheme="majorBidi"/>
                <w:iCs/>
                <w:lang w:val="en-US"/>
              </w:rPr>
            </w:pPr>
          </w:p>
          <w:p w14:paraId="4709226B"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19</w:t>
            </w:r>
          </w:p>
          <w:p w14:paraId="447A2D6D"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3</w:t>
            </w:r>
          </w:p>
          <w:p w14:paraId="1E2D7E2D"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0</w:t>
            </w:r>
          </w:p>
          <w:p w14:paraId="524E3414"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0</w:t>
            </w:r>
          </w:p>
          <w:p w14:paraId="1D30B1CB"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3</w:t>
            </w:r>
          </w:p>
          <w:p w14:paraId="70217A02"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2</w:t>
            </w:r>
          </w:p>
          <w:p w14:paraId="4F528095"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1</w:t>
            </w:r>
          </w:p>
          <w:p w14:paraId="2B1BB6A9" w14:textId="77777777" w:rsidR="00FE050A" w:rsidRPr="00CA2A05" w:rsidRDefault="00FE050A" w:rsidP="008F6A57">
            <w:pPr>
              <w:rPr>
                <w:rFonts w:asciiTheme="majorBidi" w:hAnsiTheme="majorBidi" w:cstheme="majorBidi"/>
                <w:iCs/>
                <w:lang w:val="en-US"/>
              </w:rPr>
            </w:pPr>
            <w:r w:rsidRPr="00FE050A">
              <w:rPr>
                <w:rFonts w:asciiTheme="majorBidi" w:hAnsiTheme="majorBidi" w:cstheme="majorBidi"/>
                <w:iCs/>
                <w:lang w:val="en-US"/>
              </w:rPr>
              <w:t xml:space="preserve">         </w:t>
            </w:r>
            <w:r w:rsidRPr="00CA2A05">
              <w:rPr>
                <w:rFonts w:asciiTheme="majorBidi" w:hAnsiTheme="majorBidi" w:cstheme="majorBidi"/>
                <w:iCs/>
                <w:lang w:val="en-US"/>
              </w:rPr>
              <w:t>2</w:t>
            </w:r>
          </w:p>
          <w:p w14:paraId="613B45C3" w14:textId="77777777" w:rsidR="00FE050A" w:rsidRPr="00CA2A05" w:rsidRDefault="00FE050A" w:rsidP="008F6A57">
            <w:pPr>
              <w:jc w:val="center"/>
              <w:rPr>
                <w:rFonts w:asciiTheme="majorBidi" w:hAnsiTheme="majorBidi" w:cstheme="majorBidi"/>
                <w:iCs/>
                <w:lang w:val="en-US"/>
              </w:rPr>
            </w:pPr>
          </w:p>
        </w:tc>
        <w:tc>
          <w:tcPr>
            <w:tcW w:w="1560" w:type="dxa"/>
          </w:tcPr>
          <w:p w14:paraId="39F037E9" w14:textId="77777777" w:rsidR="00FE050A" w:rsidRPr="00CA2A05" w:rsidRDefault="00FE050A" w:rsidP="008F6A57">
            <w:pPr>
              <w:jc w:val="center"/>
              <w:rPr>
                <w:rFonts w:asciiTheme="majorBidi" w:hAnsiTheme="majorBidi" w:cstheme="majorBidi"/>
                <w:iCs/>
                <w:lang w:val="en-US"/>
              </w:rPr>
            </w:pPr>
          </w:p>
          <w:p w14:paraId="4F9DB8F7"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145</w:t>
            </w:r>
          </w:p>
          <w:p w14:paraId="70CDB4F8"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5</w:t>
            </w:r>
          </w:p>
          <w:p w14:paraId="1EA474BF"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1</w:t>
            </w:r>
          </w:p>
          <w:p w14:paraId="261F9788"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4</w:t>
            </w:r>
          </w:p>
          <w:p w14:paraId="25051593"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14</w:t>
            </w:r>
          </w:p>
          <w:p w14:paraId="4F1961B9"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1</w:t>
            </w:r>
          </w:p>
          <w:p w14:paraId="1BC6CE53"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0</w:t>
            </w:r>
          </w:p>
          <w:p w14:paraId="34E61102"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7</w:t>
            </w:r>
          </w:p>
          <w:p w14:paraId="79273ECF" w14:textId="77777777" w:rsidR="00FE050A" w:rsidRPr="00CA2A05" w:rsidRDefault="00FE050A" w:rsidP="008F6A57">
            <w:pPr>
              <w:jc w:val="center"/>
              <w:rPr>
                <w:rFonts w:asciiTheme="majorBidi" w:hAnsiTheme="majorBidi" w:cstheme="majorBidi"/>
                <w:iCs/>
                <w:lang w:val="en-US"/>
              </w:rPr>
            </w:pPr>
          </w:p>
        </w:tc>
        <w:tc>
          <w:tcPr>
            <w:tcW w:w="1370" w:type="dxa"/>
          </w:tcPr>
          <w:p w14:paraId="71A1772B" w14:textId="77777777" w:rsidR="00FE050A" w:rsidRPr="00CA2A05" w:rsidRDefault="00FE050A" w:rsidP="008F6A57">
            <w:pPr>
              <w:jc w:val="center"/>
              <w:rPr>
                <w:rFonts w:asciiTheme="majorBidi" w:hAnsiTheme="majorBidi" w:cstheme="majorBidi"/>
                <w:iCs/>
                <w:lang w:val="en-US"/>
              </w:rPr>
            </w:pPr>
          </w:p>
          <w:p w14:paraId="5A65A315"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23</w:t>
            </w:r>
          </w:p>
          <w:p w14:paraId="082E3D37"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3</w:t>
            </w:r>
          </w:p>
          <w:p w14:paraId="70EF1FA0" w14:textId="77777777" w:rsidR="00FE050A" w:rsidRPr="00CA2A05" w:rsidRDefault="00FE050A" w:rsidP="008F6A57">
            <w:pPr>
              <w:jc w:val="center"/>
              <w:rPr>
                <w:rFonts w:asciiTheme="majorBidi" w:hAnsiTheme="majorBidi" w:cstheme="majorBidi"/>
                <w:iCs/>
                <w:lang w:val="en-US"/>
              </w:rPr>
            </w:pPr>
            <w:r w:rsidRPr="00CA2A05">
              <w:rPr>
                <w:rFonts w:asciiTheme="majorBidi" w:hAnsiTheme="majorBidi" w:cstheme="majorBidi"/>
                <w:iCs/>
                <w:lang w:val="en-US"/>
              </w:rPr>
              <w:t>0</w:t>
            </w:r>
          </w:p>
          <w:p w14:paraId="209D2341" w14:textId="77777777" w:rsidR="00FE050A" w:rsidRPr="00CA2A05" w:rsidRDefault="00FE050A" w:rsidP="008F6A57">
            <w:pPr>
              <w:jc w:val="center"/>
              <w:rPr>
                <w:rFonts w:asciiTheme="majorBidi" w:hAnsiTheme="majorBidi" w:cstheme="majorBidi"/>
                <w:iCs/>
                <w:lang w:val="en-US"/>
              </w:rPr>
            </w:pPr>
            <w:r w:rsidRPr="00CA2A05">
              <w:rPr>
                <w:rFonts w:asciiTheme="majorBidi" w:hAnsiTheme="majorBidi" w:cstheme="majorBidi"/>
                <w:iCs/>
                <w:lang w:val="en-US"/>
              </w:rPr>
              <w:t>0</w:t>
            </w:r>
          </w:p>
          <w:p w14:paraId="475E3E45"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2</w:t>
            </w:r>
          </w:p>
          <w:p w14:paraId="0587A5C0"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3</w:t>
            </w:r>
          </w:p>
          <w:p w14:paraId="3FEE7192"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0</w:t>
            </w:r>
          </w:p>
          <w:p w14:paraId="3987B812"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7</w:t>
            </w:r>
          </w:p>
          <w:p w14:paraId="26AD4FB3" w14:textId="77777777" w:rsidR="00FE050A" w:rsidRPr="00CA2A05" w:rsidRDefault="00FE050A" w:rsidP="008F6A57">
            <w:pPr>
              <w:jc w:val="center"/>
              <w:rPr>
                <w:rFonts w:asciiTheme="majorBidi" w:hAnsiTheme="majorBidi" w:cstheme="majorBidi"/>
                <w:iCs/>
                <w:lang w:val="en-US"/>
              </w:rPr>
            </w:pPr>
          </w:p>
        </w:tc>
        <w:tc>
          <w:tcPr>
            <w:tcW w:w="1690" w:type="dxa"/>
          </w:tcPr>
          <w:p w14:paraId="61D7529A" w14:textId="77777777" w:rsidR="00FE050A" w:rsidRPr="00CA2A05" w:rsidRDefault="00FE050A" w:rsidP="008F6A57">
            <w:pPr>
              <w:jc w:val="center"/>
              <w:rPr>
                <w:rFonts w:asciiTheme="majorBidi" w:hAnsiTheme="majorBidi" w:cstheme="majorBidi"/>
                <w:iCs/>
                <w:lang w:val="en-US"/>
              </w:rPr>
            </w:pPr>
          </w:p>
          <w:p w14:paraId="1C88D037"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42</w:t>
            </w:r>
          </w:p>
          <w:p w14:paraId="47A88188"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9</w:t>
            </w:r>
          </w:p>
          <w:p w14:paraId="267E170C" w14:textId="77777777" w:rsidR="00FE050A" w:rsidRPr="00CA2A05" w:rsidRDefault="00FE050A" w:rsidP="008F6A57">
            <w:pPr>
              <w:jc w:val="center"/>
              <w:rPr>
                <w:rFonts w:asciiTheme="majorBidi" w:hAnsiTheme="majorBidi" w:cstheme="majorBidi"/>
                <w:iCs/>
                <w:lang w:val="en-US"/>
              </w:rPr>
            </w:pPr>
            <w:r w:rsidRPr="00CA2A05">
              <w:rPr>
                <w:rFonts w:asciiTheme="majorBidi" w:hAnsiTheme="majorBidi" w:cstheme="majorBidi"/>
                <w:iCs/>
                <w:lang w:val="en-US"/>
              </w:rPr>
              <w:t>0</w:t>
            </w:r>
          </w:p>
          <w:p w14:paraId="4E46FCA1" w14:textId="77777777" w:rsidR="00FE050A" w:rsidRPr="00CA2A05" w:rsidRDefault="00FE050A" w:rsidP="008F6A57">
            <w:pPr>
              <w:jc w:val="center"/>
              <w:rPr>
                <w:rFonts w:asciiTheme="majorBidi" w:hAnsiTheme="majorBidi" w:cstheme="majorBidi"/>
                <w:iCs/>
                <w:lang w:val="en-US"/>
              </w:rPr>
            </w:pPr>
            <w:r w:rsidRPr="00CA2A05">
              <w:rPr>
                <w:rFonts w:asciiTheme="majorBidi" w:hAnsiTheme="majorBidi" w:cstheme="majorBidi"/>
                <w:iCs/>
                <w:lang w:val="en-US"/>
              </w:rPr>
              <w:t>0</w:t>
            </w:r>
          </w:p>
          <w:p w14:paraId="14567B17"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9</w:t>
            </w:r>
          </w:p>
          <w:p w14:paraId="54BCE996"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10</w:t>
            </w:r>
          </w:p>
          <w:p w14:paraId="6E59FD3A"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0</w:t>
            </w:r>
          </w:p>
          <w:p w14:paraId="0D547CD4" w14:textId="77777777" w:rsidR="00FE050A" w:rsidRPr="00CA2A05" w:rsidRDefault="00FE050A" w:rsidP="008F6A57">
            <w:pPr>
              <w:jc w:val="center"/>
              <w:rPr>
                <w:rFonts w:asciiTheme="majorBidi" w:hAnsiTheme="majorBidi" w:cstheme="majorBidi"/>
                <w:iCs/>
                <w:lang w:val="en-US"/>
              </w:rPr>
            </w:pPr>
            <w:r w:rsidRPr="00FE050A">
              <w:rPr>
                <w:rFonts w:asciiTheme="majorBidi" w:hAnsiTheme="majorBidi" w:cstheme="majorBidi"/>
                <w:iCs/>
                <w:lang w:val="en-US"/>
              </w:rPr>
              <w:t>7</w:t>
            </w:r>
          </w:p>
          <w:p w14:paraId="7D459413" w14:textId="77777777" w:rsidR="00FE050A" w:rsidRPr="00CA2A05" w:rsidRDefault="00FE050A" w:rsidP="008F6A57">
            <w:pPr>
              <w:jc w:val="center"/>
              <w:rPr>
                <w:rFonts w:asciiTheme="majorBidi" w:hAnsiTheme="majorBidi" w:cstheme="majorBidi"/>
                <w:iCs/>
                <w:lang w:val="en-US"/>
              </w:rPr>
            </w:pPr>
          </w:p>
        </w:tc>
      </w:tr>
      <w:tr w:rsidR="00FE050A" w:rsidRPr="00FE050A" w14:paraId="61EC2C0D" w14:textId="77777777" w:rsidTr="008F6A57">
        <w:trPr>
          <w:trHeight w:val="656"/>
          <w:jc w:val="center"/>
        </w:trPr>
        <w:tc>
          <w:tcPr>
            <w:tcW w:w="10435" w:type="dxa"/>
            <w:gridSpan w:val="5"/>
          </w:tcPr>
          <w:p w14:paraId="6D72A335" w14:textId="77777777" w:rsidR="00FE050A" w:rsidRPr="00FE050A" w:rsidRDefault="00FE050A" w:rsidP="008F6A57">
            <w:pPr>
              <w:rPr>
                <w:rFonts w:asciiTheme="majorBidi" w:hAnsiTheme="majorBidi" w:cstheme="majorBidi"/>
                <w:iCs/>
                <w:lang w:val="en-US"/>
              </w:rPr>
            </w:pPr>
            <w:r w:rsidRPr="00FE050A">
              <w:rPr>
                <w:rFonts w:asciiTheme="majorBidi" w:hAnsiTheme="majorBidi" w:cstheme="majorBidi"/>
                <w:iCs/>
                <w:lang w:val="en-US"/>
              </w:rPr>
              <w:t>MOGAD: myelin oligodendrocyte glycoprotein antibody-associated disease; AQP4-NMOSD: aquaporin-4 positive antibody neuromyelitis optic spectrum disorder; AID: autoimmune disorders.</w:t>
            </w:r>
          </w:p>
        </w:tc>
      </w:tr>
    </w:tbl>
    <w:p w14:paraId="6D063152" w14:textId="2CA42E52" w:rsidR="00AD0977" w:rsidRDefault="00AD0977">
      <w:pPr>
        <w:spacing w:after="160" w:line="259" w:lineRule="auto"/>
      </w:pPr>
    </w:p>
    <w:p w14:paraId="5A2B7A3D" w14:textId="7F9D829F" w:rsidR="00076C5B" w:rsidRDefault="00076C5B">
      <w:pPr>
        <w:spacing w:after="160" w:line="259" w:lineRule="auto"/>
      </w:pPr>
      <w:r>
        <w:br w:type="page"/>
      </w:r>
    </w:p>
    <w:tbl>
      <w:tblPr>
        <w:tblStyle w:val="TableGrid"/>
        <w:tblW w:w="7413" w:type="dxa"/>
        <w:jc w:val="center"/>
        <w:tblLook w:val="04A0" w:firstRow="1" w:lastRow="0" w:firstColumn="1" w:lastColumn="0" w:noHBand="0" w:noVBand="1"/>
      </w:tblPr>
      <w:tblGrid>
        <w:gridCol w:w="4686"/>
        <w:gridCol w:w="2727"/>
      </w:tblGrid>
      <w:tr w:rsidR="00076C5B" w:rsidRPr="00AD0977" w14:paraId="1003E2DD" w14:textId="77777777" w:rsidTr="00821156">
        <w:trPr>
          <w:trHeight w:val="429"/>
          <w:jc w:val="center"/>
        </w:trPr>
        <w:tc>
          <w:tcPr>
            <w:tcW w:w="0" w:type="auto"/>
            <w:gridSpan w:val="2"/>
          </w:tcPr>
          <w:p w14:paraId="2E9B1F13" w14:textId="77777777" w:rsidR="00076C5B" w:rsidRPr="00AD0977" w:rsidRDefault="00076C5B" w:rsidP="00821156">
            <w:pPr>
              <w:rPr>
                <w:rFonts w:asciiTheme="majorBidi" w:hAnsiTheme="majorBidi" w:cstheme="majorBidi"/>
                <w:iCs/>
                <w:color w:val="000000" w:themeColor="text1"/>
                <w:highlight w:val="white"/>
                <w:lang w:val="en-US"/>
              </w:rPr>
            </w:pPr>
            <w:bookmarkStart w:id="1" w:name="_Hlk198244116"/>
            <w:r w:rsidRPr="00E648A7">
              <w:rPr>
                <w:rFonts w:asciiTheme="majorBidi" w:hAnsiTheme="majorBidi" w:cstheme="majorBidi"/>
                <w:b/>
                <w:bCs/>
                <w:color w:val="000000" w:themeColor="text1"/>
                <w:lang w:val="en-US"/>
              </w:rPr>
              <w:lastRenderedPageBreak/>
              <w:t xml:space="preserve">Supplementary Table </w:t>
            </w:r>
            <w:r>
              <w:rPr>
                <w:rFonts w:asciiTheme="majorBidi" w:hAnsiTheme="majorBidi" w:cstheme="majorBidi"/>
                <w:b/>
                <w:bCs/>
                <w:color w:val="000000" w:themeColor="text1"/>
                <w:lang w:val="en-US"/>
              </w:rPr>
              <w:t>2</w:t>
            </w:r>
            <w:r w:rsidRPr="00E648A7">
              <w:rPr>
                <w:rFonts w:asciiTheme="majorBidi" w:hAnsiTheme="majorBidi" w:cstheme="majorBidi"/>
                <w:b/>
                <w:bCs/>
                <w:color w:val="000000" w:themeColor="text1"/>
                <w:lang w:val="en-US"/>
              </w:rPr>
              <w:t>:</w:t>
            </w:r>
            <w:r w:rsidRPr="00E648A7">
              <w:rPr>
                <w:rFonts w:asciiTheme="majorBidi" w:hAnsiTheme="majorBidi" w:cstheme="majorBidi"/>
                <w:color w:val="000000" w:themeColor="text1"/>
                <w:lang w:val="en-US"/>
              </w:rPr>
              <w:t xml:space="preserve">  </w:t>
            </w:r>
            <w:r w:rsidRPr="00076C5B">
              <w:rPr>
                <w:rFonts w:asciiTheme="majorBidi" w:hAnsiTheme="majorBidi" w:cstheme="majorBidi"/>
                <w:iCs/>
                <w:color w:val="000000" w:themeColor="text1"/>
                <w:lang w:val="en-US"/>
              </w:rPr>
              <w:t>Interval Between Optic Neuritis and Visual Acuity Assessment by Diagnosis and AID Status (</w:t>
            </w:r>
            <w:r w:rsidRPr="00AD0977">
              <w:rPr>
                <w:rFonts w:asciiTheme="majorBidi" w:hAnsiTheme="majorBidi" w:cstheme="majorBidi"/>
                <w:iCs/>
                <w:color w:val="000000" w:themeColor="text1"/>
                <w:lang w:val="en-US"/>
              </w:rPr>
              <w:t>Time Difference in Months (Median [IQR])</w:t>
            </w:r>
          </w:p>
        </w:tc>
      </w:tr>
      <w:tr w:rsidR="00076C5B" w:rsidRPr="00AD0977" w14:paraId="72B88536" w14:textId="77777777" w:rsidTr="00821156">
        <w:trPr>
          <w:trHeight w:val="414"/>
          <w:jc w:val="center"/>
        </w:trPr>
        <w:tc>
          <w:tcPr>
            <w:tcW w:w="0" w:type="auto"/>
            <w:hideMark/>
          </w:tcPr>
          <w:p w14:paraId="0022EC4A" w14:textId="77777777" w:rsidR="00076C5B" w:rsidRPr="00AD0977" w:rsidRDefault="00076C5B" w:rsidP="00821156">
            <w:pPr>
              <w:jc w:val="both"/>
              <w:rPr>
                <w:rFonts w:asciiTheme="majorBidi" w:hAnsiTheme="majorBidi" w:cstheme="majorBidi"/>
                <w:iCs/>
                <w:color w:val="000000" w:themeColor="text1"/>
                <w:highlight w:val="white"/>
                <w:lang w:val="en-US"/>
              </w:rPr>
            </w:pPr>
            <w:r w:rsidRPr="00AD0977">
              <w:rPr>
                <w:rFonts w:asciiTheme="majorBidi" w:hAnsiTheme="majorBidi" w:cstheme="majorBidi"/>
                <w:iCs/>
                <w:color w:val="000000" w:themeColor="text1"/>
                <w:highlight w:val="white"/>
                <w:lang w:val="en-US"/>
              </w:rPr>
              <w:t>Group</w:t>
            </w:r>
          </w:p>
        </w:tc>
        <w:tc>
          <w:tcPr>
            <w:tcW w:w="0" w:type="auto"/>
            <w:hideMark/>
          </w:tcPr>
          <w:p w14:paraId="56CF889B" w14:textId="77777777" w:rsidR="00076C5B" w:rsidRPr="00AD0977" w:rsidRDefault="00076C5B" w:rsidP="00821156">
            <w:pPr>
              <w:jc w:val="both"/>
              <w:rPr>
                <w:rFonts w:asciiTheme="majorBidi" w:hAnsiTheme="majorBidi" w:cstheme="majorBidi"/>
                <w:iCs/>
                <w:color w:val="000000" w:themeColor="text1"/>
                <w:highlight w:val="white"/>
                <w:lang w:val="en-US"/>
              </w:rPr>
            </w:pPr>
            <w:r w:rsidRPr="00AD0977">
              <w:rPr>
                <w:rFonts w:asciiTheme="majorBidi" w:hAnsiTheme="majorBidi" w:cstheme="majorBidi"/>
                <w:iCs/>
                <w:color w:val="000000" w:themeColor="text1"/>
                <w:highlight w:val="white"/>
                <w:lang w:val="en-US"/>
              </w:rPr>
              <w:t>Diff (months)</w:t>
            </w:r>
          </w:p>
        </w:tc>
      </w:tr>
      <w:tr w:rsidR="00076C5B" w:rsidRPr="00AD0977" w14:paraId="13FB8BC2" w14:textId="77777777" w:rsidTr="00821156">
        <w:trPr>
          <w:trHeight w:val="429"/>
          <w:jc w:val="center"/>
        </w:trPr>
        <w:tc>
          <w:tcPr>
            <w:tcW w:w="0" w:type="auto"/>
            <w:hideMark/>
          </w:tcPr>
          <w:p w14:paraId="2BDB6E37" w14:textId="77777777" w:rsidR="00076C5B" w:rsidRPr="00AD0977" w:rsidRDefault="00076C5B" w:rsidP="00821156">
            <w:pPr>
              <w:jc w:val="both"/>
              <w:rPr>
                <w:rFonts w:asciiTheme="majorBidi" w:hAnsiTheme="majorBidi" w:cstheme="majorBidi"/>
                <w:iCs/>
                <w:color w:val="000000" w:themeColor="text1"/>
                <w:highlight w:val="white"/>
                <w:lang w:val="en-US"/>
              </w:rPr>
            </w:pPr>
            <w:r w:rsidRPr="00AD0977">
              <w:rPr>
                <w:rFonts w:asciiTheme="majorBidi" w:hAnsiTheme="majorBidi" w:cstheme="majorBidi"/>
                <w:iCs/>
                <w:color w:val="000000" w:themeColor="text1"/>
                <w:highlight w:val="white"/>
                <w:lang w:val="en-US"/>
              </w:rPr>
              <w:t xml:space="preserve">AQP4-NMOSD without AID </w:t>
            </w:r>
          </w:p>
        </w:tc>
        <w:tc>
          <w:tcPr>
            <w:tcW w:w="0" w:type="auto"/>
            <w:hideMark/>
          </w:tcPr>
          <w:p w14:paraId="1C2008BA" w14:textId="77777777" w:rsidR="00076C5B" w:rsidRPr="00AD0977" w:rsidRDefault="00076C5B" w:rsidP="00821156">
            <w:pPr>
              <w:jc w:val="both"/>
              <w:rPr>
                <w:rFonts w:asciiTheme="majorBidi" w:hAnsiTheme="majorBidi" w:cstheme="majorBidi"/>
                <w:iCs/>
                <w:color w:val="000000" w:themeColor="text1"/>
                <w:highlight w:val="white"/>
                <w:lang w:val="en-US"/>
              </w:rPr>
            </w:pPr>
            <w:r w:rsidRPr="00AD0977">
              <w:rPr>
                <w:rFonts w:asciiTheme="majorBidi" w:hAnsiTheme="majorBidi" w:cstheme="majorBidi"/>
                <w:iCs/>
                <w:color w:val="000000" w:themeColor="text1"/>
                <w:highlight w:val="white"/>
                <w:lang w:val="en-US"/>
              </w:rPr>
              <w:t>76 (32–151)</w:t>
            </w:r>
          </w:p>
        </w:tc>
      </w:tr>
      <w:tr w:rsidR="00076C5B" w:rsidRPr="00AD0977" w14:paraId="0C95E00E" w14:textId="77777777" w:rsidTr="00821156">
        <w:trPr>
          <w:trHeight w:val="414"/>
          <w:jc w:val="center"/>
        </w:trPr>
        <w:tc>
          <w:tcPr>
            <w:tcW w:w="0" w:type="auto"/>
            <w:hideMark/>
          </w:tcPr>
          <w:p w14:paraId="342D5031" w14:textId="77777777" w:rsidR="00076C5B" w:rsidRPr="00AD0977" w:rsidRDefault="00076C5B" w:rsidP="00821156">
            <w:pPr>
              <w:jc w:val="both"/>
              <w:rPr>
                <w:rFonts w:asciiTheme="majorBidi" w:hAnsiTheme="majorBidi" w:cstheme="majorBidi"/>
                <w:iCs/>
                <w:color w:val="000000" w:themeColor="text1"/>
                <w:highlight w:val="white"/>
                <w:lang w:val="en-US"/>
              </w:rPr>
            </w:pPr>
            <w:r w:rsidRPr="00AD0977">
              <w:rPr>
                <w:rFonts w:asciiTheme="majorBidi" w:hAnsiTheme="majorBidi" w:cstheme="majorBidi"/>
                <w:iCs/>
                <w:color w:val="000000" w:themeColor="text1"/>
                <w:highlight w:val="white"/>
                <w:lang w:val="en-US"/>
              </w:rPr>
              <w:t>AQP4-NMOSD with AID</w:t>
            </w:r>
          </w:p>
        </w:tc>
        <w:tc>
          <w:tcPr>
            <w:tcW w:w="0" w:type="auto"/>
            <w:hideMark/>
          </w:tcPr>
          <w:p w14:paraId="496A42EA" w14:textId="77777777" w:rsidR="00076C5B" w:rsidRPr="00AD0977" w:rsidRDefault="00076C5B" w:rsidP="00821156">
            <w:pPr>
              <w:jc w:val="both"/>
              <w:rPr>
                <w:rFonts w:asciiTheme="majorBidi" w:hAnsiTheme="majorBidi" w:cstheme="majorBidi"/>
                <w:iCs/>
                <w:color w:val="000000" w:themeColor="text1"/>
                <w:highlight w:val="white"/>
                <w:lang w:val="en-US"/>
              </w:rPr>
            </w:pPr>
            <w:r w:rsidRPr="00AD0977">
              <w:rPr>
                <w:rFonts w:asciiTheme="majorBidi" w:hAnsiTheme="majorBidi" w:cstheme="majorBidi"/>
                <w:iCs/>
                <w:color w:val="000000" w:themeColor="text1"/>
                <w:highlight w:val="white"/>
                <w:lang w:val="en-US"/>
              </w:rPr>
              <w:t>83 (38–90)</w:t>
            </w:r>
          </w:p>
        </w:tc>
      </w:tr>
      <w:tr w:rsidR="00076C5B" w:rsidRPr="00AD0977" w14:paraId="27AB2EF0" w14:textId="77777777" w:rsidTr="00821156">
        <w:trPr>
          <w:trHeight w:val="429"/>
          <w:jc w:val="center"/>
        </w:trPr>
        <w:tc>
          <w:tcPr>
            <w:tcW w:w="0" w:type="auto"/>
            <w:hideMark/>
          </w:tcPr>
          <w:p w14:paraId="6CC132C7" w14:textId="77777777" w:rsidR="00076C5B" w:rsidRPr="00AD0977" w:rsidRDefault="00076C5B" w:rsidP="00821156">
            <w:pPr>
              <w:jc w:val="both"/>
              <w:rPr>
                <w:rFonts w:asciiTheme="majorBidi" w:hAnsiTheme="majorBidi" w:cstheme="majorBidi"/>
                <w:iCs/>
                <w:color w:val="000000" w:themeColor="text1"/>
                <w:highlight w:val="white"/>
                <w:lang w:val="en-US"/>
              </w:rPr>
            </w:pPr>
            <w:r w:rsidRPr="00AD0977">
              <w:rPr>
                <w:rFonts w:asciiTheme="majorBidi" w:hAnsiTheme="majorBidi" w:cstheme="majorBidi"/>
                <w:iCs/>
                <w:color w:val="000000" w:themeColor="text1"/>
                <w:highlight w:val="white"/>
                <w:lang w:val="en-US"/>
              </w:rPr>
              <w:t xml:space="preserve">MOGAD without AID </w:t>
            </w:r>
          </w:p>
        </w:tc>
        <w:tc>
          <w:tcPr>
            <w:tcW w:w="0" w:type="auto"/>
            <w:hideMark/>
          </w:tcPr>
          <w:p w14:paraId="4AC5F740" w14:textId="77777777" w:rsidR="00076C5B" w:rsidRPr="00AD0977" w:rsidRDefault="00076C5B" w:rsidP="00821156">
            <w:pPr>
              <w:jc w:val="both"/>
              <w:rPr>
                <w:rFonts w:asciiTheme="majorBidi" w:hAnsiTheme="majorBidi" w:cstheme="majorBidi"/>
                <w:iCs/>
                <w:color w:val="000000" w:themeColor="text1"/>
                <w:highlight w:val="white"/>
                <w:lang w:val="en-US"/>
              </w:rPr>
            </w:pPr>
            <w:r w:rsidRPr="00AD0977">
              <w:rPr>
                <w:rFonts w:asciiTheme="majorBidi" w:hAnsiTheme="majorBidi" w:cstheme="majorBidi"/>
                <w:iCs/>
                <w:color w:val="000000" w:themeColor="text1"/>
                <w:highlight w:val="white"/>
                <w:lang w:val="en-US"/>
              </w:rPr>
              <w:t>67 (33–116)</w:t>
            </w:r>
          </w:p>
        </w:tc>
      </w:tr>
      <w:tr w:rsidR="00076C5B" w:rsidRPr="00AD0977" w14:paraId="3F3FF7D4" w14:textId="77777777" w:rsidTr="00821156">
        <w:trPr>
          <w:trHeight w:val="429"/>
          <w:jc w:val="center"/>
        </w:trPr>
        <w:tc>
          <w:tcPr>
            <w:tcW w:w="0" w:type="auto"/>
            <w:hideMark/>
          </w:tcPr>
          <w:p w14:paraId="6D347B1C" w14:textId="77777777" w:rsidR="00076C5B" w:rsidRPr="00AD0977" w:rsidRDefault="00076C5B" w:rsidP="00821156">
            <w:pPr>
              <w:jc w:val="both"/>
              <w:rPr>
                <w:rFonts w:asciiTheme="majorBidi" w:hAnsiTheme="majorBidi" w:cstheme="majorBidi"/>
                <w:iCs/>
                <w:color w:val="000000" w:themeColor="text1"/>
                <w:highlight w:val="white"/>
                <w:lang w:val="en-US"/>
              </w:rPr>
            </w:pPr>
            <w:r w:rsidRPr="00AD0977">
              <w:rPr>
                <w:rFonts w:asciiTheme="majorBidi" w:hAnsiTheme="majorBidi" w:cstheme="majorBidi"/>
                <w:iCs/>
                <w:color w:val="000000" w:themeColor="text1"/>
                <w:highlight w:val="white"/>
                <w:lang w:val="en-US"/>
              </w:rPr>
              <w:t xml:space="preserve">MOGAD with AID </w:t>
            </w:r>
          </w:p>
        </w:tc>
        <w:tc>
          <w:tcPr>
            <w:tcW w:w="0" w:type="auto"/>
            <w:hideMark/>
          </w:tcPr>
          <w:p w14:paraId="1163DDC8" w14:textId="77777777" w:rsidR="00076C5B" w:rsidRPr="00AD0977" w:rsidRDefault="00076C5B" w:rsidP="00821156">
            <w:pPr>
              <w:jc w:val="both"/>
              <w:rPr>
                <w:rFonts w:asciiTheme="majorBidi" w:hAnsiTheme="majorBidi" w:cstheme="majorBidi"/>
                <w:iCs/>
                <w:color w:val="000000" w:themeColor="text1"/>
                <w:highlight w:val="white"/>
                <w:lang w:val="en-US"/>
              </w:rPr>
            </w:pPr>
            <w:r w:rsidRPr="00AD0977">
              <w:rPr>
                <w:rFonts w:asciiTheme="majorBidi" w:hAnsiTheme="majorBidi" w:cstheme="majorBidi"/>
                <w:iCs/>
                <w:color w:val="000000" w:themeColor="text1"/>
                <w:highlight w:val="white"/>
                <w:lang w:val="en-US"/>
              </w:rPr>
              <w:t>88 (78–88)</w:t>
            </w:r>
          </w:p>
        </w:tc>
      </w:tr>
      <w:tr w:rsidR="00076C5B" w:rsidRPr="00AD0977" w14:paraId="474B02A2" w14:textId="77777777" w:rsidTr="00821156">
        <w:trPr>
          <w:trHeight w:val="429"/>
          <w:jc w:val="center"/>
        </w:trPr>
        <w:tc>
          <w:tcPr>
            <w:tcW w:w="0" w:type="auto"/>
            <w:gridSpan w:val="2"/>
          </w:tcPr>
          <w:p w14:paraId="1413665F" w14:textId="77777777" w:rsidR="00076C5B" w:rsidRPr="00AD0977" w:rsidRDefault="00076C5B" w:rsidP="00821156">
            <w:pPr>
              <w:jc w:val="both"/>
              <w:rPr>
                <w:rFonts w:asciiTheme="majorBidi" w:hAnsiTheme="majorBidi" w:cstheme="majorBidi"/>
                <w:iCs/>
                <w:color w:val="000000" w:themeColor="text1"/>
                <w:highlight w:val="white"/>
                <w:lang w:val="en-US"/>
              </w:rPr>
            </w:pPr>
            <w:r w:rsidRPr="00E648A7">
              <w:rPr>
                <w:rFonts w:asciiTheme="majorBidi" w:hAnsiTheme="majorBidi" w:cstheme="majorBidi"/>
                <w:color w:val="000000" w:themeColor="text1"/>
                <w:lang w:val="en-US"/>
              </w:rPr>
              <w:t>MOGAD: myelin oligodendrocyte glycoprotein antibody-associated disease; AQP4-NMOSD: aquaporin-4 positive antibody neuromyelitis optic spectrum disorder; AID: autoimmune disorders</w:t>
            </w:r>
          </w:p>
        </w:tc>
      </w:tr>
      <w:bookmarkEnd w:id="1"/>
    </w:tbl>
    <w:p w14:paraId="58A917EE" w14:textId="77777777" w:rsidR="00AD0977" w:rsidRPr="00076C5B" w:rsidRDefault="00AD0977">
      <w:pPr>
        <w:spacing w:after="160" w:line="259" w:lineRule="auto"/>
        <w:rPr>
          <w:lang w:val="en-US"/>
        </w:rPr>
      </w:pPr>
    </w:p>
    <w:p w14:paraId="233A676C" w14:textId="17FC60B2" w:rsidR="00C62202" w:rsidRDefault="00C62202">
      <w:pPr>
        <w:spacing w:after="160" w:line="259" w:lineRule="auto"/>
      </w:pPr>
      <w:r>
        <w:br w:type="page"/>
      </w:r>
    </w:p>
    <w:p w14:paraId="48164D41" w14:textId="77777777" w:rsidR="00AD0977" w:rsidRDefault="00AD0977">
      <w:pPr>
        <w:spacing w:after="160" w:line="259" w:lineRule="auto"/>
      </w:pPr>
    </w:p>
    <w:p w14:paraId="5D0708E8" w14:textId="77777777" w:rsidR="00C62202" w:rsidRDefault="00C62202" w:rsidP="00C62202">
      <w:pPr>
        <w:tabs>
          <w:tab w:val="left" w:pos="3510"/>
        </w:tabs>
        <w:spacing w:after="160" w:line="259" w:lineRule="auto"/>
      </w:pPr>
      <w:r>
        <w:tab/>
      </w:r>
    </w:p>
    <w:tbl>
      <w:tblPr>
        <w:tblStyle w:val="TableGrid"/>
        <w:tblW w:w="10120" w:type="dxa"/>
        <w:jc w:val="center"/>
        <w:tblLook w:val="04A0" w:firstRow="1" w:lastRow="0" w:firstColumn="1" w:lastColumn="0" w:noHBand="0" w:noVBand="1"/>
      </w:tblPr>
      <w:tblGrid>
        <w:gridCol w:w="3454"/>
        <w:gridCol w:w="888"/>
        <w:gridCol w:w="2033"/>
        <w:gridCol w:w="3745"/>
      </w:tblGrid>
      <w:tr w:rsidR="002E0BCE" w:rsidRPr="00C62202" w14:paraId="37F1A7B1" w14:textId="77777777" w:rsidTr="00821156">
        <w:trPr>
          <w:trHeight w:val="222"/>
          <w:jc w:val="center"/>
        </w:trPr>
        <w:tc>
          <w:tcPr>
            <w:tcW w:w="0" w:type="auto"/>
            <w:gridSpan w:val="4"/>
          </w:tcPr>
          <w:p w14:paraId="254A8C36" w14:textId="18572C61" w:rsidR="002E0BCE" w:rsidRPr="00C62202" w:rsidRDefault="002E0BCE" w:rsidP="00821156">
            <w:pPr>
              <w:jc w:val="both"/>
              <w:rPr>
                <w:rFonts w:asciiTheme="majorBidi" w:hAnsiTheme="majorBidi" w:cstheme="majorBidi"/>
                <w:iCs/>
                <w:highlight w:val="white"/>
                <w:lang w:val="en-US"/>
              </w:rPr>
            </w:pPr>
            <w:r w:rsidRPr="00E648A7">
              <w:rPr>
                <w:rFonts w:asciiTheme="majorBidi" w:hAnsiTheme="majorBidi" w:cstheme="majorBidi"/>
                <w:b/>
                <w:bCs/>
                <w:lang w:val="en-US"/>
              </w:rPr>
              <w:t xml:space="preserve">Supplementary Table </w:t>
            </w:r>
            <w:r>
              <w:rPr>
                <w:rFonts w:asciiTheme="majorBidi" w:hAnsiTheme="majorBidi" w:cstheme="majorBidi"/>
                <w:b/>
                <w:bCs/>
                <w:lang w:val="en-US"/>
              </w:rPr>
              <w:t>3</w:t>
            </w:r>
            <w:r w:rsidRPr="00E648A7">
              <w:rPr>
                <w:rFonts w:asciiTheme="majorBidi" w:hAnsiTheme="majorBidi" w:cstheme="majorBidi"/>
                <w:lang w:val="en-US"/>
              </w:rPr>
              <w:t xml:space="preserve">:  </w:t>
            </w:r>
            <w:r w:rsidRPr="00C62202">
              <w:rPr>
                <w:rFonts w:asciiTheme="majorBidi" w:hAnsiTheme="majorBidi" w:cstheme="majorBidi"/>
                <w:iCs/>
                <w:lang w:val="en-US"/>
              </w:rPr>
              <w:t>Follow-up Duration and Statistical Comparison</w:t>
            </w:r>
          </w:p>
        </w:tc>
      </w:tr>
      <w:tr w:rsidR="002E0BCE" w:rsidRPr="002E0BCE" w14:paraId="0C4B5D7A" w14:textId="77777777" w:rsidTr="00821156">
        <w:trPr>
          <w:trHeight w:val="214"/>
          <w:jc w:val="center"/>
        </w:trPr>
        <w:tc>
          <w:tcPr>
            <w:tcW w:w="0" w:type="auto"/>
            <w:hideMark/>
          </w:tcPr>
          <w:p w14:paraId="4CBB145B"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Group</w:t>
            </w:r>
          </w:p>
        </w:tc>
        <w:tc>
          <w:tcPr>
            <w:tcW w:w="0" w:type="auto"/>
            <w:hideMark/>
          </w:tcPr>
          <w:p w14:paraId="4008C5D8"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N</w:t>
            </w:r>
          </w:p>
        </w:tc>
        <w:tc>
          <w:tcPr>
            <w:tcW w:w="0" w:type="auto"/>
            <w:hideMark/>
          </w:tcPr>
          <w:p w14:paraId="2B9AC0B1"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Median (IQR)</w:t>
            </w:r>
          </w:p>
        </w:tc>
        <w:tc>
          <w:tcPr>
            <w:tcW w:w="0" w:type="auto"/>
            <w:hideMark/>
          </w:tcPr>
          <w:p w14:paraId="6ADF1C3E"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p-value vs. Comparison Group</w:t>
            </w:r>
          </w:p>
        </w:tc>
      </w:tr>
      <w:tr w:rsidR="002E0BCE" w:rsidRPr="002E0BCE" w14:paraId="55791277" w14:textId="77777777" w:rsidTr="00821156">
        <w:trPr>
          <w:trHeight w:val="222"/>
          <w:jc w:val="center"/>
        </w:trPr>
        <w:tc>
          <w:tcPr>
            <w:tcW w:w="0" w:type="auto"/>
            <w:hideMark/>
          </w:tcPr>
          <w:p w14:paraId="424DDAFA"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AQP4-NMOSD with AID</w:t>
            </w:r>
          </w:p>
        </w:tc>
        <w:tc>
          <w:tcPr>
            <w:tcW w:w="0" w:type="auto"/>
            <w:hideMark/>
          </w:tcPr>
          <w:p w14:paraId="3FD67180"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49</w:t>
            </w:r>
          </w:p>
        </w:tc>
        <w:tc>
          <w:tcPr>
            <w:tcW w:w="0" w:type="auto"/>
            <w:hideMark/>
          </w:tcPr>
          <w:p w14:paraId="20CD1CAF"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15 (9–20)</w:t>
            </w:r>
          </w:p>
        </w:tc>
        <w:tc>
          <w:tcPr>
            <w:tcW w:w="0" w:type="auto"/>
            <w:vMerge w:val="restart"/>
            <w:hideMark/>
          </w:tcPr>
          <w:p w14:paraId="77D22F9A"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p = 0.165</w:t>
            </w:r>
          </w:p>
        </w:tc>
      </w:tr>
      <w:tr w:rsidR="002E0BCE" w:rsidRPr="002E0BCE" w14:paraId="317CB03F" w14:textId="77777777" w:rsidTr="00821156">
        <w:trPr>
          <w:trHeight w:val="214"/>
          <w:jc w:val="center"/>
        </w:trPr>
        <w:tc>
          <w:tcPr>
            <w:tcW w:w="0" w:type="auto"/>
            <w:hideMark/>
          </w:tcPr>
          <w:p w14:paraId="20C6523F"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AQP4-NMOSD without AID</w:t>
            </w:r>
          </w:p>
        </w:tc>
        <w:tc>
          <w:tcPr>
            <w:tcW w:w="0" w:type="auto"/>
            <w:hideMark/>
          </w:tcPr>
          <w:p w14:paraId="734E0DC1"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126</w:t>
            </w:r>
          </w:p>
        </w:tc>
        <w:tc>
          <w:tcPr>
            <w:tcW w:w="0" w:type="auto"/>
            <w:hideMark/>
          </w:tcPr>
          <w:p w14:paraId="1472A146"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14 (9–18)</w:t>
            </w:r>
          </w:p>
        </w:tc>
        <w:tc>
          <w:tcPr>
            <w:tcW w:w="0" w:type="auto"/>
            <w:vMerge/>
            <w:hideMark/>
          </w:tcPr>
          <w:p w14:paraId="0CA1AD29" w14:textId="77777777" w:rsidR="002E0BCE" w:rsidRPr="00C62202" w:rsidRDefault="002E0BCE" w:rsidP="00821156">
            <w:pPr>
              <w:jc w:val="both"/>
              <w:rPr>
                <w:rFonts w:asciiTheme="majorBidi" w:hAnsiTheme="majorBidi" w:cstheme="majorBidi"/>
                <w:iCs/>
                <w:highlight w:val="white"/>
                <w:lang w:val="en-US"/>
              </w:rPr>
            </w:pPr>
          </w:p>
        </w:tc>
      </w:tr>
      <w:tr w:rsidR="002E0BCE" w:rsidRPr="002E0BCE" w14:paraId="2FA4E23B" w14:textId="77777777" w:rsidTr="00821156">
        <w:trPr>
          <w:trHeight w:val="222"/>
          <w:jc w:val="center"/>
        </w:trPr>
        <w:tc>
          <w:tcPr>
            <w:tcW w:w="0" w:type="auto"/>
            <w:hideMark/>
          </w:tcPr>
          <w:p w14:paraId="17823D20"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MOGAD with AID</w:t>
            </w:r>
          </w:p>
        </w:tc>
        <w:tc>
          <w:tcPr>
            <w:tcW w:w="0" w:type="auto"/>
            <w:hideMark/>
          </w:tcPr>
          <w:p w14:paraId="7A6FBF1A"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25</w:t>
            </w:r>
          </w:p>
        </w:tc>
        <w:tc>
          <w:tcPr>
            <w:tcW w:w="0" w:type="auto"/>
            <w:hideMark/>
          </w:tcPr>
          <w:p w14:paraId="2C03376A"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14 (5–16)</w:t>
            </w:r>
          </w:p>
        </w:tc>
        <w:tc>
          <w:tcPr>
            <w:tcW w:w="0" w:type="auto"/>
            <w:vMerge w:val="restart"/>
            <w:hideMark/>
          </w:tcPr>
          <w:p w14:paraId="1271B7CD"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p = 0.000</w:t>
            </w:r>
          </w:p>
        </w:tc>
      </w:tr>
      <w:tr w:rsidR="002E0BCE" w:rsidRPr="002E0BCE" w14:paraId="6D9FC0DC" w14:textId="77777777" w:rsidTr="00821156">
        <w:trPr>
          <w:trHeight w:val="222"/>
          <w:jc w:val="center"/>
        </w:trPr>
        <w:tc>
          <w:tcPr>
            <w:tcW w:w="0" w:type="auto"/>
            <w:hideMark/>
          </w:tcPr>
          <w:p w14:paraId="6387B218"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MOGAD without AID</w:t>
            </w:r>
          </w:p>
        </w:tc>
        <w:tc>
          <w:tcPr>
            <w:tcW w:w="0" w:type="auto"/>
            <w:hideMark/>
          </w:tcPr>
          <w:p w14:paraId="67C8398E"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196</w:t>
            </w:r>
          </w:p>
        </w:tc>
        <w:tc>
          <w:tcPr>
            <w:tcW w:w="0" w:type="auto"/>
            <w:hideMark/>
          </w:tcPr>
          <w:p w14:paraId="0754D993" w14:textId="77777777" w:rsidR="002E0BCE" w:rsidRPr="00C62202" w:rsidRDefault="002E0BCE" w:rsidP="00821156">
            <w:pPr>
              <w:jc w:val="both"/>
              <w:rPr>
                <w:rFonts w:asciiTheme="majorBidi" w:hAnsiTheme="majorBidi" w:cstheme="majorBidi"/>
                <w:iCs/>
                <w:highlight w:val="white"/>
                <w:lang w:val="en-US"/>
              </w:rPr>
            </w:pPr>
            <w:r w:rsidRPr="00C62202">
              <w:rPr>
                <w:rFonts w:asciiTheme="majorBidi" w:hAnsiTheme="majorBidi" w:cstheme="majorBidi"/>
                <w:iCs/>
                <w:highlight w:val="white"/>
                <w:lang w:val="en-US"/>
              </w:rPr>
              <w:t>8 (5–11)</w:t>
            </w:r>
          </w:p>
        </w:tc>
        <w:tc>
          <w:tcPr>
            <w:tcW w:w="0" w:type="auto"/>
            <w:vMerge/>
            <w:hideMark/>
          </w:tcPr>
          <w:p w14:paraId="5D2B9FD6" w14:textId="77777777" w:rsidR="002E0BCE" w:rsidRPr="00C62202" w:rsidRDefault="002E0BCE" w:rsidP="00821156">
            <w:pPr>
              <w:jc w:val="both"/>
              <w:rPr>
                <w:rFonts w:asciiTheme="majorBidi" w:hAnsiTheme="majorBidi" w:cstheme="majorBidi"/>
                <w:iCs/>
                <w:highlight w:val="white"/>
                <w:lang w:val="en-US"/>
              </w:rPr>
            </w:pPr>
          </w:p>
        </w:tc>
      </w:tr>
      <w:tr w:rsidR="002E0BCE" w:rsidRPr="002E0BCE" w14:paraId="11608E56" w14:textId="77777777" w:rsidTr="00821156">
        <w:trPr>
          <w:trHeight w:val="446"/>
          <w:jc w:val="center"/>
        </w:trPr>
        <w:tc>
          <w:tcPr>
            <w:tcW w:w="0" w:type="auto"/>
            <w:gridSpan w:val="4"/>
          </w:tcPr>
          <w:p w14:paraId="24B6BC3F" w14:textId="77777777" w:rsidR="002E0BCE" w:rsidRPr="002E0BCE" w:rsidRDefault="002E0BCE" w:rsidP="00821156">
            <w:pPr>
              <w:jc w:val="both"/>
              <w:rPr>
                <w:rFonts w:asciiTheme="majorBidi" w:hAnsiTheme="majorBidi" w:cstheme="majorBidi"/>
                <w:iCs/>
                <w:lang w:val="en-US"/>
              </w:rPr>
            </w:pPr>
            <w:r w:rsidRPr="002E0BCE">
              <w:rPr>
                <w:rFonts w:asciiTheme="majorBidi" w:hAnsiTheme="majorBidi" w:cstheme="majorBidi"/>
                <w:iCs/>
                <w:lang w:val="en-US"/>
              </w:rPr>
              <w:t>MOGAD: myelin oligodendrocyte glycoprotein antibody-associated disease; AQP4-NMOSD: aquaporin-4 positive antibody neuromyelitis optic spectrum disorder; AID: autoimmune disorders; IQR: Interquartile range</w:t>
            </w:r>
          </w:p>
        </w:tc>
      </w:tr>
    </w:tbl>
    <w:p w14:paraId="1A45BBB1" w14:textId="7B934D3D" w:rsidR="00AD0977" w:rsidRPr="002E0BCE" w:rsidRDefault="00AD0977" w:rsidP="00C62202">
      <w:pPr>
        <w:tabs>
          <w:tab w:val="left" w:pos="3510"/>
        </w:tabs>
        <w:spacing w:after="160" w:line="259" w:lineRule="auto"/>
        <w:jc w:val="center"/>
        <w:rPr>
          <w:lang w:val="en-US"/>
        </w:rPr>
      </w:pPr>
    </w:p>
    <w:p w14:paraId="6C10E791" w14:textId="77777777" w:rsidR="00AD0977" w:rsidRDefault="00AD0977">
      <w:pPr>
        <w:spacing w:after="160" w:line="259" w:lineRule="auto"/>
      </w:pPr>
    </w:p>
    <w:p w14:paraId="6498A987" w14:textId="4948812A" w:rsidR="00E648A7" w:rsidRDefault="00E648A7">
      <w:pPr>
        <w:spacing w:after="160" w:line="259" w:lineRule="auto"/>
      </w:pPr>
    </w:p>
    <w:p w14:paraId="7D8FF4D5" w14:textId="16B081A6" w:rsidR="00076C5B" w:rsidRDefault="00076C5B">
      <w:pPr>
        <w:spacing w:after="160" w:line="259" w:lineRule="auto"/>
      </w:pPr>
    </w:p>
    <w:p w14:paraId="0C6A70EF" w14:textId="17CE4FEA" w:rsidR="00076C5B" w:rsidRDefault="00076C5B">
      <w:pPr>
        <w:spacing w:after="160" w:line="259" w:lineRule="auto"/>
      </w:pPr>
    </w:p>
    <w:p w14:paraId="60DC88B7" w14:textId="1A9E801F" w:rsidR="00076C5B" w:rsidRDefault="00076C5B">
      <w:pPr>
        <w:spacing w:after="160" w:line="259" w:lineRule="auto"/>
      </w:pPr>
    </w:p>
    <w:p w14:paraId="4DA5E001" w14:textId="6F8F6FC9" w:rsidR="00C62202" w:rsidRDefault="00C62202">
      <w:pPr>
        <w:spacing w:after="160" w:line="259" w:lineRule="auto"/>
      </w:pPr>
    </w:p>
    <w:p w14:paraId="6CC061A9" w14:textId="2B6F831D" w:rsidR="00C62202" w:rsidRDefault="00C62202">
      <w:pPr>
        <w:spacing w:after="160" w:line="259" w:lineRule="auto"/>
      </w:pPr>
    </w:p>
    <w:p w14:paraId="7005A69B" w14:textId="23D5758E" w:rsidR="00C62202" w:rsidRDefault="00C62202">
      <w:pPr>
        <w:spacing w:after="160" w:line="259" w:lineRule="auto"/>
      </w:pPr>
    </w:p>
    <w:p w14:paraId="4F0B9C21" w14:textId="0B718C23" w:rsidR="00C62202" w:rsidRDefault="00C62202">
      <w:pPr>
        <w:spacing w:after="160" w:line="259" w:lineRule="auto"/>
      </w:pPr>
    </w:p>
    <w:p w14:paraId="2A663DCE" w14:textId="53519A07" w:rsidR="00076C5B" w:rsidRDefault="00076C5B">
      <w:pPr>
        <w:spacing w:after="160" w:line="259" w:lineRule="auto"/>
      </w:pPr>
    </w:p>
    <w:p w14:paraId="7C8ED349" w14:textId="77777777" w:rsidR="002E0BCE" w:rsidRDefault="002E0BCE">
      <w:pPr>
        <w:spacing w:after="160" w:line="259" w:lineRule="auto"/>
      </w:pPr>
    </w:p>
    <w:p w14:paraId="4F14FEE9" w14:textId="00071B53" w:rsidR="00076C5B" w:rsidRDefault="00076C5B">
      <w:pPr>
        <w:spacing w:after="160" w:line="259" w:lineRule="auto"/>
      </w:pPr>
    </w:p>
    <w:p w14:paraId="2BAFE7C4" w14:textId="77777777" w:rsidR="00076C5B" w:rsidRDefault="00076C5B">
      <w:pPr>
        <w:spacing w:after="160" w:line="259" w:lineRule="auto"/>
      </w:pPr>
    </w:p>
    <w:tbl>
      <w:tblPr>
        <w:tblW w:w="11510" w:type="dxa"/>
        <w:jc w:val="center"/>
        <w:tblLayout w:type="fixed"/>
        <w:tblCellMar>
          <w:left w:w="0" w:type="dxa"/>
          <w:right w:w="0" w:type="dxa"/>
        </w:tblCellMar>
        <w:tblLook w:val="0420" w:firstRow="1" w:lastRow="0" w:firstColumn="0" w:lastColumn="0" w:noHBand="0" w:noVBand="1"/>
      </w:tblPr>
      <w:tblGrid>
        <w:gridCol w:w="2870"/>
        <w:gridCol w:w="1466"/>
        <w:gridCol w:w="964"/>
        <w:gridCol w:w="1449"/>
        <w:gridCol w:w="1211"/>
        <w:gridCol w:w="1030"/>
        <w:gridCol w:w="1384"/>
        <w:gridCol w:w="1136"/>
      </w:tblGrid>
      <w:tr w:rsidR="0043450E" w:rsidRPr="00E648A7" w14:paraId="2D614AC7" w14:textId="77777777" w:rsidTr="00821156">
        <w:trPr>
          <w:trHeight w:val="527"/>
          <w:jc w:val="center"/>
        </w:trPr>
        <w:tc>
          <w:tcPr>
            <w:tcW w:w="11510" w:type="dxa"/>
            <w:gridSpan w:val="8"/>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3A29C6" w14:textId="0A07F532"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bookmarkStart w:id="2" w:name="_Hlk197903690"/>
            <w:r w:rsidRPr="00E648A7">
              <w:rPr>
                <w:rFonts w:asciiTheme="majorBidi" w:eastAsia="Calibri" w:hAnsiTheme="majorBidi" w:cstheme="majorBidi"/>
                <w:b/>
                <w:bCs/>
                <w:color w:val="000000" w:themeColor="text1"/>
                <w:lang w:val="en-US"/>
              </w:rPr>
              <w:t xml:space="preserve">Supplementary Table </w:t>
            </w:r>
            <w:r w:rsidR="00C62202">
              <w:rPr>
                <w:rFonts w:asciiTheme="majorBidi" w:eastAsia="Calibri" w:hAnsiTheme="majorBidi" w:cstheme="majorBidi"/>
                <w:b/>
                <w:bCs/>
                <w:color w:val="000000" w:themeColor="text1"/>
                <w:lang w:val="en-US"/>
              </w:rPr>
              <w:t>4</w:t>
            </w:r>
            <w:r w:rsidRPr="00E648A7">
              <w:rPr>
                <w:rFonts w:asciiTheme="majorBidi" w:eastAsia="Calibri" w:hAnsiTheme="majorBidi" w:cstheme="majorBidi"/>
                <w:b/>
                <w:bCs/>
                <w:color w:val="000000" w:themeColor="text1"/>
                <w:lang w:val="en-US"/>
              </w:rPr>
              <w:t>:</w:t>
            </w:r>
            <w:r w:rsidRPr="00E648A7">
              <w:rPr>
                <w:rFonts w:asciiTheme="majorBidi" w:eastAsia="Calibri" w:hAnsiTheme="majorBidi" w:cstheme="majorBidi"/>
                <w:color w:val="000000" w:themeColor="text1"/>
                <w:lang w:val="en-US"/>
              </w:rPr>
              <w:t xml:space="preserve">  </w:t>
            </w:r>
            <w:r w:rsidRPr="0043450E">
              <w:rPr>
                <w:rFonts w:asciiTheme="majorBidi" w:eastAsia="Calibri" w:hAnsiTheme="majorBidi" w:cstheme="majorBidi"/>
                <w:color w:val="000000" w:themeColor="text1"/>
                <w:lang w:val="en-US"/>
              </w:rPr>
              <w:t>Multivariate Model of the Effect of Non-organ-specific Autoimmune Disorders Status on Recovery</w:t>
            </w:r>
          </w:p>
        </w:tc>
      </w:tr>
      <w:tr w:rsidR="0043450E" w:rsidRPr="00E648A7" w14:paraId="03AA820C" w14:textId="77777777" w:rsidTr="00821156">
        <w:trPr>
          <w:trHeight w:val="447"/>
          <w:jc w:val="center"/>
        </w:trPr>
        <w:tc>
          <w:tcPr>
            <w:tcW w:w="4336"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7E7077"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p>
        </w:tc>
        <w:tc>
          <w:tcPr>
            <w:tcW w:w="3624" w:type="dxa"/>
            <w:gridSpan w:val="3"/>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75AD333C"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MOGAD</w:t>
            </w:r>
          </w:p>
        </w:tc>
        <w:tc>
          <w:tcPr>
            <w:tcW w:w="3550" w:type="dxa"/>
            <w:gridSpan w:val="3"/>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9372DF"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AQP4-NMOSD</w:t>
            </w:r>
          </w:p>
        </w:tc>
      </w:tr>
      <w:tr w:rsidR="0043450E" w:rsidRPr="00E648A7" w14:paraId="06B3E06E" w14:textId="77777777" w:rsidTr="00821156">
        <w:trPr>
          <w:trHeight w:val="447"/>
          <w:jc w:val="center"/>
        </w:trPr>
        <w:tc>
          <w:tcPr>
            <w:tcW w:w="4336" w:type="dxa"/>
            <w:gridSpan w:val="2"/>
            <w:vMerge/>
            <w:tcBorders>
              <w:top w:val="single" w:sz="8" w:space="0" w:color="000000"/>
              <w:left w:val="single" w:sz="8" w:space="0" w:color="000000"/>
              <w:bottom w:val="single" w:sz="8" w:space="0" w:color="000000"/>
              <w:right w:val="single" w:sz="8" w:space="0" w:color="000000"/>
            </w:tcBorders>
            <w:vAlign w:val="center"/>
            <w:hideMark/>
          </w:tcPr>
          <w:p w14:paraId="3F4BC034"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196D6C"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OR</w:t>
            </w:r>
          </w:p>
        </w:tc>
        <w:tc>
          <w:tcPr>
            <w:tcW w:w="144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879C9A"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95% CI</w:t>
            </w:r>
          </w:p>
        </w:tc>
        <w:tc>
          <w:tcPr>
            <w:tcW w:w="1211"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078FAE05"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P-value</w:t>
            </w:r>
          </w:p>
        </w:tc>
        <w:tc>
          <w:tcPr>
            <w:tcW w:w="103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13A2C6"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OR</w:t>
            </w:r>
          </w:p>
        </w:tc>
        <w:tc>
          <w:tcPr>
            <w:tcW w:w="13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585F2B"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95% CI</w:t>
            </w:r>
          </w:p>
        </w:tc>
        <w:tc>
          <w:tcPr>
            <w:tcW w:w="11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47DB46"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P-value</w:t>
            </w:r>
          </w:p>
        </w:tc>
      </w:tr>
      <w:tr w:rsidR="0043450E" w:rsidRPr="00E648A7" w14:paraId="5E39F519" w14:textId="77777777" w:rsidTr="00821156">
        <w:trPr>
          <w:trHeight w:val="527"/>
          <w:jc w:val="center"/>
        </w:trPr>
        <w:tc>
          <w:tcPr>
            <w:tcW w:w="2870" w:type="dxa"/>
            <w:vMerge w:val="restart"/>
            <w:tcBorders>
              <w:top w:val="single" w:sz="8" w:space="0" w:color="000000"/>
              <w:left w:val="single" w:sz="8" w:space="0" w:color="000000"/>
              <w:right w:val="single" w:sz="8" w:space="0" w:color="000000"/>
            </w:tcBorders>
            <w:shd w:val="clear" w:color="auto" w:fill="auto"/>
            <w:vAlign w:val="center"/>
            <w:hideMark/>
          </w:tcPr>
          <w:p w14:paraId="3DB580D3"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Recovery from onset attack</w:t>
            </w:r>
          </w:p>
        </w:tc>
        <w:tc>
          <w:tcPr>
            <w:tcW w:w="1466"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1C0693" w14:textId="53E351A2"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43450E">
              <w:rPr>
                <w:rFonts w:asciiTheme="majorBidi" w:eastAsia="Calibri" w:hAnsiTheme="majorBidi" w:cstheme="majorBidi"/>
                <w:color w:val="000000" w:themeColor="text1"/>
                <w:lang w:val="en-US"/>
              </w:rPr>
              <w:t>Non-organ-specific AID</w:t>
            </w:r>
          </w:p>
        </w:tc>
        <w:tc>
          <w:tcPr>
            <w:tcW w:w="964"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353323"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0.99</w:t>
            </w:r>
          </w:p>
        </w:tc>
        <w:tc>
          <w:tcPr>
            <w:tcW w:w="1449"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F77166"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0.56-1.85</w:t>
            </w:r>
          </w:p>
        </w:tc>
        <w:tc>
          <w:tcPr>
            <w:tcW w:w="1211"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27C62BED"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0.97</w:t>
            </w:r>
          </w:p>
        </w:tc>
        <w:tc>
          <w:tcPr>
            <w:tcW w:w="103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8FDCB7"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1.07</w:t>
            </w:r>
          </w:p>
        </w:tc>
        <w:tc>
          <w:tcPr>
            <w:tcW w:w="1384"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134C78"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0.66-1.72</w:t>
            </w:r>
          </w:p>
        </w:tc>
        <w:tc>
          <w:tcPr>
            <w:tcW w:w="1136"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697853"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0.78</w:t>
            </w:r>
          </w:p>
        </w:tc>
      </w:tr>
      <w:tr w:rsidR="0043450E" w:rsidRPr="00E648A7" w14:paraId="7834B9BD" w14:textId="77777777" w:rsidTr="00821156">
        <w:trPr>
          <w:trHeight w:val="527"/>
          <w:jc w:val="center"/>
        </w:trPr>
        <w:tc>
          <w:tcPr>
            <w:tcW w:w="2870" w:type="dxa"/>
            <w:vMerge/>
            <w:tcBorders>
              <w:left w:val="single" w:sz="8" w:space="0" w:color="000000"/>
              <w:bottom w:val="single" w:sz="18" w:space="0" w:color="000000"/>
              <w:right w:val="single" w:sz="8" w:space="0" w:color="000000"/>
            </w:tcBorders>
            <w:shd w:val="clear" w:color="auto" w:fill="auto"/>
            <w:vAlign w:val="center"/>
            <w:hideMark/>
          </w:tcPr>
          <w:p w14:paraId="707C9E1D"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p>
        </w:tc>
        <w:tc>
          <w:tcPr>
            <w:tcW w:w="1466"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77CABD29"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Age (year)</w:t>
            </w:r>
          </w:p>
        </w:tc>
        <w:tc>
          <w:tcPr>
            <w:tcW w:w="964"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37C7CD33"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0.97</w:t>
            </w:r>
          </w:p>
        </w:tc>
        <w:tc>
          <w:tcPr>
            <w:tcW w:w="1449"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0717E862"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0.94-0.99</w:t>
            </w:r>
          </w:p>
        </w:tc>
        <w:tc>
          <w:tcPr>
            <w:tcW w:w="1211"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3B3ABCB0"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0.005*</w:t>
            </w:r>
          </w:p>
        </w:tc>
        <w:tc>
          <w:tcPr>
            <w:tcW w:w="1030"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5765718B"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0.96</w:t>
            </w:r>
          </w:p>
        </w:tc>
        <w:tc>
          <w:tcPr>
            <w:tcW w:w="1384"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69C1D7E1"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0.94-0.98</w:t>
            </w:r>
          </w:p>
        </w:tc>
        <w:tc>
          <w:tcPr>
            <w:tcW w:w="1136"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4C83D2A4"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0.0002*</w:t>
            </w:r>
          </w:p>
        </w:tc>
      </w:tr>
      <w:tr w:rsidR="0043450E" w:rsidRPr="00E648A7" w14:paraId="777786BB" w14:textId="77777777" w:rsidTr="00821156">
        <w:trPr>
          <w:trHeight w:val="527"/>
          <w:jc w:val="center"/>
        </w:trPr>
        <w:tc>
          <w:tcPr>
            <w:tcW w:w="2870" w:type="dxa"/>
            <w:vMerge w:val="restart"/>
            <w:tcBorders>
              <w:top w:val="single" w:sz="18" w:space="0" w:color="000000"/>
              <w:left w:val="single" w:sz="8" w:space="0" w:color="000000"/>
              <w:right w:val="single" w:sz="8" w:space="0" w:color="000000"/>
            </w:tcBorders>
            <w:shd w:val="clear" w:color="auto" w:fill="auto"/>
            <w:vAlign w:val="center"/>
            <w:hideMark/>
          </w:tcPr>
          <w:p w14:paraId="19C67189"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Recovery from first ON attack</w:t>
            </w:r>
          </w:p>
        </w:tc>
        <w:tc>
          <w:tcPr>
            <w:tcW w:w="1466"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FE6192" w14:textId="071B98FA"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43450E">
              <w:rPr>
                <w:rFonts w:asciiTheme="majorBidi" w:eastAsia="Calibri" w:hAnsiTheme="majorBidi" w:cstheme="majorBidi"/>
                <w:color w:val="000000" w:themeColor="text1"/>
                <w:lang w:val="en-US"/>
              </w:rPr>
              <w:t>Non-organ-specific AID</w:t>
            </w:r>
          </w:p>
        </w:tc>
        <w:tc>
          <w:tcPr>
            <w:tcW w:w="964"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F1FED8"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1.16</w:t>
            </w:r>
          </w:p>
        </w:tc>
        <w:tc>
          <w:tcPr>
            <w:tcW w:w="1449"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CA9862"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0.54-2.30</w:t>
            </w:r>
          </w:p>
        </w:tc>
        <w:tc>
          <w:tcPr>
            <w:tcW w:w="1211"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7A44C170"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0.69</w:t>
            </w:r>
          </w:p>
        </w:tc>
        <w:tc>
          <w:tcPr>
            <w:tcW w:w="103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BDDDB9"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1.10</w:t>
            </w:r>
          </w:p>
        </w:tc>
        <w:tc>
          <w:tcPr>
            <w:tcW w:w="1384"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EFDBC0"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0.57-2.25</w:t>
            </w:r>
          </w:p>
        </w:tc>
        <w:tc>
          <w:tcPr>
            <w:tcW w:w="1136"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CE0A8D"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0.77</w:t>
            </w:r>
          </w:p>
        </w:tc>
      </w:tr>
      <w:tr w:rsidR="0043450E" w:rsidRPr="00E648A7" w14:paraId="6D3C572F" w14:textId="77777777" w:rsidTr="00821156">
        <w:trPr>
          <w:trHeight w:val="527"/>
          <w:jc w:val="center"/>
        </w:trPr>
        <w:tc>
          <w:tcPr>
            <w:tcW w:w="2870" w:type="dxa"/>
            <w:vMerge/>
            <w:tcBorders>
              <w:left w:val="single" w:sz="8" w:space="0" w:color="000000"/>
              <w:bottom w:val="single" w:sz="8" w:space="0" w:color="000000"/>
              <w:right w:val="single" w:sz="8" w:space="0" w:color="000000"/>
            </w:tcBorders>
            <w:shd w:val="clear" w:color="auto" w:fill="auto"/>
            <w:vAlign w:val="center"/>
            <w:hideMark/>
          </w:tcPr>
          <w:p w14:paraId="3F78A706"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p>
        </w:tc>
        <w:tc>
          <w:tcPr>
            <w:tcW w:w="1466"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12AC6B06"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Age (year)</w:t>
            </w:r>
          </w:p>
        </w:tc>
        <w:tc>
          <w:tcPr>
            <w:tcW w:w="964"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7B92707C"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1.05</w:t>
            </w:r>
          </w:p>
        </w:tc>
        <w:tc>
          <w:tcPr>
            <w:tcW w:w="1449"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3BF244CD"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1.02-1.08</w:t>
            </w:r>
          </w:p>
        </w:tc>
        <w:tc>
          <w:tcPr>
            <w:tcW w:w="1211"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58463AC6"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0.0005*</w:t>
            </w:r>
          </w:p>
        </w:tc>
        <w:tc>
          <w:tcPr>
            <w:tcW w:w="1030"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194990A7"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1.03</w:t>
            </w:r>
          </w:p>
        </w:tc>
        <w:tc>
          <w:tcPr>
            <w:tcW w:w="1384"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363F1E86"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1.0-1.07</w:t>
            </w:r>
          </w:p>
        </w:tc>
        <w:tc>
          <w:tcPr>
            <w:tcW w:w="1136"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2E82DBF0"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0.16</w:t>
            </w:r>
          </w:p>
        </w:tc>
      </w:tr>
      <w:tr w:rsidR="0043450E" w:rsidRPr="00E648A7" w14:paraId="20E54E46" w14:textId="77777777" w:rsidTr="00821156">
        <w:trPr>
          <w:trHeight w:val="1047"/>
          <w:jc w:val="center"/>
        </w:trPr>
        <w:tc>
          <w:tcPr>
            <w:tcW w:w="11510" w:type="dxa"/>
            <w:gridSpan w:val="8"/>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E98D7A" w14:textId="77777777" w:rsidR="0043450E" w:rsidRPr="00E648A7" w:rsidRDefault="0043450E" w:rsidP="00821156">
            <w:pPr>
              <w:spacing w:before="100" w:beforeAutospacing="1" w:after="100" w:afterAutospacing="1"/>
              <w:jc w:val="both"/>
              <w:rPr>
                <w:rFonts w:asciiTheme="majorBidi" w:eastAsia="Calibri" w:hAnsiTheme="majorBidi" w:cstheme="majorBidi"/>
                <w:color w:val="000000" w:themeColor="text1"/>
                <w:lang w:val="en-US"/>
              </w:rPr>
            </w:pPr>
            <w:r w:rsidRPr="00E648A7">
              <w:rPr>
                <w:rFonts w:asciiTheme="majorBidi" w:eastAsia="Calibri" w:hAnsiTheme="majorBidi" w:cstheme="majorBidi"/>
                <w:color w:val="000000" w:themeColor="text1"/>
                <w:lang w:val="en-US"/>
              </w:rPr>
              <w:t>MOGAD: myelin oligodendrocyte glycoprotein antibody-associated disease; AQP4-NMOSD: aquaporin-4 positive antibody neuromyelitis optic spectrum disorder; AID: autoimmune disorders; ON: optic neuritis. The OR column represents odds ratio of incomplete recovery from onset attack and visual disability from first optic neuritis attack.</w:t>
            </w:r>
          </w:p>
        </w:tc>
      </w:tr>
      <w:bookmarkEnd w:id="2"/>
    </w:tbl>
    <w:p w14:paraId="76536ADE" w14:textId="48C8696A" w:rsidR="00E648A7" w:rsidRDefault="00E648A7">
      <w:pPr>
        <w:spacing w:after="160" w:line="259" w:lineRule="auto"/>
        <w:rPr>
          <w:lang w:val="en-US"/>
        </w:rPr>
      </w:pPr>
    </w:p>
    <w:p w14:paraId="4B80E2FF" w14:textId="2A912229" w:rsidR="0043450E" w:rsidRDefault="0043450E">
      <w:pPr>
        <w:spacing w:after="160" w:line="259" w:lineRule="auto"/>
        <w:rPr>
          <w:lang w:val="en-US"/>
        </w:rPr>
      </w:pPr>
    </w:p>
    <w:p w14:paraId="60E45E0A" w14:textId="33F886D1" w:rsidR="00076C5B" w:rsidRDefault="00076C5B">
      <w:pPr>
        <w:spacing w:after="160" w:line="259" w:lineRule="auto"/>
        <w:rPr>
          <w:lang w:val="en-US"/>
        </w:rPr>
      </w:pPr>
    </w:p>
    <w:p w14:paraId="7AC4B6FC" w14:textId="77777777" w:rsidR="00CA2A05" w:rsidRDefault="00CA2A05">
      <w:pPr>
        <w:spacing w:after="160" w:line="259" w:lineRule="auto"/>
      </w:pPr>
    </w:p>
    <w:tbl>
      <w:tblPr>
        <w:tblW w:w="14431" w:type="dxa"/>
        <w:jc w:val="center"/>
        <w:tblCellMar>
          <w:left w:w="0" w:type="dxa"/>
          <w:right w:w="0" w:type="dxa"/>
        </w:tblCellMar>
        <w:tblLook w:val="04A0" w:firstRow="1" w:lastRow="0" w:firstColumn="1" w:lastColumn="0" w:noHBand="0" w:noVBand="1"/>
      </w:tblPr>
      <w:tblGrid>
        <w:gridCol w:w="3181"/>
        <w:gridCol w:w="1969"/>
        <w:gridCol w:w="1886"/>
        <w:gridCol w:w="1802"/>
        <w:gridCol w:w="1229"/>
        <w:gridCol w:w="1128"/>
        <w:gridCol w:w="1145"/>
        <w:gridCol w:w="1044"/>
        <w:gridCol w:w="1047"/>
      </w:tblGrid>
      <w:tr w:rsidR="00CA2A05" w:rsidRPr="00792420" w14:paraId="422A9BB5" w14:textId="77777777" w:rsidTr="008F6A57">
        <w:trPr>
          <w:trHeight w:val="633"/>
          <w:jc w:val="center"/>
        </w:trPr>
        <w:tc>
          <w:tcPr>
            <w:tcW w:w="1443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BFC662" w14:textId="4213A9CE" w:rsidR="00CA2A05" w:rsidRPr="00792420" w:rsidRDefault="00CA2A05" w:rsidP="008F6A57">
            <w:pPr>
              <w:rPr>
                <w:rFonts w:asciiTheme="majorBidi" w:eastAsia="Times New Roman" w:hAnsiTheme="majorBidi" w:cstheme="majorBidi"/>
                <w:lang w:val="en-US"/>
              </w:rPr>
            </w:pPr>
            <w:r w:rsidRPr="007F100B">
              <w:rPr>
                <w:rFonts w:asciiTheme="majorBidi" w:hAnsiTheme="majorBidi" w:cstheme="majorBidi"/>
                <w:b/>
                <w:bCs/>
                <w:lang w:val="en-US"/>
              </w:rPr>
              <w:lastRenderedPageBreak/>
              <w:t xml:space="preserve">Supplementary Table </w:t>
            </w:r>
            <w:r w:rsidR="00C62202">
              <w:rPr>
                <w:rFonts w:asciiTheme="majorBidi" w:hAnsiTheme="majorBidi" w:cstheme="majorBidi"/>
                <w:b/>
                <w:bCs/>
                <w:lang w:val="en-US"/>
              </w:rPr>
              <w:t>5</w:t>
            </w:r>
            <w:r w:rsidRPr="00792420">
              <w:rPr>
                <w:rFonts w:asciiTheme="majorBidi" w:eastAsia="Calibri" w:hAnsiTheme="majorBidi" w:cstheme="majorBidi"/>
                <w:b/>
                <w:bCs/>
                <w:color w:val="000000" w:themeColor="text1"/>
                <w:kern w:val="24"/>
                <w:lang w:val="en-US"/>
              </w:rPr>
              <w:t>:</w:t>
            </w:r>
            <w:r w:rsidRPr="00792420">
              <w:rPr>
                <w:rFonts w:asciiTheme="majorBidi" w:eastAsia="Calibri" w:hAnsiTheme="majorBidi" w:cstheme="majorBidi"/>
                <w:color w:val="000000" w:themeColor="text1"/>
                <w:kern w:val="24"/>
                <w:lang w:val="en-US"/>
              </w:rPr>
              <w:t xml:space="preserve"> Impact of Autoimmune Disorders Status on OCT Parameters in AQP4-NMOSD and MOGAD Patients</w:t>
            </w:r>
          </w:p>
        </w:tc>
      </w:tr>
      <w:tr w:rsidR="00CA2A05" w:rsidRPr="00792420" w14:paraId="7B9DA6E3" w14:textId="77777777" w:rsidTr="008F6A57">
        <w:trPr>
          <w:trHeight w:val="1313"/>
          <w:jc w:val="center"/>
        </w:trPr>
        <w:tc>
          <w:tcPr>
            <w:tcW w:w="318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A43D33"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 </w:t>
            </w:r>
          </w:p>
        </w:tc>
        <w:tc>
          <w:tcPr>
            <w:tcW w:w="1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CCD48C"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With AD</w:t>
            </w:r>
          </w:p>
          <w:p w14:paraId="3702E4FD"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(No. of eyes)</w:t>
            </w:r>
          </w:p>
        </w:tc>
        <w:tc>
          <w:tcPr>
            <w:tcW w:w="1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178792"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Without AD</w:t>
            </w:r>
          </w:p>
          <w:p w14:paraId="72B88E5A"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(No. of eyes)</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3A1A3E"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Absolute difference</w:t>
            </w:r>
          </w:p>
          <w:p w14:paraId="290D86A1"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w:t>
            </w:r>
            <w:proofErr w:type="spellStart"/>
            <w:r w:rsidRPr="00792420">
              <w:rPr>
                <w:rFonts w:asciiTheme="majorBidi" w:eastAsia="Calibri" w:hAnsiTheme="majorBidi" w:cstheme="majorBidi"/>
                <w:color w:val="000000" w:themeColor="text1"/>
                <w:kern w:val="24"/>
                <w:lang w:val="en-US"/>
              </w:rPr>
              <w:t>μm</w:t>
            </w:r>
            <w:proofErr w:type="spellEnd"/>
            <w:r w:rsidRPr="00792420">
              <w:rPr>
                <w:rFonts w:asciiTheme="majorBidi" w:eastAsia="Calibri" w:hAnsiTheme="majorBidi" w:cstheme="majorBidi"/>
                <w:color w:val="000000" w:themeColor="text1"/>
                <w:kern w:val="24"/>
                <w:lang w:val="en-US"/>
              </w:rPr>
              <w:t>, mean)</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F29A9F"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B</w:t>
            </w:r>
          </w:p>
        </w:tc>
        <w:tc>
          <w:tcPr>
            <w:tcW w:w="11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2267DB"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SE</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F708D6"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P value</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1AD022"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R</w:t>
            </w:r>
            <w:r w:rsidRPr="00792420">
              <w:rPr>
                <w:rFonts w:asciiTheme="majorBidi" w:eastAsia="Calibri" w:hAnsiTheme="majorBidi" w:cstheme="majorBidi"/>
                <w:color w:val="000000" w:themeColor="text1"/>
                <w:kern w:val="24"/>
                <w:position w:val="8"/>
                <w:vertAlign w:val="superscript"/>
                <w:lang w:val="en-US"/>
              </w:rPr>
              <w:t>2</w:t>
            </w:r>
            <w:proofErr w:type="spellStart"/>
            <w:r w:rsidRPr="00792420">
              <w:rPr>
                <w:rFonts w:asciiTheme="majorBidi" w:eastAsia="Calibri" w:hAnsiTheme="majorBidi" w:cstheme="majorBidi"/>
                <w:color w:val="000000" w:themeColor="text1"/>
                <w:kern w:val="24"/>
                <w:position w:val="-7"/>
                <w:vertAlign w:val="subscript"/>
                <w:lang w:val="en-US"/>
              </w:rPr>
              <w:t>marg</w:t>
            </w:r>
            <w:proofErr w:type="spellEnd"/>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AF92C0"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R</w:t>
            </w:r>
            <w:r w:rsidRPr="00792420">
              <w:rPr>
                <w:rFonts w:asciiTheme="majorBidi" w:eastAsia="Calibri" w:hAnsiTheme="majorBidi" w:cstheme="majorBidi"/>
                <w:color w:val="000000" w:themeColor="text1"/>
                <w:kern w:val="24"/>
                <w:position w:val="8"/>
                <w:vertAlign w:val="superscript"/>
                <w:lang w:val="en-US"/>
              </w:rPr>
              <w:t>2</w:t>
            </w:r>
            <w:proofErr w:type="spellStart"/>
            <w:r w:rsidRPr="00792420">
              <w:rPr>
                <w:rFonts w:asciiTheme="majorBidi" w:eastAsia="Calibri" w:hAnsiTheme="majorBidi" w:cstheme="majorBidi"/>
                <w:color w:val="000000" w:themeColor="text1"/>
                <w:kern w:val="24"/>
                <w:position w:val="-7"/>
                <w:vertAlign w:val="subscript"/>
                <w:lang w:val="en-US"/>
              </w:rPr>
              <w:t>cond</w:t>
            </w:r>
            <w:proofErr w:type="spellEnd"/>
          </w:p>
        </w:tc>
      </w:tr>
      <w:tr w:rsidR="00CA2A05" w:rsidRPr="00792420" w14:paraId="517EFBFE" w14:textId="77777777" w:rsidTr="008F6A57">
        <w:trPr>
          <w:trHeight w:val="25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185C2E" w14:textId="77777777" w:rsidR="00CA2A05" w:rsidRPr="00792420" w:rsidRDefault="00CA2A05" w:rsidP="008F6A57">
            <w:pPr>
              <w:rPr>
                <w:rFonts w:asciiTheme="majorBidi" w:eastAsia="Times New Roman" w:hAnsiTheme="majorBidi" w:cstheme="majorBidi"/>
                <w:lang w:val="en-US"/>
              </w:rPr>
            </w:pPr>
          </w:p>
        </w:tc>
        <w:tc>
          <w:tcPr>
            <w:tcW w:w="1124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954B85" w14:textId="77777777" w:rsidR="00CA2A05" w:rsidRPr="00792420" w:rsidRDefault="00CA2A05" w:rsidP="008F6A57">
            <w:pPr>
              <w:jc w:val="center"/>
              <w:rPr>
                <w:rFonts w:asciiTheme="majorBidi" w:eastAsia="Times New Roman" w:hAnsiTheme="majorBidi" w:cstheme="majorBidi"/>
                <w:lang w:val="en-US"/>
              </w:rPr>
            </w:pPr>
            <w:proofErr w:type="spellStart"/>
            <w:r w:rsidRPr="00792420">
              <w:rPr>
                <w:rFonts w:asciiTheme="majorBidi" w:eastAsia="Calibri" w:hAnsiTheme="majorBidi" w:cstheme="majorBidi"/>
                <w:color w:val="000000" w:themeColor="text1"/>
                <w:kern w:val="24"/>
                <w:lang w:val="en-US"/>
              </w:rPr>
              <w:t>pRNFL</w:t>
            </w:r>
            <w:proofErr w:type="spellEnd"/>
            <w:r w:rsidRPr="00792420">
              <w:rPr>
                <w:rFonts w:asciiTheme="majorBidi" w:eastAsia="Calibri" w:hAnsiTheme="majorBidi" w:cstheme="majorBidi"/>
                <w:color w:val="000000" w:themeColor="text1"/>
                <w:kern w:val="24"/>
                <w:lang w:val="en-US"/>
              </w:rPr>
              <w:t xml:space="preserve"> thickness</w:t>
            </w:r>
          </w:p>
        </w:tc>
      </w:tr>
      <w:tr w:rsidR="00CA2A05" w:rsidRPr="00792420" w14:paraId="224CE460" w14:textId="77777777" w:rsidTr="008F6A57">
        <w:trPr>
          <w:trHeight w:val="25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960E7A" w14:textId="77777777" w:rsidR="00CA2A05" w:rsidRPr="00792420" w:rsidRDefault="00CA2A05" w:rsidP="008F6A57">
            <w:pPr>
              <w:rPr>
                <w:rFonts w:asciiTheme="majorBidi" w:eastAsia="Times New Roman" w:hAnsiTheme="majorBidi" w:cstheme="majorBidi"/>
                <w:lang w:val="en-US"/>
              </w:rPr>
            </w:pPr>
          </w:p>
        </w:tc>
        <w:tc>
          <w:tcPr>
            <w:tcW w:w="38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B61193"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Thickness (</w:t>
            </w:r>
            <w:proofErr w:type="spellStart"/>
            <w:r w:rsidRPr="00792420">
              <w:rPr>
                <w:rFonts w:asciiTheme="majorBidi" w:eastAsia="Calibri" w:hAnsiTheme="majorBidi" w:cstheme="majorBidi"/>
                <w:color w:val="000000" w:themeColor="text1"/>
                <w:kern w:val="24"/>
                <w:lang w:val="en-US"/>
              </w:rPr>
              <w:t>μm</w:t>
            </w:r>
            <w:proofErr w:type="spellEnd"/>
            <w:r w:rsidRPr="00792420">
              <w:rPr>
                <w:rFonts w:asciiTheme="majorBidi" w:eastAsia="Calibri" w:hAnsiTheme="majorBidi" w:cstheme="majorBidi"/>
                <w:color w:val="000000" w:themeColor="text1"/>
                <w:kern w:val="24"/>
                <w:lang w:val="en-US"/>
              </w:rPr>
              <w:t>, mean ± SD)</w:t>
            </w:r>
          </w:p>
        </w:tc>
        <w:tc>
          <w:tcPr>
            <w:tcW w:w="739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CCF12C" w14:textId="77777777" w:rsidR="00CA2A05" w:rsidRPr="00792420" w:rsidRDefault="00CA2A05" w:rsidP="008F6A57">
            <w:pPr>
              <w:jc w:val="center"/>
              <w:rPr>
                <w:rFonts w:asciiTheme="majorBidi" w:eastAsia="Times New Roman" w:hAnsiTheme="majorBidi" w:cstheme="majorBidi"/>
                <w:lang w:val="en-US"/>
              </w:rPr>
            </w:pPr>
          </w:p>
        </w:tc>
      </w:tr>
      <w:tr w:rsidR="00CA2A05" w:rsidRPr="00792420" w14:paraId="4674E2DD" w14:textId="77777777" w:rsidTr="008F6A57">
        <w:trPr>
          <w:trHeight w:val="518"/>
          <w:jc w:val="center"/>
        </w:trPr>
        <w:tc>
          <w:tcPr>
            <w:tcW w:w="3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E203F9"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AQP4-NMOSD without ON</w:t>
            </w:r>
          </w:p>
        </w:tc>
        <w:tc>
          <w:tcPr>
            <w:tcW w:w="1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BF6423"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88.23 ± 19.14</w:t>
            </w:r>
          </w:p>
          <w:p w14:paraId="08717626"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(13)</w:t>
            </w:r>
          </w:p>
        </w:tc>
        <w:tc>
          <w:tcPr>
            <w:tcW w:w="1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CE44B5"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 xml:space="preserve">86 ± </w:t>
            </w:r>
            <w:r w:rsidRPr="00792420">
              <w:rPr>
                <w:rFonts w:asciiTheme="majorBidi" w:eastAsia="Times New Roman" w:hAnsiTheme="majorBidi" w:cstheme="majorBidi"/>
                <w:color w:val="000000" w:themeColor="text1"/>
                <w:kern w:val="24"/>
                <w:lang w:val="en-US"/>
              </w:rPr>
              <w:t>24.48</w:t>
            </w:r>
          </w:p>
          <w:p w14:paraId="1B2E9060"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(30)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656453"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3.23</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C6BFDC"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3.59</w:t>
            </w:r>
          </w:p>
        </w:tc>
        <w:tc>
          <w:tcPr>
            <w:tcW w:w="11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B307E"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7.7</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4015E2"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0.65</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945D37"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0.07</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C8BFDB"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0.07</w:t>
            </w:r>
          </w:p>
        </w:tc>
      </w:tr>
      <w:tr w:rsidR="00CA2A05" w:rsidRPr="00792420" w14:paraId="01003DA1" w14:textId="77777777" w:rsidTr="008F6A57">
        <w:trPr>
          <w:trHeight w:val="518"/>
          <w:jc w:val="center"/>
        </w:trPr>
        <w:tc>
          <w:tcPr>
            <w:tcW w:w="3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301BDE"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MOGAD without ON</w:t>
            </w:r>
          </w:p>
        </w:tc>
        <w:tc>
          <w:tcPr>
            <w:tcW w:w="196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9A9D67D"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86.29 ± 16.03</w:t>
            </w:r>
          </w:p>
          <w:p w14:paraId="53962DC9"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(7)</w:t>
            </w:r>
          </w:p>
        </w:tc>
        <w:tc>
          <w:tcPr>
            <w:tcW w:w="1885"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43675096"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96.00 ± 11.80</w:t>
            </w:r>
          </w:p>
          <w:p w14:paraId="6D8B58CA"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(37)</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15DA3678"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-9.71</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6F686173"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-13.1</w:t>
            </w:r>
          </w:p>
        </w:tc>
        <w:tc>
          <w:tcPr>
            <w:tcW w:w="1128"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126F5A0A"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5.93</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54DDDC6A"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b/>
                <w:bCs/>
                <w:color w:val="000000" w:themeColor="text1"/>
                <w:kern w:val="24"/>
                <w:lang w:val="en-US"/>
              </w:rPr>
              <w:t>0.03*</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5E5DC3D8"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0.11</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4E2F208A"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0.45</w:t>
            </w:r>
          </w:p>
        </w:tc>
      </w:tr>
      <w:tr w:rsidR="00CA2A05" w:rsidRPr="00792420" w14:paraId="51CA2190" w14:textId="77777777" w:rsidTr="008F6A57">
        <w:trPr>
          <w:trHeight w:val="253"/>
          <w:jc w:val="center"/>
        </w:trPr>
        <w:tc>
          <w:tcPr>
            <w:tcW w:w="318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4907C2" w14:textId="77777777" w:rsidR="00CA2A05" w:rsidRPr="00792420" w:rsidRDefault="00CA2A05" w:rsidP="008F6A57">
            <w:pPr>
              <w:rPr>
                <w:rFonts w:asciiTheme="majorBidi" w:eastAsia="Times New Roman" w:hAnsiTheme="majorBidi" w:cstheme="majorBidi"/>
                <w:lang w:val="en-US"/>
              </w:rPr>
            </w:pPr>
          </w:p>
        </w:tc>
        <w:tc>
          <w:tcPr>
            <w:tcW w:w="1124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BB4EC7"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GCIPL volume</w:t>
            </w:r>
          </w:p>
        </w:tc>
      </w:tr>
      <w:tr w:rsidR="00CA2A05" w:rsidRPr="00792420" w14:paraId="5C0E9F9A" w14:textId="77777777" w:rsidTr="008F6A57">
        <w:trPr>
          <w:trHeight w:val="25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7666CE" w14:textId="77777777" w:rsidR="00CA2A05" w:rsidRPr="00792420" w:rsidRDefault="00CA2A05" w:rsidP="008F6A57">
            <w:pPr>
              <w:rPr>
                <w:rFonts w:asciiTheme="majorBidi" w:eastAsia="Times New Roman" w:hAnsiTheme="majorBidi" w:cstheme="majorBidi"/>
                <w:lang w:val="en-US"/>
              </w:rPr>
            </w:pPr>
          </w:p>
        </w:tc>
        <w:tc>
          <w:tcPr>
            <w:tcW w:w="38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52D058"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Volume (mm³, mean ± SD)</w:t>
            </w:r>
          </w:p>
        </w:tc>
        <w:tc>
          <w:tcPr>
            <w:tcW w:w="739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0F7BD6" w14:textId="77777777" w:rsidR="00CA2A05" w:rsidRPr="00792420" w:rsidRDefault="00CA2A05" w:rsidP="008F6A57">
            <w:pPr>
              <w:jc w:val="center"/>
              <w:rPr>
                <w:rFonts w:asciiTheme="majorBidi" w:eastAsia="Times New Roman" w:hAnsiTheme="majorBidi" w:cstheme="majorBidi"/>
                <w:lang w:val="en-US"/>
              </w:rPr>
            </w:pPr>
          </w:p>
        </w:tc>
      </w:tr>
      <w:tr w:rsidR="00CA2A05" w:rsidRPr="00792420" w14:paraId="7DBCB580" w14:textId="77777777" w:rsidTr="008F6A57">
        <w:trPr>
          <w:trHeight w:val="518"/>
          <w:jc w:val="center"/>
        </w:trPr>
        <w:tc>
          <w:tcPr>
            <w:tcW w:w="3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0DAF23"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AQP4-NMOSD without ON</w:t>
            </w:r>
          </w:p>
        </w:tc>
        <w:tc>
          <w:tcPr>
            <w:tcW w:w="1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4A38A"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 xml:space="preserve">1.81 </w:t>
            </w:r>
            <w:r w:rsidRPr="00792420">
              <w:rPr>
                <w:rFonts w:asciiTheme="majorBidi" w:eastAsia="Calibri" w:hAnsiTheme="majorBidi" w:cstheme="majorBidi"/>
                <w:color w:val="000000" w:themeColor="text1"/>
                <w:kern w:val="24"/>
                <w:lang w:val="en-US"/>
              </w:rPr>
              <w:t xml:space="preserve">± </w:t>
            </w:r>
            <w:r w:rsidRPr="00792420">
              <w:rPr>
                <w:rFonts w:asciiTheme="majorBidi" w:eastAsia="Times New Roman" w:hAnsiTheme="majorBidi" w:cstheme="majorBidi"/>
                <w:color w:val="000000" w:themeColor="text1"/>
                <w:kern w:val="24"/>
                <w:lang w:val="en-US"/>
              </w:rPr>
              <w:t>0.3</w:t>
            </w:r>
          </w:p>
          <w:p w14:paraId="4D02A618"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(12)</w:t>
            </w:r>
          </w:p>
        </w:tc>
        <w:tc>
          <w:tcPr>
            <w:tcW w:w="1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AAD310"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 xml:space="preserve">1.73 </w:t>
            </w:r>
            <w:r w:rsidRPr="00792420">
              <w:rPr>
                <w:rFonts w:asciiTheme="majorBidi" w:eastAsia="Calibri" w:hAnsiTheme="majorBidi" w:cstheme="majorBidi"/>
                <w:color w:val="000000" w:themeColor="text1"/>
                <w:kern w:val="24"/>
                <w:lang w:val="en-US"/>
              </w:rPr>
              <w:t xml:space="preserve">± </w:t>
            </w:r>
            <w:r w:rsidRPr="00792420">
              <w:rPr>
                <w:rFonts w:asciiTheme="majorBidi" w:eastAsia="Times New Roman" w:hAnsiTheme="majorBidi" w:cstheme="majorBidi"/>
                <w:color w:val="000000" w:themeColor="text1"/>
                <w:kern w:val="24"/>
                <w:lang w:val="en-US"/>
              </w:rPr>
              <w:t>0.37</w:t>
            </w:r>
          </w:p>
          <w:p w14:paraId="29700D8B"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(28)</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C4435F"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0.08</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595DFD"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0.05</w:t>
            </w:r>
          </w:p>
        </w:tc>
        <w:tc>
          <w:tcPr>
            <w:tcW w:w="11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77A1E2"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0.12</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8A0EF4"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0.71</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6C74CA"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0.14</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C95488"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0.15</w:t>
            </w:r>
          </w:p>
        </w:tc>
      </w:tr>
      <w:tr w:rsidR="00CA2A05" w:rsidRPr="00792420" w14:paraId="723F2571" w14:textId="77777777" w:rsidTr="008F6A57">
        <w:trPr>
          <w:trHeight w:val="518"/>
          <w:jc w:val="center"/>
        </w:trPr>
        <w:tc>
          <w:tcPr>
            <w:tcW w:w="3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8BF65F"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MOGAD without ON</w:t>
            </w:r>
          </w:p>
        </w:tc>
        <w:tc>
          <w:tcPr>
            <w:tcW w:w="196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5377728D"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1.96 ± 0.17</w:t>
            </w:r>
          </w:p>
          <w:p w14:paraId="28727579"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(4)</w:t>
            </w:r>
          </w:p>
        </w:tc>
        <w:tc>
          <w:tcPr>
            <w:tcW w:w="1885"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4A116C29"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1.96 ± 0.20</w:t>
            </w:r>
          </w:p>
          <w:p w14:paraId="196F4C7F"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(34)</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5DD65151"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0</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1FA7E93"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0</w:t>
            </w:r>
          </w:p>
        </w:tc>
        <w:tc>
          <w:tcPr>
            <w:tcW w:w="1128"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1D68155"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0.11</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1D2C48A4"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0.97</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46EB6CE0"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0.02</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50BCB380"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0.52</w:t>
            </w:r>
          </w:p>
        </w:tc>
      </w:tr>
      <w:tr w:rsidR="00CA2A05" w:rsidRPr="00792420" w14:paraId="5B0CCC0F" w14:textId="77777777" w:rsidTr="008F6A57">
        <w:trPr>
          <w:trHeight w:val="253"/>
          <w:jc w:val="center"/>
        </w:trPr>
        <w:tc>
          <w:tcPr>
            <w:tcW w:w="318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8C481F"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 </w:t>
            </w:r>
          </w:p>
        </w:tc>
        <w:tc>
          <w:tcPr>
            <w:tcW w:w="11249"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B7D901"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Total macular volume</w:t>
            </w:r>
          </w:p>
        </w:tc>
      </w:tr>
      <w:tr w:rsidR="00CA2A05" w:rsidRPr="00792420" w14:paraId="176FA723" w14:textId="77777777" w:rsidTr="008F6A57">
        <w:trPr>
          <w:trHeight w:val="253"/>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FD4D58" w14:textId="77777777" w:rsidR="00CA2A05" w:rsidRPr="00792420" w:rsidRDefault="00CA2A05" w:rsidP="008F6A57">
            <w:pPr>
              <w:rPr>
                <w:rFonts w:asciiTheme="majorBidi" w:eastAsia="Times New Roman" w:hAnsiTheme="majorBidi" w:cstheme="majorBidi"/>
                <w:lang w:val="en-US"/>
              </w:rPr>
            </w:pPr>
          </w:p>
        </w:tc>
        <w:tc>
          <w:tcPr>
            <w:tcW w:w="38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8CE00A"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Volume (mm³, mean ± SD)</w:t>
            </w:r>
          </w:p>
        </w:tc>
        <w:tc>
          <w:tcPr>
            <w:tcW w:w="739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7BCCE1" w14:textId="77777777" w:rsidR="00CA2A05" w:rsidRPr="00792420" w:rsidRDefault="00CA2A05" w:rsidP="008F6A57">
            <w:pPr>
              <w:jc w:val="center"/>
              <w:rPr>
                <w:rFonts w:asciiTheme="majorBidi" w:eastAsia="Times New Roman" w:hAnsiTheme="majorBidi" w:cstheme="majorBidi"/>
                <w:lang w:val="en-US"/>
              </w:rPr>
            </w:pPr>
          </w:p>
        </w:tc>
      </w:tr>
      <w:tr w:rsidR="00CA2A05" w:rsidRPr="00792420" w14:paraId="51C6B3CA" w14:textId="77777777" w:rsidTr="008F6A57">
        <w:trPr>
          <w:trHeight w:val="518"/>
          <w:jc w:val="center"/>
        </w:trPr>
        <w:tc>
          <w:tcPr>
            <w:tcW w:w="3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6BA390"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AQP4-NMOSD without ON</w:t>
            </w:r>
          </w:p>
        </w:tc>
        <w:tc>
          <w:tcPr>
            <w:tcW w:w="1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6E877C"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 xml:space="preserve">8.25 </w:t>
            </w:r>
            <w:r w:rsidRPr="00792420">
              <w:rPr>
                <w:rFonts w:asciiTheme="majorBidi" w:eastAsia="Calibri" w:hAnsiTheme="majorBidi" w:cstheme="majorBidi"/>
                <w:color w:val="000000" w:themeColor="text1"/>
                <w:kern w:val="24"/>
                <w:lang w:val="en-US"/>
              </w:rPr>
              <w:t xml:space="preserve">± </w:t>
            </w:r>
            <w:r w:rsidRPr="00792420">
              <w:rPr>
                <w:rFonts w:asciiTheme="majorBidi" w:eastAsia="Times New Roman" w:hAnsiTheme="majorBidi" w:cstheme="majorBidi"/>
                <w:color w:val="000000" w:themeColor="text1"/>
                <w:kern w:val="24"/>
                <w:lang w:val="en-US"/>
              </w:rPr>
              <w:t>0.62</w:t>
            </w:r>
          </w:p>
          <w:p w14:paraId="70504E0D"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(12)</w:t>
            </w:r>
          </w:p>
        </w:tc>
        <w:tc>
          <w:tcPr>
            <w:tcW w:w="1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CF36CB"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 xml:space="preserve">8.10 </w:t>
            </w:r>
            <w:r w:rsidRPr="00792420">
              <w:rPr>
                <w:rFonts w:asciiTheme="majorBidi" w:eastAsia="Calibri" w:hAnsiTheme="majorBidi" w:cstheme="majorBidi"/>
                <w:color w:val="000000" w:themeColor="text1"/>
                <w:kern w:val="24"/>
                <w:lang w:val="en-US"/>
              </w:rPr>
              <w:t>± 0.99</w:t>
            </w:r>
          </w:p>
          <w:p w14:paraId="4F75DD24"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(29)</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B18E48"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0.15</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AC690C"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0.06</w:t>
            </w:r>
          </w:p>
        </w:tc>
        <w:tc>
          <w:tcPr>
            <w:tcW w:w="11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46EC2A"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0.28</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DEFC60"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0.84</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849EC1"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0.24</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CB2E95"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Times New Roman" w:hAnsiTheme="majorBidi" w:cstheme="majorBidi"/>
                <w:color w:val="000000" w:themeColor="text1"/>
                <w:kern w:val="24"/>
                <w:lang w:val="en-US"/>
              </w:rPr>
              <w:t>0.24</w:t>
            </w:r>
          </w:p>
        </w:tc>
      </w:tr>
      <w:tr w:rsidR="00CA2A05" w:rsidRPr="00792420" w14:paraId="7D4F7F79" w14:textId="77777777" w:rsidTr="008F6A57">
        <w:trPr>
          <w:trHeight w:val="518"/>
          <w:jc w:val="center"/>
        </w:trPr>
        <w:tc>
          <w:tcPr>
            <w:tcW w:w="31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C25EC" w14:textId="77777777" w:rsidR="00CA2A05" w:rsidRPr="00792420" w:rsidRDefault="00CA2A05" w:rsidP="008F6A57">
            <w:pPr>
              <w:jc w:val="center"/>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MOGAD without ON</w:t>
            </w:r>
          </w:p>
        </w:tc>
        <w:tc>
          <w:tcPr>
            <w:tcW w:w="196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5477AAE5"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8.71 ± 0.32</w:t>
            </w:r>
          </w:p>
          <w:p w14:paraId="0DE3FD12"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(5)</w:t>
            </w:r>
          </w:p>
        </w:tc>
        <w:tc>
          <w:tcPr>
            <w:tcW w:w="1885"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7E7041E6"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8.66 ± 0.39</w:t>
            </w:r>
          </w:p>
          <w:p w14:paraId="339D14C2"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(34)</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2C32283A"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0.05</w:t>
            </w:r>
          </w:p>
        </w:tc>
        <w:tc>
          <w:tcPr>
            <w:tcW w:w="1229"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1B3DF311"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0.05</w:t>
            </w:r>
          </w:p>
        </w:tc>
        <w:tc>
          <w:tcPr>
            <w:tcW w:w="1128"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32A29D48"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0.2</w:t>
            </w:r>
          </w:p>
        </w:tc>
        <w:tc>
          <w:tcPr>
            <w:tcW w:w="1145"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23789F49"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0.79</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65837BF9"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0.02</w:t>
            </w:r>
          </w:p>
        </w:tc>
        <w:tc>
          <w:tcPr>
            <w:tcW w:w="1044"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hideMark/>
          </w:tcPr>
          <w:p w14:paraId="0037F21A" w14:textId="77777777" w:rsidR="00CA2A05" w:rsidRPr="00792420" w:rsidRDefault="00CA2A05" w:rsidP="008F6A57">
            <w:pPr>
              <w:jc w:val="center"/>
              <w:textAlignment w:val="center"/>
              <w:rPr>
                <w:rFonts w:asciiTheme="majorBidi" w:eastAsia="Times New Roman" w:hAnsiTheme="majorBidi" w:cstheme="majorBidi"/>
                <w:lang w:val="en-US"/>
              </w:rPr>
            </w:pPr>
            <w:r w:rsidRPr="00792420">
              <w:rPr>
                <w:rFonts w:asciiTheme="majorBidi" w:eastAsiaTheme="minorEastAsia" w:hAnsiTheme="majorBidi" w:cstheme="majorBidi"/>
                <w:color w:val="000000" w:themeColor="text1"/>
                <w:kern w:val="24"/>
                <w:lang w:val="en-US"/>
              </w:rPr>
              <w:t>0.68</w:t>
            </w:r>
          </w:p>
        </w:tc>
      </w:tr>
      <w:tr w:rsidR="00CA2A05" w:rsidRPr="00792420" w14:paraId="66579B96" w14:textId="77777777" w:rsidTr="008F6A57">
        <w:trPr>
          <w:trHeight w:val="958"/>
          <w:jc w:val="center"/>
        </w:trPr>
        <w:tc>
          <w:tcPr>
            <w:tcW w:w="1443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DA2F5B" w14:textId="77777777" w:rsidR="00CA2A05" w:rsidRPr="00792420" w:rsidRDefault="00CA2A05" w:rsidP="008F6A57">
            <w:pPr>
              <w:jc w:val="both"/>
              <w:rPr>
                <w:rFonts w:asciiTheme="majorBidi" w:eastAsia="Times New Roman" w:hAnsiTheme="majorBidi" w:cstheme="majorBidi"/>
                <w:lang w:val="en-US"/>
              </w:rPr>
            </w:pPr>
            <w:r w:rsidRPr="00792420">
              <w:rPr>
                <w:rFonts w:asciiTheme="majorBidi" w:eastAsia="Calibri" w:hAnsiTheme="majorBidi" w:cstheme="majorBidi"/>
                <w:color w:val="000000" w:themeColor="text1"/>
                <w:kern w:val="24"/>
                <w:lang w:val="en-US"/>
              </w:rPr>
              <w:t xml:space="preserve">AQP4-NMOSD: Aquaporin-4 positive neuromyelitis </w:t>
            </w:r>
            <w:proofErr w:type="spellStart"/>
            <w:r w:rsidRPr="00792420">
              <w:rPr>
                <w:rFonts w:asciiTheme="majorBidi" w:eastAsia="Calibri" w:hAnsiTheme="majorBidi" w:cstheme="majorBidi"/>
                <w:color w:val="000000" w:themeColor="text1"/>
                <w:kern w:val="24"/>
                <w:lang w:val="en-US"/>
              </w:rPr>
              <w:t>optica</w:t>
            </w:r>
            <w:proofErr w:type="spellEnd"/>
            <w:r w:rsidRPr="00792420">
              <w:rPr>
                <w:rFonts w:asciiTheme="majorBidi" w:eastAsia="Calibri" w:hAnsiTheme="majorBidi" w:cstheme="majorBidi"/>
                <w:color w:val="000000" w:themeColor="text1"/>
                <w:kern w:val="24"/>
                <w:lang w:val="en-US"/>
              </w:rPr>
              <w:t xml:space="preserve"> spectrum disorder; </w:t>
            </w:r>
            <w:proofErr w:type="spellStart"/>
            <w:r w:rsidRPr="00792420">
              <w:rPr>
                <w:rFonts w:asciiTheme="majorBidi" w:eastAsia="Calibri" w:hAnsiTheme="majorBidi" w:cstheme="majorBidi"/>
                <w:color w:val="000000" w:themeColor="text1"/>
                <w:kern w:val="24"/>
                <w:lang w:val="en-US"/>
              </w:rPr>
              <w:t>pRNFL</w:t>
            </w:r>
            <w:proofErr w:type="spellEnd"/>
            <w:r w:rsidRPr="00792420">
              <w:rPr>
                <w:rFonts w:asciiTheme="majorBidi" w:eastAsia="Calibri" w:hAnsiTheme="majorBidi" w:cstheme="majorBidi"/>
                <w:color w:val="000000" w:themeColor="text1"/>
                <w:kern w:val="24"/>
                <w:lang w:val="en-US"/>
              </w:rPr>
              <w:t xml:space="preserve">: Peripapillary retinal nerve fiber layer; GCIPL: Ganglion cell-inner plexiform layer; Total macular volume (TMV); SD: Standard deviation; ON: Optic neuritis; </w:t>
            </w:r>
            <w:r w:rsidRPr="00792420">
              <w:rPr>
                <w:rFonts w:asciiTheme="majorBidi" w:eastAsiaTheme="minorEastAsia" w:hAnsiTheme="majorBidi" w:cstheme="majorBidi"/>
                <w:color w:val="000000" w:themeColor="text1"/>
                <w:kern w:val="24"/>
                <w:lang w:val="en-US"/>
              </w:rPr>
              <w:t>AD: autoimmune disorders.</w:t>
            </w:r>
            <w:r w:rsidRPr="00792420">
              <w:rPr>
                <w:rFonts w:asciiTheme="majorBidi" w:eastAsia="Calibri" w:hAnsiTheme="majorBidi" w:cstheme="majorBidi"/>
                <w:color w:val="000000" w:themeColor="text1"/>
                <w:kern w:val="24"/>
                <w:lang w:val="en-US"/>
              </w:rPr>
              <w:t xml:space="preserve"> B: Estimate; SE: Standard errors; R</w:t>
            </w:r>
            <w:r w:rsidRPr="00792420">
              <w:rPr>
                <w:rFonts w:asciiTheme="majorBidi" w:eastAsia="Calibri" w:hAnsiTheme="majorBidi" w:cstheme="majorBidi"/>
                <w:color w:val="000000" w:themeColor="text1"/>
                <w:kern w:val="24"/>
                <w:position w:val="7"/>
                <w:vertAlign w:val="superscript"/>
                <w:lang w:val="en-US"/>
              </w:rPr>
              <w:t>2</w:t>
            </w:r>
            <w:r w:rsidRPr="00792420">
              <w:rPr>
                <w:rFonts w:asciiTheme="majorBidi" w:eastAsia="Calibri" w:hAnsiTheme="majorBidi" w:cstheme="majorBidi"/>
                <w:color w:val="000000" w:themeColor="text1"/>
                <w:kern w:val="24"/>
                <w:lang w:val="en-US"/>
              </w:rPr>
              <w:t xml:space="preserve"> marginal (R</w:t>
            </w:r>
            <w:r w:rsidRPr="00792420">
              <w:rPr>
                <w:rFonts w:asciiTheme="majorBidi" w:eastAsia="Calibri" w:hAnsiTheme="majorBidi" w:cstheme="majorBidi"/>
                <w:color w:val="000000" w:themeColor="text1"/>
                <w:kern w:val="24"/>
                <w:position w:val="7"/>
                <w:vertAlign w:val="superscript"/>
                <w:lang w:val="en-US"/>
              </w:rPr>
              <w:t>2</w:t>
            </w:r>
            <w:r w:rsidRPr="00792420">
              <w:rPr>
                <w:rFonts w:asciiTheme="majorBidi" w:eastAsia="Calibri" w:hAnsiTheme="majorBidi" w:cstheme="majorBidi"/>
                <w:color w:val="000000" w:themeColor="text1"/>
                <w:kern w:val="24"/>
                <w:lang w:val="en-US"/>
              </w:rPr>
              <w:t xml:space="preserve"> </w:t>
            </w:r>
            <w:proofErr w:type="spellStart"/>
            <w:r w:rsidRPr="00792420">
              <w:rPr>
                <w:rFonts w:asciiTheme="majorBidi" w:eastAsia="Calibri" w:hAnsiTheme="majorBidi" w:cstheme="majorBidi"/>
                <w:color w:val="000000" w:themeColor="text1"/>
                <w:kern w:val="24"/>
                <w:position w:val="-6"/>
                <w:vertAlign w:val="subscript"/>
                <w:lang w:val="en-US"/>
              </w:rPr>
              <w:t>marg</w:t>
            </w:r>
            <w:proofErr w:type="spellEnd"/>
            <w:r w:rsidRPr="00792420">
              <w:rPr>
                <w:rFonts w:asciiTheme="majorBidi" w:eastAsia="Calibri" w:hAnsiTheme="majorBidi" w:cstheme="majorBidi"/>
                <w:color w:val="000000" w:themeColor="text1"/>
                <w:kern w:val="24"/>
                <w:lang w:val="en-US"/>
              </w:rPr>
              <w:t>): Proportion of variance explained by the fixed factors alone; R</w:t>
            </w:r>
            <w:r w:rsidRPr="00792420">
              <w:rPr>
                <w:rFonts w:asciiTheme="majorBidi" w:eastAsia="Calibri" w:hAnsiTheme="majorBidi" w:cstheme="majorBidi"/>
                <w:color w:val="000000" w:themeColor="text1"/>
                <w:kern w:val="24"/>
                <w:position w:val="7"/>
                <w:vertAlign w:val="superscript"/>
                <w:lang w:val="en-US"/>
              </w:rPr>
              <w:t>2</w:t>
            </w:r>
            <w:r w:rsidRPr="00792420">
              <w:rPr>
                <w:rFonts w:asciiTheme="majorBidi" w:eastAsia="Calibri" w:hAnsiTheme="majorBidi" w:cstheme="majorBidi"/>
                <w:color w:val="000000" w:themeColor="text1"/>
                <w:kern w:val="24"/>
                <w:lang w:val="en-US"/>
              </w:rPr>
              <w:t xml:space="preserve"> conditional (R</w:t>
            </w:r>
            <w:r w:rsidRPr="00792420">
              <w:rPr>
                <w:rFonts w:asciiTheme="majorBidi" w:eastAsia="Calibri" w:hAnsiTheme="majorBidi" w:cstheme="majorBidi"/>
                <w:color w:val="000000" w:themeColor="text1"/>
                <w:kern w:val="24"/>
                <w:position w:val="7"/>
                <w:vertAlign w:val="superscript"/>
                <w:lang w:val="en-US"/>
              </w:rPr>
              <w:t>2</w:t>
            </w:r>
            <w:r w:rsidRPr="00792420">
              <w:rPr>
                <w:rFonts w:asciiTheme="majorBidi" w:eastAsia="Calibri" w:hAnsiTheme="majorBidi" w:cstheme="majorBidi"/>
                <w:color w:val="000000" w:themeColor="text1"/>
                <w:kern w:val="24"/>
                <w:lang w:val="en-US"/>
              </w:rPr>
              <w:t xml:space="preserve"> </w:t>
            </w:r>
            <w:proofErr w:type="spellStart"/>
            <w:r w:rsidRPr="00792420">
              <w:rPr>
                <w:rFonts w:asciiTheme="majorBidi" w:eastAsia="Calibri" w:hAnsiTheme="majorBidi" w:cstheme="majorBidi"/>
                <w:color w:val="000000" w:themeColor="text1"/>
                <w:kern w:val="24"/>
                <w:position w:val="-6"/>
                <w:vertAlign w:val="subscript"/>
                <w:lang w:val="en-US"/>
              </w:rPr>
              <w:t>cond</w:t>
            </w:r>
            <w:proofErr w:type="spellEnd"/>
            <w:r w:rsidRPr="00792420">
              <w:rPr>
                <w:rFonts w:asciiTheme="majorBidi" w:eastAsia="Calibri" w:hAnsiTheme="majorBidi" w:cstheme="majorBidi"/>
                <w:color w:val="000000" w:themeColor="text1"/>
                <w:kern w:val="24"/>
                <w:lang w:val="en-US"/>
              </w:rPr>
              <w:t>): Proportion of variance explained by both the fixed and random factors; All p-values &gt; 0.05, indicating non-significance.</w:t>
            </w:r>
          </w:p>
        </w:tc>
      </w:tr>
    </w:tbl>
    <w:p w14:paraId="3D3D302B" w14:textId="712A6E7D" w:rsidR="00197FE2" w:rsidRDefault="00197FE2"/>
    <w:p w14:paraId="03DDB570" w14:textId="77777777" w:rsidR="00197FE2" w:rsidRDefault="00197FE2">
      <w:pPr>
        <w:spacing w:after="160" w:line="259" w:lineRule="auto"/>
      </w:pPr>
      <w:r>
        <w:br w:type="page"/>
      </w:r>
    </w:p>
    <w:p w14:paraId="7FF9D468" w14:textId="77777777" w:rsidR="00197FE2" w:rsidRPr="00197FE2" w:rsidRDefault="00197FE2" w:rsidP="00197FE2">
      <w:pPr>
        <w:spacing w:before="100" w:beforeAutospacing="1" w:after="100" w:afterAutospacing="1"/>
        <w:jc w:val="both"/>
        <w:rPr>
          <w:rFonts w:ascii="Times New Roman" w:eastAsia="Times New Roman" w:hAnsi="Times New Roman" w:cs="Times New Roman"/>
          <w:lang w:val="en-US"/>
        </w:rPr>
      </w:pPr>
      <w:r w:rsidRPr="00197FE2">
        <w:rPr>
          <w:rFonts w:ascii="Times New Roman" w:eastAsia="Times New Roman" w:hAnsi="Times New Roman" w:cs="Times New Roman"/>
          <w:b/>
          <w:bCs/>
          <w:lang w:val="en-US"/>
        </w:rPr>
        <w:lastRenderedPageBreak/>
        <w:t>Definition of Visual Recovery and Justification of Threshold</w:t>
      </w:r>
    </w:p>
    <w:p w14:paraId="2E569783" w14:textId="06DEA943" w:rsidR="00197FE2" w:rsidRDefault="00197FE2" w:rsidP="00197FE2">
      <w:pPr>
        <w:spacing w:before="100" w:beforeAutospacing="1" w:after="100" w:afterAutospacing="1"/>
        <w:jc w:val="both"/>
        <w:rPr>
          <w:rFonts w:ascii="Times New Roman" w:eastAsia="Times New Roman" w:hAnsi="Times New Roman" w:cs="Times New Roman"/>
          <w:lang w:val="en-US"/>
        </w:rPr>
      </w:pPr>
      <w:r w:rsidRPr="00197FE2">
        <w:rPr>
          <w:rFonts w:ascii="Times New Roman" w:eastAsia="Times New Roman" w:hAnsi="Times New Roman" w:cs="Times New Roman"/>
          <w:lang w:val="en-US"/>
        </w:rPr>
        <w:t xml:space="preserve">Visual recovery after optic neuritis (ON) was assessed based on visual acuity (VA) measured at least 6 months after the onset of the ON attack. Patients who experienced a second ON episode within this 6-month window were excluded from the analysis to avoid confounding by subsequent events. Poor visual recovery was defined as a VA below </w:t>
      </w:r>
      <w:proofErr w:type="spellStart"/>
      <w:r w:rsidRPr="00197FE2">
        <w:rPr>
          <w:rFonts w:ascii="Times New Roman" w:eastAsia="Times New Roman" w:hAnsi="Times New Roman" w:cs="Times New Roman"/>
          <w:lang w:val="en-US"/>
        </w:rPr>
        <w:t>logMAR</w:t>
      </w:r>
      <w:proofErr w:type="spellEnd"/>
      <w:r w:rsidRPr="00197FE2">
        <w:rPr>
          <w:rFonts w:ascii="Times New Roman" w:eastAsia="Times New Roman" w:hAnsi="Times New Roman" w:cs="Times New Roman"/>
          <w:lang w:val="en-US"/>
        </w:rPr>
        <w:t xml:space="preserve"> 0.1 (equivalent to Snellen 6/7.5), consistent with previous literature indicating that complete or near-complete recovery corresponds to </w:t>
      </w:r>
      <w:proofErr w:type="spellStart"/>
      <w:r w:rsidRPr="00197FE2">
        <w:rPr>
          <w:rFonts w:ascii="Times New Roman" w:eastAsia="Times New Roman" w:hAnsi="Times New Roman" w:cs="Times New Roman"/>
          <w:lang w:val="en-US"/>
        </w:rPr>
        <w:t>logMAR</w:t>
      </w:r>
      <w:proofErr w:type="spellEnd"/>
      <w:r w:rsidRPr="00197FE2">
        <w:rPr>
          <w:rFonts w:ascii="Times New Roman" w:eastAsia="Times New Roman" w:hAnsi="Times New Roman" w:cs="Times New Roman"/>
          <w:lang w:val="en-US"/>
        </w:rPr>
        <w:t xml:space="preserve"> 0.0 (Snellen 6/6) (Radner &amp; Benesch, </w:t>
      </w:r>
      <w:proofErr w:type="spellStart"/>
      <w:r w:rsidRPr="00197FE2">
        <w:rPr>
          <w:rFonts w:ascii="Times New Roman" w:eastAsia="Times New Roman" w:hAnsi="Times New Roman" w:cs="Times New Roman"/>
          <w:i/>
          <w:iCs/>
          <w:lang w:val="en-US"/>
        </w:rPr>
        <w:t>Graefes</w:t>
      </w:r>
      <w:proofErr w:type="spellEnd"/>
      <w:r w:rsidRPr="00197FE2">
        <w:rPr>
          <w:rFonts w:ascii="Times New Roman" w:eastAsia="Times New Roman" w:hAnsi="Times New Roman" w:cs="Times New Roman"/>
          <w:i/>
          <w:iCs/>
          <w:lang w:val="en-US"/>
        </w:rPr>
        <w:t xml:space="preserve"> Arch Clin Exp </w:t>
      </w:r>
      <w:proofErr w:type="spellStart"/>
      <w:r w:rsidRPr="00197FE2">
        <w:rPr>
          <w:rFonts w:ascii="Times New Roman" w:eastAsia="Times New Roman" w:hAnsi="Times New Roman" w:cs="Times New Roman"/>
          <w:i/>
          <w:iCs/>
          <w:lang w:val="en-US"/>
        </w:rPr>
        <w:t>Ophthalmol</w:t>
      </w:r>
      <w:proofErr w:type="spellEnd"/>
      <w:r w:rsidRPr="00197FE2">
        <w:rPr>
          <w:rFonts w:ascii="Times New Roman" w:eastAsia="Times New Roman" w:hAnsi="Times New Roman" w:cs="Times New Roman"/>
          <w:lang w:val="en-US"/>
        </w:rPr>
        <w:t>, 2019). The threshold was chosen based on prior analyses (</w:t>
      </w:r>
      <w:proofErr w:type="spellStart"/>
      <w:r w:rsidRPr="00197FE2">
        <w:rPr>
          <w:rFonts w:ascii="Times New Roman" w:eastAsia="Times New Roman" w:hAnsi="Times New Roman" w:cs="Times New Roman"/>
          <w:lang w:val="en-US"/>
        </w:rPr>
        <w:t>doi</w:t>
      </w:r>
      <w:proofErr w:type="spellEnd"/>
      <w:r w:rsidRPr="00197FE2">
        <w:rPr>
          <w:rFonts w:ascii="Times New Roman" w:eastAsia="Times New Roman" w:hAnsi="Times New Roman" w:cs="Times New Roman"/>
          <w:lang w:val="en-US"/>
        </w:rPr>
        <w:t xml:space="preserve">: 10.1177/13524585251325069) that demonstrated its sensitivity in detecting associations with vascular comorbidities and smoking. Alternative thresholds were explored but did not meaningfully change the results. The distribution of VA scores (see Supplementary Figure) shows that </w:t>
      </w:r>
      <w:proofErr w:type="spellStart"/>
      <w:r w:rsidRPr="00197FE2">
        <w:rPr>
          <w:rFonts w:ascii="Times New Roman" w:eastAsia="Times New Roman" w:hAnsi="Times New Roman" w:cs="Times New Roman"/>
          <w:lang w:val="en-US"/>
        </w:rPr>
        <w:t>logMAR</w:t>
      </w:r>
      <w:proofErr w:type="spellEnd"/>
      <w:r w:rsidRPr="00197FE2">
        <w:rPr>
          <w:rFonts w:ascii="Times New Roman" w:eastAsia="Times New Roman" w:hAnsi="Times New Roman" w:cs="Times New Roman"/>
          <w:lang w:val="en-US"/>
        </w:rPr>
        <w:t xml:space="preserve"> 0.1 marks the inflection point between the bulk of patients with good recovery and the long tail of those with residual impairment. </w:t>
      </w:r>
    </w:p>
    <w:tbl>
      <w:tblPr>
        <w:tblStyle w:val="TableGrid"/>
        <w:tblW w:w="0" w:type="auto"/>
        <w:jc w:val="center"/>
        <w:tblLook w:val="04A0" w:firstRow="1" w:lastRow="0" w:firstColumn="1" w:lastColumn="0" w:noHBand="0" w:noVBand="1"/>
      </w:tblPr>
      <w:tblGrid>
        <w:gridCol w:w="9350"/>
      </w:tblGrid>
      <w:tr w:rsidR="00197FE2" w:rsidRPr="00197FE2" w14:paraId="2508C28F" w14:textId="77777777" w:rsidTr="00197FE2">
        <w:trPr>
          <w:jc w:val="center"/>
        </w:trPr>
        <w:tc>
          <w:tcPr>
            <w:tcW w:w="9350" w:type="dxa"/>
          </w:tcPr>
          <w:p w14:paraId="30A780E6" w14:textId="77777777" w:rsidR="00197FE2" w:rsidRPr="00197FE2" w:rsidRDefault="00197FE2" w:rsidP="00197FE2">
            <w:pPr>
              <w:spacing w:before="100" w:beforeAutospacing="1" w:after="100" w:afterAutospacing="1"/>
              <w:jc w:val="center"/>
              <w:rPr>
                <w:rFonts w:ascii="Times New Roman" w:eastAsia="Times New Roman" w:hAnsi="Times New Roman" w:cs="Times New Roman"/>
                <w:b/>
                <w:lang w:val="en-US"/>
              </w:rPr>
            </w:pPr>
            <w:r w:rsidRPr="00197FE2">
              <w:rPr>
                <w:rFonts w:ascii="Times New Roman" w:eastAsia="Times New Roman" w:hAnsi="Times New Roman" w:cs="Times New Roman"/>
                <w:b/>
                <w:noProof/>
                <w:lang w:val="en-US"/>
              </w:rPr>
              <w:drawing>
                <wp:inline distT="0" distB="0" distL="0" distR="0" wp14:anchorId="214814EB" wp14:editId="458C4B99">
                  <wp:extent cx="4781550" cy="347798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2714" cy="3493374"/>
                          </a:xfrm>
                          <a:prstGeom prst="rect">
                            <a:avLst/>
                          </a:prstGeom>
                          <a:noFill/>
                        </pic:spPr>
                      </pic:pic>
                    </a:graphicData>
                  </a:graphic>
                </wp:inline>
              </w:drawing>
            </w:r>
          </w:p>
        </w:tc>
      </w:tr>
      <w:tr w:rsidR="00197FE2" w:rsidRPr="00197FE2" w14:paraId="3829326D" w14:textId="77777777" w:rsidTr="00197FE2">
        <w:trPr>
          <w:jc w:val="center"/>
        </w:trPr>
        <w:tc>
          <w:tcPr>
            <w:tcW w:w="9350" w:type="dxa"/>
          </w:tcPr>
          <w:p w14:paraId="553D9FD3" w14:textId="08662F14" w:rsidR="00197FE2" w:rsidRPr="00197FE2" w:rsidRDefault="00197FE2" w:rsidP="00E01257">
            <w:pPr>
              <w:spacing w:before="100" w:beforeAutospacing="1" w:after="100" w:afterAutospacing="1"/>
              <w:jc w:val="both"/>
              <w:rPr>
                <w:rFonts w:ascii="Times New Roman" w:eastAsia="Times New Roman" w:hAnsi="Times New Roman" w:cs="Times New Roman"/>
                <w:bCs/>
                <w:lang w:val="en-US"/>
              </w:rPr>
            </w:pPr>
            <w:r w:rsidRPr="00197FE2">
              <w:rPr>
                <w:rFonts w:ascii="Times New Roman" w:eastAsia="Times New Roman" w:hAnsi="Times New Roman" w:cs="Times New Roman"/>
                <w:b/>
                <w:bCs/>
                <w:lang w:val="en-US"/>
              </w:rPr>
              <w:lastRenderedPageBreak/>
              <w:t>Supplementary Figure 1:</w:t>
            </w:r>
            <w:r w:rsidRPr="00197FE2">
              <w:rPr>
                <w:rFonts w:ascii="Times New Roman" w:eastAsia="Times New Roman" w:hAnsi="Times New Roman" w:cs="Times New Roman"/>
                <w:lang w:val="en-US"/>
              </w:rPr>
              <w:t xml:space="preserve"> </w:t>
            </w:r>
            <w:r w:rsidRPr="00197FE2">
              <w:rPr>
                <w:rFonts w:ascii="Times New Roman" w:eastAsia="Times New Roman" w:hAnsi="Times New Roman" w:cs="Times New Roman"/>
                <w:bCs/>
                <w:lang w:val="en-US"/>
              </w:rPr>
              <w:t>Histogram of Visual Acuity (</w:t>
            </w:r>
            <w:proofErr w:type="spellStart"/>
            <w:r w:rsidRPr="00197FE2">
              <w:rPr>
                <w:rFonts w:ascii="Times New Roman" w:eastAsia="Times New Roman" w:hAnsi="Times New Roman" w:cs="Times New Roman"/>
                <w:bCs/>
                <w:lang w:val="en-US"/>
              </w:rPr>
              <w:t>logMAR</w:t>
            </w:r>
            <w:proofErr w:type="spellEnd"/>
            <w:r w:rsidRPr="00197FE2">
              <w:rPr>
                <w:rFonts w:ascii="Times New Roman" w:eastAsia="Times New Roman" w:hAnsi="Times New Roman" w:cs="Times New Roman"/>
                <w:bCs/>
                <w:lang w:val="en-US"/>
              </w:rPr>
              <w:t xml:space="preserve">) After First ON by </w:t>
            </w:r>
            <w:proofErr w:type="spellStart"/>
            <w:r w:rsidRPr="00197FE2">
              <w:rPr>
                <w:rFonts w:ascii="Times New Roman" w:eastAsia="Times New Roman" w:hAnsi="Times New Roman" w:cs="Times New Roman"/>
                <w:bCs/>
                <w:lang w:val="en-US"/>
              </w:rPr>
              <w:t>DiagnosisDistribution</w:t>
            </w:r>
            <w:proofErr w:type="spellEnd"/>
            <w:r w:rsidRPr="00197FE2">
              <w:rPr>
                <w:rFonts w:ascii="Times New Roman" w:eastAsia="Times New Roman" w:hAnsi="Times New Roman" w:cs="Times New Roman"/>
                <w:bCs/>
                <w:lang w:val="en-US"/>
              </w:rPr>
              <w:t xml:space="preserve"> of visual acuity (</w:t>
            </w:r>
            <w:proofErr w:type="spellStart"/>
            <w:r w:rsidRPr="00197FE2">
              <w:rPr>
                <w:rFonts w:ascii="Times New Roman" w:eastAsia="Times New Roman" w:hAnsi="Times New Roman" w:cs="Times New Roman"/>
                <w:bCs/>
                <w:lang w:val="en-US"/>
              </w:rPr>
              <w:t>logMAR</w:t>
            </w:r>
            <w:proofErr w:type="spellEnd"/>
            <w:r w:rsidRPr="00197FE2">
              <w:rPr>
                <w:rFonts w:ascii="Times New Roman" w:eastAsia="Times New Roman" w:hAnsi="Times New Roman" w:cs="Times New Roman"/>
                <w:bCs/>
                <w:lang w:val="en-US"/>
              </w:rPr>
              <w:t xml:space="preserve">) after the first optic neuritis (ON) episode in patients with myelin oligodendrocyte glycoprotein antibody-associated disease (MOGAD, top) and aquaporin-4 antibody neuromyelitis </w:t>
            </w:r>
            <w:proofErr w:type="spellStart"/>
            <w:r w:rsidRPr="00197FE2">
              <w:rPr>
                <w:rFonts w:ascii="Times New Roman" w:eastAsia="Times New Roman" w:hAnsi="Times New Roman" w:cs="Times New Roman"/>
                <w:bCs/>
                <w:lang w:val="en-US"/>
              </w:rPr>
              <w:t>optica</w:t>
            </w:r>
            <w:proofErr w:type="spellEnd"/>
            <w:r w:rsidRPr="00197FE2">
              <w:rPr>
                <w:rFonts w:ascii="Times New Roman" w:eastAsia="Times New Roman" w:hAnsi="Times New Roman" w:cs="Times New Roman"/>
                <w:bCs/>
                <w:lang w:val="en-US"/>
              </w:rPr>
              <w:t xml:space="preserve"> spectrum disorder (AQP4-NMOSD, bottom). The red dashed line represents the threshold of </w:t>
            </w:r>
            <w:proofErr w:type="spellStart"/>
            <w:r w:rsidRPr="00197FE2">
              <w:rPr>
                <w:rFonts w:ascii="Times New Roman" w:eastAsia="Times New Roman" w:hAnsi="Times New Roman" w:cs="Times New Roman"/>
                <w:bCs/>
                <w:lang w:val="en-US"/>
              </w:rPr>
              <w:t>logMAR</w:t>
            </w:r>
            <w:proofErr w:type="spellEnd"/>
            <w:r w:rsidRPr="00197FE2">
              <w:rPr>
                <w:rFonts w:ascii="Times New Roman" w:eastAsia="Times New Roman" w:hAnsi="Times New Roman" w:cs="Times New Roman"/>
                <w:bCs/>
                <w:lang w:val="en-US"/>
              </w:rPr>
              <w:t xml:space="preserve"> 0.1 (equivalent to Snellen 6/7.5), used to distinguish between complete and incomplete visual recovery.</w:t>
            </w:r>
          </w:p>
        </w:tc>
      </w:tr>
      <w:tr w:rsidR="00197FE2" w:rsidRPr="00197FE2" w14:paraId="18DA3C09" w14:textId="77777777" w:rsidTr="00197F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350" w:type="dxa"/>
          </w:tcPr>
          <w:p w14:paraId="1F805219" w14:textId="77777777" w:rsidR="00197FE2" w:rsidRPr="00197FE2" w:rsidRDefault="00197FE2" w:rsidP="00197FE2">
            <w:pPr>
              <w:spacing w:before="100" w:beforeAutospacing="1" w:after="100" w:afterAutospacing="1"/>
              <w:jc w:val="center"/>
              <w:rPr>
                <w:rFonts w:ascii="Times New Roman" w:eastAsia="Times New Roman" w:hAnsi="Times New Roman" w:cs="Times New Roman"/>
                <w:bCs/>
                <w:lang w:val="en-US"/>
              </w:rPr>
            </w:pPr>
            <w:r w:rsidRPr="00197FE2">
              <w:rPr>
                <w:rFonts w:ascii="Times New Roman" w:eastAsia="Times New Roman" w:hAnsi="Times New Roman" w:cs="Times New Roman"/>
                <w:bCs/>
                <w:noProof/>
                <w:lang w:val="en-US"/>
              </w:rPr>
              <w:drawing>
                <wp:inline distT="0" distB="0" distL="0" distR="0" wp14:anchorId="60E5DBE0" wp14:editId="7CEF6E44">
                  <wp:extent cx="4552950" cy="298166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69524" cy="2992522"/>
                          </a:xfrm>
                          <a:prstGeom prst="rect">
                            <a:avLst/>
                          </a:prstGeom>
                          <a:noFill/>
                        </pic:spPr>
                      </pic:pic>
                    </a:graphicData>
                  </a:graphic>
                </wp:inline>
              </w:drawing>
            </w:r>
          </w:p>
        </w:tc>
      </w:tr>
      <w:tr w:rsidR="00197FE2" w:rsidRPr="00197FE2" w14:paraId="4BD764EF" w14:textId="77777777" w:rsidTr="00197F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350" w:type="dxa"/>
          </w:tcPr>
          <w:p w14:paraId="6DA7C6EA" w14:textId="5BD5771C" w:rsidR="00197FE2" w:rsidRPr="00197FE2" w:rsidRDefault="00197FE2" w:rsidP="00E01257">
            <w:pPr>
              <w:spacing w:before="100" w:beforeAutospacing="1" w:after="100" w:afterAutospacing="1"/>
              <w:jc w:val="both"/>
              <w:rPr>
                <w:rFonts w:ascii="Times New Roman" w:eastAsia="Times New Roman" w:hAnsi="Times New Roman" w:cs="Times New Roman"/>
                <w:bCs/>
                <w:lang w:val="en-US"/>
              </w:rPr>
            </w:pPr>
            <w:r w:rsidRPr="00197FE2">
              <w:rPr>
                <w:rFonts w:ascii="Times New Roman" w:eastAsia="Times New Roman" w:hAnsi="Times New Roman" w:cs="Times New Roman"/>
                <w:b/>
                <w:bCs/>
                <w:lang w:val="en-US"/>
              </w:rPr>
              <w:t>Supplementary Figure 2:</w:t>
            </w:r>
            <w:r w:rsidRPr="00197FE2">
              <w:rPr>
                <w:rFonts w:ascii="Times New Roman" w:eastAsia="Times New Roman" w:hAnsi="Times New Roman" w:cs="Times New Roman"/>
                <w:lang w:val="en-US"/>
              </w:rPr>
              <w:t xml:space="preserve"> </w:t>
            </w:r>
            <w:r w:rsidRPr="00197FE2">
              <w:rPr>
                <w:rFonts w:ascii="Times New Roman" w:eastAsia="Times New Roman" w:hAnsi="Times New Roman" w:cs="Times New Roman"/>
                <w:bCs/>
                <w:lang w:val="en-US"/>
              </w:rPr>
              <w:t>Boxplot of Visual Acuity by Diagnosis, Eye, and AID Comorbidity</w:t>
            </w:r>
            <w:r w:rsidR="00E01257">
              <w:rPr>
                <w:rFonts w:ascii="Times New Roman" w:eastAsia="Times New Roman" w:hAnsi="Times New Roman" w:cs="Times New Roman"/>
                <w:bCs/>
                <w:lang w:val="en-US"/>
              </w:rPr>
              <w:t xml:space="preserve"> </w:t>
            </w:r>
            <w:r w:rsidRPr="00197FE2">
              <w:rPr>
                <w:rFonts w:ascii="Times New Roman" w:eastAsia="Times New Roman" w:hAnsi="Times New Roman" w:cs="Times New Roman"/>
                <w:bCs/>
                <w:lang w:val="en-US"/>
              </w:rPr>
              <w:t>Visual acuity (</w:t>
            </w:r>
            <w:proofErr w:type="spellStart"/>
            <w:r w:rsidRPr="00197FE2">
              <w:rPr>
                <w:rFonts w:ascii="Times New Roman" w:eastAsia="Times New Roman" w:hAnsi="Times New Roman" w:cs="Times New Roman"/>
                <w:bCs/>
                <w:lang w:val="en-US"/>
              </w:rPr>
              <w:t>logMAR</w:t>
            </w:r>
            <w:proofErr w:type="spellEnd"/>
            <w:r w:rsidRPr="00197FE2">
              <w:rPr>
                <w:rFonts w:ascii="Times New Roman" w:eastAsia="Times New Roman" w:hAnsi="Times New Roman" w:cs="Times New Roman"/>
                <w:bCs/>
                <w:lang w:val="en-US"/>
              </w:rPr>
              <w:t xml:space="preserve">) after first ON episode, shown separately for left and right eyes in MOGAD and AQP4-NMOSD, stratified by presence of autoimmune comorbidities (AID). The dashed red line indicates the threshold of </w:t>
            </w:r>
            <w:proofErr w:type="spellStart"/>
            <w:r w:rsidRPr="00197FE2">
              <w:rPr>
                <w:rFonts w:ascii="Times New Roman" w:eastAsia="Times New Roman" w:hAnsi="Times New Roman" w:cs="Times New Roman"/>
                <w:bCs/>
                <w:lang w:val="en-US"/>
              </w:rPr>
              <w:t>logMAR</w:t>
            </w:r>
            <w:proofErr w:type="spellEnd"/>
            <w:r w:rsidRPr="00197FE2">
              <w:rPr>
                <w:rFonts w:ascii="Times New Roman" w:eastAsia="Times New Roman" w:hAnsi="Times New Roman" w:cs="Times New Roman"/>
                <w:bCs/>
                <w:lang w:val="en-US"/>
              </w:rPr>
              <w:t xml:space="preserve"> 0.1 (Snellen 6/7.5). </w:t>
            </w:r>
          </w:p>
          <w:p w14:paraId="5886F0F9" w14:textId="77777777" w:rsidR="00197FE2" w:rsidRPr="00197FE2" w:rsidRDefault="00197FE2" w:rsidP="00197FE2">
            <w:pPr>
              <w:spacing w:before="100" w:beforeAutospacing="1" w:after="100" w:afterAutospacing="1"/>
              <w:jc w:val="both"/>
              <w:rPr>
                <w:rFonts w:ascii="Times New Roman" w:eastAsia="Times New Roman" w:hAnsi="Times New Roman" w:cs="Times New Roman"/>
                <w:bCs/>
                <w:lang w:val="en-US"/>
              </w:rPr>
            </w:pPr>
            <w:r w:rsidRPr="00197FE2">
              <w:rPr>
                <w:rFonts w:ascii="Times New Roman" w:eastAsia="Times New Roman" w:hAnsi="Times New Roman" w:cs="Times New Roman"/>
                <w:bCs/>
                <w:lang w:val="en-US"/>
              </w:rPr>
              <w:t xml:space="preserve">Abbreviations: ON, optic neuritis; </w:t>
            </w:r>
            <w:proofErr w:type="spellStart"/>
            <w:r w:rsidRPr="00197FE2">
              <w:rPr>
                <w:rFonts w:ascii="Times New Roman" w:eastAsia="Times New Roman" w:hAnsi="Times New Roman" w:cs="Times New Roman"/>
                <w:bCs/>
                <w:lang w:val="en-US"/>
              </w:rPr>
              <w:t>logMAR</w:t>
            </w:r>
            <w:proofErr w:type="spellEnd"/>
            <w:r w:rsidRPr="00197FE2">
              <w:rPr>
                <w:rFonts w:ascii="Times New Roman" w:eastAsia="Times New Roman" w:hAnsi="Times New Roman" w:cs="Times New Roman"/>
                <w:bCs/>
                <w:lang w:val="en-US"/>
              </w:rPr>
              <w:t xml:space="preserve">, logarithm of the minimum angle of resolution; AID, autoimmune disease; MOGAD, myelin oligodendrocyte glycoprotein antibody-associated disease; AQP4-NMOSD, aquaporin-4 antibody neuromyelitis </w:t>
            </w:r>
            <w:proofErr w:type="spellStart"/>
            <w:r w:rsidRPr="00197FE2">
              <w:rPr>
                <w:rFonts w:ascii="Times New Roman" w:eastAsia="Times New Roman" w:hAnsi="Times New Roman" w:cs="Times New Roman"/>
                <w:bCs/>
                <w:lang w:val="en-US"/>
              </w:rPr>
              <w:t>optica</w:t>
            </w:r>
            <w:proofErr w:type="spellEnd"/>
            <w:r w:rsidRPr="00197FE2">
              <w:rPr>
                <w:rFonts w:ascii="Times New Roman" w:eastAsia="Times New Roman" w:hAnsi="Times New Roman" w:cs="Times New Roman"/>
                <w:bCs/>
                <w:lang w:val="en-US"/>
              </w:rPr>
              <w:t xml:space="preserve"> spectrum disorder; CF, counting fingers; HM, hand motion; LP, light perception.</w:t>
            </w:r>
          </w:p>
        </w:tc>
      </w:tr>
    </w:tbl>
    <w:p w14:paraId="39A10430" w14:textId="77777777" w:rsidR="00CA2A05" w:rsidRPr="00197FE2" w:rsidRDefault="00CA2A05">
      <w:pPr>
        <w:rPr>
          <w:lang w:val="en-US"/>
        </w:rPr>
      </w:pPr>
    </w:p>
    <w:sectPr w:rsidR="00CA2A05" w:rsidRPr="00197FE2" w:rsidSect="00680E4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0t7C0MDE3NTC2tDRT0lEKTi0uzszPAykwqQUAswfpTSwAAAA="/>
  </w:docVars>
  <w:rsids>
    <w:rsidRoot w:val="00CE073C"/>
    <w:rsid w:val="0005535D"/>
    <w:rsid w:val="00076C5B"/>
    <w:rsid w:val="00083D4C"/>
    <w:rsid w:val="000C528C"/>
    <w:rsid w:val="00197FE2"/>
    <w:rsid w:val="002E0BCE"/>
    <w:rsid w:val="0043450E"/>
    <w:rsid w:val="00437DA4"/>
    <w:rsid w:val="00680E4F"/>
    <w:rsid w:val="0072196C"/>
    <w:rsid w:val="00845FE6"/>
    <w:rsid w:val="00A17BCB"/>
    <w:rsid w:val="00AD0977"/>
    <w:rsid w:val="00BE4584"/>
    <w:rsid w:val="00C62202"/>
    <w:rsid w:val="00CA2A05"/>
    <w:rsid w:val="00CE073C"/>
    <w:rsid w:val="00E01257"/>
    <w:rsid w:val="00E608EC"/>
    <w:rsid w:val="00E648A7"/>
    <w:rsid w:val="00FE05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4852"/>
  <w15:chartTrackingRefBased/>
  <w15:docId w15:val="{1857ACC2-90B3-4C24-8E89-38EF7059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E4F"/>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45FE6"/>
    <w:rPr>
      <w:sz w:val="16"/>
      <w:szCs w:val="16"/>
    </w:rPr>
  </w:style>
  <w:style w:type="paragraph" w:styleId="CommentText">
    <w:name w:val="annotation text"/>
    <w:basedOn w:val="Normal"/>
    <w:link w:val="CommentTextChar"/>
    <w:uiPriority w:val="99"/>
    <w:semiHidden/>
    <w:unhideWhenUsed/>
    <w:rsid w:val="00845FE6"/>
    <w:rPr>
      <w:sz w:val="20"/>
      <w:szCs w:val="20"/>
    </w:rPr>
  </w:style>
  <w:style w:type="character" w:customStyle="1" w:styleId="CommentTextChar">
    <w:name w:val="Comment Text Char"/>
    <w:basedOn w:val="DefaultParagraphFont"/>
    <w:link w:val="CommentText"/>
    <w:uiPriority w:val="99"/>
    <w:semiHidden/>
    <w:rsid w:val="00845FE6"/>
    <w:rPr>
      <w:sz w:val="20"/>
      <w:szCs w:val="20"/>
      <w:lang w:val="en-GB"/>
    </w:rPr>
  </w:style>
  <w:style w:type="paragraph" w:styleId="CommentSubject">
    <w:name w:val="annotation subject"/>
    <w:basedOn w:val="CommentText"/>
    <w:next w:val="CommentText"/>
    <w:link w:val="CommentSubjectChar"/>
    <w:uiPriority w:val="99"/>
    <w:semiHidden/>
    <w:unhideWhenUsed/>
    <w:rsid w:val="00845FE6"/>
    <w:rPr>
      <w:b/>
      <w:bCs/>
    </w:rPr>
  </w:style>
  <w:style w:type="character" w:customStyle="1" w:styleId="CommentSubjectChar">
    <w:name w:val="Comment Subject Char"/>
    <w:basedOn w:val="CommentTextChar"/>
    <w:link w:val="CommentSubject"/>
    <w:uiPriority w:val="99"/>
    <w:semiHidden/>
    <w:rsid w:val="00845FE6"/>
    <w:rPr>
      <w:b/>
      <w:bCs/>
      <w:sz w:val="20"/>
      <w:szCs w:val="20"/>
      <w:lang w:val="en-GB"/>
    </w:rPr>
  </w:style>
  <w:style w:type="table" w:styleId="TableGrid">
    <w:name w:val="Table Grid"/>
    <w:basedOn w:val="TableNormal"/>
    <w:uiPriority w:val="39"/>
    <w:rsid w:val="00CA2A05"/>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7FE2"/>
    <w:rPr>
      <w:b/>
      <w:bCs/>
    </w:rPr>
  </w:style>
  <w:style w:type="character" w:styleId="Emphasis">
    <w:name w:val="Emphasis"/>
    <w:basedOn w:val="DefaultParagraphFont"/>
    <w:uiPriority w:val="20"/>
    <w:qFormat/>
    <w:rsid w:val="00197F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40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CB7C6-14D9-452D-9F00-549C8411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 Samadzadeh</cp:lastModifiedBy>
  <cp:revision>10</cp:revision>
  <dcterms:created xsi:type="dcterms:W3CDTF">2025-01-12T18:09:00Z</dcterms:created>
  <dcterms:modified xsi:type="dcterms:W3CDTF">2025-06-04T02:44:00Z</dcterms:modified>
</cp:coreProperties>
</file>