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C7C5FE" w14:textId="77777777" w:rsidR="002E5803" w:rsidRDefault="002E5803" w:rsidP="002E5803">
      <w:pPr>
        <w:pStyle w:val="Heading1"/>
        <w:numPr>
          <w:ilvl w:val="0"/>
          <w:numId w:val="0"/>
        </w:numPr>
        <w:spacing w:line="480" w:lineRule="auto"/>
        <w:ind w:left="360" w:hanging="360"/>
      </w:pPr>
      <w:r w:rsidRPr="008619D3">
        <w:t>Supplementary</w:t>
      </w:r>
      <w:r>
        <w:t xml:space="preserve"> Material</w:t>
      </w:r>
    </w:p>
    <w:p w14:paraId="10038F0C" w14:textId="77777777" w:rsidR="002E5803" w:rsidRPr="00394B4D" w:rsidRDefault="002E5803" w:rsidP="002E5803">
      <w:pPr>
        <w:pStyle w:val="Heading2"/>
        <w:numPr>
          <w:ilvl w:val="0"/>
          <w:numId w:val="0"/>
        </w:numPr>
        <w:spacing w:line="480" w:lineRule="auto"/>
        <w:ind w:left="357" w:hanging="357"/>
      </w:pPr>
      <w:r>
        <w:t xml:space="preserve">Adiabatic pulse duration and peak </w:t>
      </w:r>
      <w:r w:rsidRPr="00C96002">
        <w:rPr>
          <w:i/>
          <w:iCs/>
        </w:rPr>
        <w:t>B</w:t>
      </w:r>
      <w:r w:rsidRPr="00C96002">
        <w:rPr>
          <w:vertAlign w:val="subscript"/>
        </w:rPr>
        <w:t>1</w:t>
      </w:r>
    </w:p>
    <w:p w14:paraId="739376CE" w14:textId="77777777" w:rsidR="002E5803" w:rsidRDefault="002E5803" w:rsidP="002E5803">
      <w:pPr>
        <w:spacing w:line="480" w:lineRule="auto"/>
      </w:pPr>
      <w:r>
        <w:t xml:space="preserve">To disentangle the reduction in </w:t>
      </w:r>
      <w:proofErr w:type="spellStart"/>
      <w:r w:rsidRPr="007B739F">
        <w:rPr>
          <w:i/>
          <w:iCs/>
        </w:rPr>
        <w:t>f</w:t>
      </w:r>
      <w:r w:rsidRPr="007B739F">
        <w:rPr>
          <w:vertAlign w:val="subscript"/>
        </w:rPr>
        <w:t>inv</w:t>
      </w:r>
      <w:proofErr w:type="spellEnd"/>
      <w:r>
        <w:t xml:space="preserve"> stemming from </w:t>
      </w:r>
      <w:r w:rsidRPr="007B739F">
        <w:rPr>
          <w:i/>
          <w:iCs/>
        </w:rPr>
        <w:t>T</w:t>
      </w:r>
      <w:r w:rsidRPr="007B739F">
        <w:rPr>
          <w:vertAlign w:val="subscript"/>
        </w:rPr>
        <w:t>2</w:t>
      </w:r>
      <w:r>
        <w:t xml:space="preserve"> decay and the reduction stemming from MT, two additional PS-MP4RAGE experiments were performed: (</w:t>
      </w:r>
      <w:proofErr w:type="spellStart"/>
      <w:r>
        <w:t>i</w:t>
      </w:r>
      <w:proofErr w:type="spellEnd"/>
      <w:r>
        <w:t xml:space="preserve">) To study the effect of </w:t>
      </w:r>
      <w:r w:rsidRPr="007B739F">
        <w:rPr>
          <w:i/>
          <w:iCs/>
        </w:rPr>
        <w:t>T</w:t>
      </w:r>
      <w:r w:rsidRPr="007B739F">
        <w:rPr>
          <w:vertAlign w:val="subscript"/>
        </w:rPr>
        <w:t>2</w:t>
      </w:r>
      <w:r>
        <w:t xml:space="preserve">, the duration of the HS pulse was changed through 15, 19, 24, 31, 43, and 61 </w:t>
      </w:r>
      <w:proofErr w:type="spellStart"/>
      <w:r>
        <w:t>ms</w:t>
      </w:r>
      <w:proofErr w:type="spellEnd"/>
      <w:r>
        <w:t xml:space="preserve"> while the RF power integral was kept constant by concomitantly decreasing peak </w:t>
      </w:r>
      <w:r w:rsidRPr="007B739F">
        <w:rPr>
          <w:i/>
          <w:iCs/>
        </w:rPr>
        <w:t>B</w:t>
      </w:r>
      <w:r w:rsidRPr="007B739F">
        <w:rPr>
          <w:vertAlign w:val="subscript"/>
        </w:rPr>
        <w:t>1</w:t>
      </w:r>
      <w:r>
        <w:t xml:space="preserve"> through 20, 18, 16, 14, 12, and 10 </w:t>
      </w:r>
      <w:r w:rsidRPr="007B739F">
        <w:rPr>
          <w:rFonts w:cs="Calibri"/>
        </w:rPr>
        <w:t>µ</w:t>
      </w:r>
      <w:r>
        <w:t xml:space="preserve">T. (ii) To study the effect of MT, the power integral of the HS pulse was changed by varying peak </w:t>
      </w:r>
      <w:r w:rsidRPr="007B739F">
        <w:rPr>
          <w:i/>
          <w:iCs/>
        </w:rPr>
        <w:t>B</w:t>
      </w:r>
      <w:r w:rsidRPr="007B739F">
        <w:rPr>
          <w:vertAlign w:val="subscript"/>
        </w:rPr>
        <w:t>1</w:t>
      </w:r>
      <w:r>
        <w:t xml:space="preserve"> </w:t>
      </w:r>
      <w:r w:rsidRPr="00696D47">
        <w:t>through</w:t>
      </w:r>
      <w:r>
        <w:t xml:space="preserve"> 8, 10, 12, 14, 16, and 18 </w:t>
      </w:r>
      <w:r w:rsidRPr="007B739F">
        <w:rPr>
          <w:rFonts w:cs="Calibri"/>
        </w:rPr>
        <w:t>µ</w:t>
      </w:r>
      <w:r>
        <w:t xml:space="preserve">T while keeping the duration of the pulse constant at 20.6 </w:t>
      </w:r>
      <w:proofErr w:type="spellStart"/>
      <w:r>
        <w:t>ms.</w:t>
      </w:r>
      <w:proofErr w:type="spellEnd"/>
    </w:p>
    <w:p w14:paraId="7B41A68E" w14:textId="77777777" w:rsidR="002E5803" w:rsidRDefault="002E5803" w:rsidP="002E5803">
      <w:pPr>
        <w:spacing w:line="480" w:lineRule="auto"/>
      </w:pPr>
    </w:p>
    <w:p w14:paraId="209FA12E" w14:textId="77777777" w:rsidR="002E5803" w:rsidRDefault="002E5803" w:rsidP="002E5803">
      <w:pPr>
        <w:spacing w:line="480" w:lineRule="auto"/>
      </w:pPr>
      <w:r>
        <w:t xml:space="preserve">Increasing the pulse duration at constant pulse power revealed a trend of decreased </w:t>
      </w:r>
      <w:proofErr w:type="spellStart"/>
      <w:r w:rsidRPr="0036444B">
        <w:rPr>
          <w:i/>
          <w:iCs/>
        </w:rPr>
        <w:t>f</w:t>
      </w:r>
      <w:r w:rsidRPr="0036444B">
        <w:rPr>
          <w:vertAlign w:val="subscript"/>
        </w:rPr>
        <w:t>inv</w:t>
      </w:r>
      <w:proofErr w:type="spellEnd"/>
      <w:r>
        <w:t>, by ~0.4</w:t>
      </w:r>
      <w:r>
        <w:rPr>
          <w:rFonts w:cs="Calibri"/>
        </w:rPr>
        <w:t>±</w:t>
      </w:r>
      <w:r>
        <w:t xml:space="preserve">0.2 1/s in ROIs of WM and GM (Supplementary Figure 1). This is likely caused by </w:t>
      </w:r>
      <w:r w:rsidRPr="00547856">
        <w:rPr>
          <w:i/>
          <w:iCs/>
        </w:rPr>
        <w:t>T</w:t>
      </w:r>
      <w:r w:rsidRPr="00547856">
        <w:rPr>
          <w:vertAlign w:val="subscript"/>
        </w:rPr>
        <w:t>2</w:t>
      </w:r>
      <w:r>
        <w:t>-relaxation losses during adiabatic inversion.</w:t>
      </w:r>
    </w:p>
    <w:p w14:paraId="26F72479" w14:textId="77777777" w:rsidR="002E5803" w:rsidRDefault="002E5803" w:rsidP="002E5803"/>
    <w:p w14:paraId="723F09B9" w14:textId="77777777" w:rsidR="002E5803" w:rsidRDefault="002E5803" w:rsidP="002E5803">
      <w:pPr>
        <w:keepNext/>
      </w:pPr>
      <w:r>
        <w:rPr>
          <w:noProof/>
          <w:lang w:eastAsia="en-US"/>
        </w:rPr>
        <w:drawing>
          <wp:inline distT="0" distB="0" distL="0" distR="0" wp14:anchorId="0035D40F" wp14:editId="2C14E47F">
            <wp:extent cx="5734050" cy="2350253"/>
            <wp:effectExtent l="0" t="0" r="0" b="0"/>
            <wp:docPr id="1520719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371" cy="2358172"/>
                    </a:xfrm>
                    <a:prstGeom prst="rect">
                      <a:avLst/>
                    </a:prstGeom>
                    <a:noFill/>
                  </pic:spPr>
                </pic:pic>
              </a:graphicData>
            </a:graphic>
          </wp:inline>
        </w:drawing>
      </w:r>
    </w:p>
    <w:p w14:paraId="77650141" w14:textId="77777777" w:rsidR="002E5803" w:rsidRDefault="002E5803" w:rsidP="002E5803">
      <w:pPr>
        <w:pStyle w:val="Caption"/>
      </w:pPr>
      <w:r>
        <w:t xml:space="preserve">Supplementary Figure S1. </w:t>
      </w:r>
      <w:r w:rsidRPr="00C47C6E">
        <w:t xml:space="preserve">Apparent inversion efficiency vs adiabatic inversion pulse duration. </w:t>
      </w:r>
      <w:r>
        <w:t xml:space="preserve">A clear negative correlation was observed between </w:t>
      </w:r>
      <w:proofErr w:type="spellStart"/>
      <w:r>
        <w:t>f</w:t>
      </w:r>
      <w:r w:rsidRPr="00C42229">
        <w:rPr>
          <w:vertAlign w:val="subscript"/>
        </w:rPr>
        <w:t>inv</w:t>
      </w:r>
      <w:proofErr w:type="spellEnd"/>
      <w:r>
        <w:t xml:space="preserve"> and pulse duration in the short(er) T</w:t>
      </w:r>
      <w:r w:rsidRPr="00696910">
        <w:rPr>
          <w:vertAlign w:val="subscript"/>
        </w:rPr>
        <w:t>2</w:t>
      </w:r>
      <w:r>
        <w:t xml:space="preserve"> brain parenchyma relative CSF.</w:t>
      </w:r>
    </w:p>
    <w:p w14:paraId="78EE0EF9" w14:textId="77777777" w:rsidR="002E5803" w:rsidRDefault="002E5803" w:rsidP="002E5803"/>
    <w:p w14:paraId="5FC16A1B" w14:textId="77777777" w:rsidR="002E5803" w:rsidRDefault="002E5803" w:rsidP="002E5803">
      <w:pPr>
        <w:spacing w:line="480" w:lineRule="auto"/>
      </w:pPr>
      <w:r>
        <w:t xml:space="preserve">A trend of increasing apparent </w:t>
      </w:r>
      <w:proofErr w:type="spellStart"/>
      <w:r w:rsidRPr="0036444B">
        <w:rPr>
          <w:i/>
          <w:iCs/>
        </w:rPr>
        <w:t>f</w:t>
      </w:r>
      <w:r w:rsidRPr="0036444B">
        <w:rPr>
          <w:vertAlign w:val="subscript"/>
        </w:rPr>
        <w:t>inv</w:t>
      </w:r>
      <w:proofErr w:type="spellEnd"/>
      <w:r>
        <w:t xml:space="preserve"> was observed when increasing the adiabatic inversion peak </w:t>
      </w:r>
      <w:r w:rsidRPr="00F01742">
        <w:rPr>
          <w:i/>
          <w:iCs/>
        </w:rPr>
        <w:t>B</w:t>
      </w:r>
      <w:r w:rsidRPr="00F01742">
        <w:rPr>
          <w:vertAlign w:val="subscript"/>
        </w:rPr>
        <w:t>1</w:t>
      </w:r>
      <w:r>
        <w:t xml:space="preserve"> (Supplementary Figure S2). The trend was somewhat stronger in the brain parenchyma than in the CSF (which is to be expected) although results were much less conclusive than in the analogous pulse duration experiment (Supplementary Figure S1). </w:t>
      </w:r>
      <w:proofErr w:type="spellStart"/>
      <w:r w:rsidRPr="0036444B">
        <w:rPr>
          <w:i/>
          <w:iCs/>
        </w:rPr>
        <w:t>f</w:t>
      </w:r>
      <w:r w:rsidRPr="0036444B">
        <w:rPr>
          <w:vertAlign w:val="subscript"/>
        </w:rPr>
        <w:t>inv</w:t>
      </w:r>
      <w:proofErr w:type="spellEnd"/>
      <w:r w:rsidRPr="009A056C">
        <w:t xml:space="preserve"> approached an upper limit when the power of </w:t>
      </w:r>
      <w:r w:rsidRPr="009A056C">
        <w:lastRenderedPageBreak/>
        <w:t>the inversion pulse was increased, as the bound pool was driven further into saturation.</w:t>
      </w:r>
      <w:r>
        <w:t xml:space="preserve"> This plateau in </w:t>
      </w:r>
      <w:proofErr w:type="spellStart"/>
      <w:r w:rsidRPr="000823D5">
        <w:rPr>
          <w:i/>
          <w:iCs/>
        </w:rPr>
        <w:t>f</w:t>
      </w:r>
      <w:r w:rsidRPr="000823D5">
        <w:rPr>
          <w:vertAlign w:val="subscript"/>
        </w:rPr>
        <w:t>inv</w:t>
      </w:r>
      <w:proofErr w:type="spellEnd"/>
      <w:r>
        <w:t xml:space="preserve"> appeared somewhere between 12 and 15 </w:t>
      </w:r>
      <w:r>
        <w:rPr>
          <w:rFonts w:cs="Calibri"/>
        </w:rPr>
        <w:t>µ</w:t>
      </w:r>
      <w:r>
        <w:t xml:space="preserve">T. It is expected that the dependence of </w:t>
      </w:r>
      <w:proofErr w:type="spellStart"/>
      <w:r w:rsidRPr="008661FB">
        <w:rPr>
          <w:i/>
          <w:iCs/>
        </w:rPr>
        <w:t>f</w:t>
      </w:r>
      <w:r w:rsidRPr="008661FB">
        <w:rPr>
          <w:vertAlign w:val="subscript"/>
        </w:rPr>
        <w:t>inv</w:t>
      </w:r>
      <w:proofErr w:type="spellEnd"/>
      <w:r>
        <w:t xml:space="preserve"> on peak </w:t>
      </w:r>
      <w:r w:rsidRPr="008661FB">
        <w:rPr>
          <w:i/>
          <w:iCs/>
        </w:rPr>
        <w:t>B</w:t>
      </w:r>
      <w:r w:rsidRPr="008661FB">
        <w:rPr>
          <w:vertAlign w:val="subscript"/>
        </w:rPr>
        <w:t>1</w:t>
      </w:r>
      <w:r>
        <w:t xml:space="preserve"> observed here should be translatable also to the spatial variation of the transmit field at 7T. This aspect could be added to enhance the suggested model but the amount of data available for this work was not sufficient to implement this with any accuracy. </w:t>
      </w:r>
    </w:p>
    <w:p w14:paraId="1A106D32" w14:textId="77777777" w:rsidR="002E5803" w:rsidRDefault="002E5803" w:rsidP="002E5803"/>
    <w:p w14:paraId="0339D369" w14:textId="77777777" w:rsidR="002E5803" w:rsidRDefault="002E5803" w:rsidP="002E5803">
      <w:pPr>
        <w:keepNext/>
      </w:pPr>
      <w:r>
        <w:rPr>
          <w:noProof/>
          <w:lang w:eastAsia="en-US"/>
        </w:rPr>
        <w:drawing>
          <wp:inline distT="0" distB="0" distL="0" distR="0" wp14:anchorId="388E9396" wp14:editId="50C0B33D">
            <wp:extent cx="4320148" cy="2019582"/>
            <wp:effectExtent l="0" t="0" r="4445" b="0"/>
            <wp:docPr id="1563296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96244"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4320148" cy="2019582"/>
                    </a:xfrm>
                    <a:prstGeom prst="rect">
                      <a:avLst/>
                    </a:prstGeom>
                  </pic:spPr>
                </pic:pic>
              </a:graphicData>
            </a:graphic>
          </wp:inline>
        </w:drawing>
      </w:r>
    </w:p>
    <w:p w14:paraId="5C70181E" w14:textId="77777777" w:rsidR="002E5803" w:rsidRDefault="002E5803" w:rsidP="002E5803">
      <w:pPr>
        <w:pStyle w:val="Caption"/>
      </w:pPr>
      <w:r>
        <w:t xml:space="preserve">Supplementary Figure S2. Apparent </w:t>
      </w:r>
      <w:proofErr w:type="spellStart"/>
      <w:r w:rsidRPr="005E1C9D">
        <w:t>f</w:t>
      </w:r>
      <w:r w:rsidRPr="0036444B">
        <w:rPr>
          <w:vertAlign w:val="subscript"/>
        </w:rPr>
        <w:t>inv</w:t>
      </w:r>
      <w:proofErr w:type="spellEnd"/>
      <w:r>
        <w:t xml:space="preserve"> vs adiabatic inversion peak B</w:t>
      </w:r>
      <w:r w:rsidRPr="002233C0">
        <w:rPr>
          <w:vertAlign w:val="subscript"/>
        </w:rPr>
        <w:t>1</w:t>
      </w:r>
      <w:r>
        <w:t xml:space="preserve">. A trend of increasing </w:t>
      </w:r>
      <w:proofErr w:type="spellStart"/>
      <w:r w:rsidRPr="00D06E51">
        <w:t>f</w:t>
      </w:r>
      <w:r w:rsidRPr="0036444B">
        <w:rPr>
          <w:vertAlign w:val="subscript"/>
        </w:rPr>
        <w:t>inv</w:t>
      </w:r>
      <w:proofErr w:type="spellEnd"/>
      <w:r>
        <w:t xml:space="preserve"> with increasing peak B</w:t>
      </w:r>
      <w:r w:rsidRPr="002233C0">
        <w:rPr>
          <w:vertAlign w:val="subscript"/>
        </w:rPr>
        <w:t>1</w:t>
      </w:r>
      <w:r>
        <w:t xml:space="preserve"> is observed with a plateau beyond 12 </w:t>
      </w:r>
      <w:r>
        <w:rPr>
          <w:rFonts w:cs="Calibri"/>
        </w:rPr>
        <w:t>µ</w:t>
      </w:r>
      <w:r>
        <w:t>T. Accordingly, regions of low B</w:t>
      </w:r>
      <w:r w:rsidRPr="002233C0">
        <w:rPr>
          <w:vertAlign w:val="subscript"/>
        </w:rPr>
        <w:t>1</w:t>
      </w:r>
      <w:r w:rsidRPr="002233C0">
        <w:rPr>
          <w:vertAlign w:val="superscript"/>
        </w:rPr>
        <w:t>+</w:t>
      </w:r>
      <w:r>
        <w:t xml:space="preserve"> exhibited lower </w:t>
      </w:r>
      <w:proofErr w:type="spellStart"/>
      <w:r w:rsidRPr="00D06E51">
        <w:t>f</w:t>
      </w:r>
      <w:r w:rsidRPr="0036444B">
        <w:rPr>
          <w:vertAlign w:val="subscript"/>
        </w:rPr>
        <w:t>inv</w:t>
      </w:r>
      <w:proofErr w:type="spellEnd"/>
      <w:r>
        <w:t>. The trend is stronger in the brain parenchyma compared to CSF although the difference is less accentuated than in the pulse duration experiment (Supplementary Figure S1).</w:t>
      </w:r>
    </w:p>
    <w:p w14:paraId="535A20D9" w14:textId="77777777" w:rsidR="002E5803" w:rsidRPr="00443134" w:rsidRDefault="002E5803" w:rsidP="002E5803"/>
    <w:p w14:paraId="43AB0F88" w14:textId="77777777" w:rsidR="002E5803" w:rsidRDefault="002E5803" w:rsidP="002E5803">
      <w:pPr>
        <w:pStyle w:val="Heading2"/>
        <w:numPr>
          <w:ilvl w:val="0"/>
          <w:numId w:val="0"/>
        </w:numPr>
        <w:spacing w:line="480" w:lineRule="auto"/>
        <w:ind w:left="357" w:hanging="357"/>
      </w:pPr>
      <w:r w:rsidRPr="00C451F8">
        <w:t>Residual differences in the 3D validation of MP2RAGE against PS-MP4RAGE</w:t>
      </w:r>
    </w:p>
    <w:p w14:paraId="147FA110" w14:textId="77777777" w:rsidR="002E5803" w:rsidRDefault="002E5803" w:rsidP="002E5803">
      <w:r>
        <w:t xml:space="preserve">Some residual spatial differences in the </w:t>
      </w:r>
      <w:r w:rsidRPr="008661FB">
        <w:rPr>
          <w:i/>
          <w:iCs/>
        </w:rPr>
        <w:t>T</w:t>
      </w:r>
      <w:r w:rsidRPr="008661FB">
        <w:rPr>
          <w:vertAlign w:val="subscript"/>
        </w:rPr>
        <w:t>1</w:t>
      </w:r>
      <w:r>
        <w:t xml:space="preserve"> estimate of MP2RAGE and PS-MP4RAGE were observed (Figure 4). This difference was most notable in the anterior part of the brain between the right and left hemisphere of Sub01 (Figure 4, top row). To elucidate whether this difference was correlated to the transmit field, the difference map was compared to a co-registered </w:t>
      </w:r>
      <w:r w:rsidRPr="008661FB">
        <w:rPr>
          <w:i/>
          <w:iCs/>
        </w:rPr>
        <w:t>B</w:t>
      </w:r>
      <w:r w:rsidRPr="008661FB">
        <w:rPr>
          <w:vertAlign w:val="subscript"/>
        </w:rPr>
        <w:t>1</w:t>
      </w:r>
      <w:r w:rsidRPr="008661FB">
        <w:rPr>
          <w:vertAlign w:val="superscript"/>
        </w:rPr>
        <w:t>+</w:t>
      </w:r>
      <w:r>
        <w:t xml:space="preserve"> map via ROI analysis (Supplementary Figure S3 and Supplementary Table S4). This comparison revealed no evident relationship between low/high </w:t>
      </w:r>
      <w:r w:rsidRPr="008661FB">
        <w:rPr>
          <w:i/>
          <w:iCs/>
        </w:rPr>
        <w:t>B</w:t>
      </w:r>
      <w:r w:rsidRPr="008661FB">
        <w:rPr>
          <w:vertAlign w:val="subscript"/>
        </w:rPr>
        <w:t>1</w:t>
      </w:r>
      <w:r w:rsidRPr="008661FB">
        <w:rPr>
          <w:vertAlign w:val="superscript"/>
        </w:rPr>
        <w:t>+</w:t>
      </w:r>
      <w:r>
        <w:t xml:space="preserve"> and a large difference between MP2RAGE and PS-MP4RAGE </w:t>
      </w:r>
      <w:r w:rsidRPr="008661FB">
        <w:rPr>
          <w:i/>
          <w:iCs/>
        </w:rPr>
        <w:t>T</w:t>
      </w:r>
      <w:r w:rsidRPr="008661FB">
        <w:rPr>
          <w:vertAlign w:val="subscript"/>
        </w:rPr>
        <w:t>1</w:t>
      </w:r>
      <w:r>
        <w:t xml:space="preserve"> estimation. We speculate that the right-left difference could stem from slight variations between the transmit channel phase combination of the MP2RAGE and PS-MP4RAGE sequences respectively.</w:t>
      </w:r>
    </w:p>
    <w:p w14:paraId="7F528F51" w14:textId="77777777" w:rsidR="002E5803" w:rsidRPr="00272CC4" w:rsidRDefault="002E5803" w:rsidP="002E5803"/>
    <w:p w14:paraId="1D511296" w14:textId="77777777" w:rsidR="002E5803" w:rsidRDefault="002E5803" w:rsidP="002E5803">
      <w:pPr>
        <w:keepNext/>
      </w:pPr>
      <w:r>
        <w:rPr>
          <w:noProof/>
          <w:lang w:eastAsia="en-US"/>
        </w:rPr>
        <w:lastRenderedPageBreak/>
        <w:drawing>
          <wp:inline distT="0" distB="0" distL="0" distR="0" wp14:anchorId="0BA90B85" wp14:editId="6F2BB76B">
            <wp:extent cx="3048000" cy="3657600"/>
            <wp:effectExtent l="0" t="0" r="0" b="0"/>
            <wp:docPr id="21274806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80666" name=""/>
                    <pic:cNvPicPr/>
                  </pic:nvPicPr>
                  <pic:blipFill>
                    <a:blip r:embed="rId15">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3048000" cy="3657600"/>
                    </a:xfrm>
                    <a:prstGeom prst="rect">
                      <a:avLst/>
                    </a:prstGeom>
                  </pic:spPr>
                </pic:pic>
              </a:graphicData>
            </a:graphic>
          </wp:inline>
        </w:drawing>
      </w:r>
    </w:p>
    <w:p w14:paraId="4A42B738" w14:textId="77777777" w:rsidR="002E5803" w:rsidRDefault="002E5803" w:rsidP="002E5803">
      <w:pPr>
        <w:pStyle w:val="Caption"/>
      </w:pPr>
      <w:bookmarkStart w:id="0" w:name="_GoBack"/>
      <w:r>
        <w:t>Supplementary Figure S3. A) Difference map with ROI in high-difference area. B) B</w:t>
      </w:r>
      <w:r w:rsidRPr="008661FB">
        <w:rPr>
          <w:vertAlign w:val="subscript"/>
        </w:rPr>
        <w:t>1</w:t>
      </w:r>
      <w:r w:rsidRPr="008661FB">
        <w:rPr>
          <w:vertAlign w:val="superscript"/>
        </w:rPr>
        <w:t>+</w:t>
      </w:r>
      <w:r>
        <w:t xml:space="preserve"> map with ROI in same location as A). C) Difference map with ROI in a low-difference area. D) B1+ map with ROI in same location as C).</w:t>
      </w:r>
    </w:p>
    <w:p w14:paraId="7C7BB80E" w14:textId="77777777" w:rsidR="002E5803" w:rsidRPr="00B501FD" w:rsidRDefault="002E5803" w:rsidP="002E5803"/>
    <w:p w14:paraId="3150F3B0" w14:textId="77777777" w:rsidR="002E5803" w:rsidRDefault="002E5803" w:rsidP="002E5803">
      <w:pPr>
        <w:pStyle w:val="Caption"/>
        <w:keepNext/>
      </w:pPr>
      <w:r>
        <w:t xml:space="preserve">Supplementary Table S4. </w:t>
      </w:r>
      <w:proofErr w:type="spellStart"/>
      <w:r>
        <w:t>Mean±standard</w:t>
      </w:r>
      <w:proofErr w:type="spellEnd"/>
      <w:r>
        <w:t xml:space="preserve"> deviation of the ROIs in Supplementary Figure S3.</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265"/>
        <w:gridCol w:w="2266"/>
        <w:gridCol w:w="2266"/>
      </w:tblGrid>
      <w:tr w:rsidR="002E5803" w14:paraId="0A254E20" w14:textId="77777777" w:rsidTr="008661FB">
        <w:tc>
          <w:tcPr>
            <w:tcW w:w="2265" w:type="dxa"/>
            <w:tcBorders>
              <w:top w:val="single" w:sz="4" w:space="0" w:color="auto"/>
              <w:bottom w:val="single" w:sz="4" w:space="0" w:color="auto"/>
            </w:tcBorders>
          </w:tcPr>
          <w:bookmarkEnd w:id="0"/>
          <w:p w14:paraId="09A1717F" w14:textId="77777777" w:rsidR="002E5803" w:rsidRPr="008A16DB" w:rsidRDefault="002E5803" w:rsidP="008661FB">
            <w:pPr>
              <w:rPr>
                <w:b/>
                <w:bCs/>
              </w:rPr>
            </w:pPr>
            <w:r w:rsidRPr="008A16DB">
              <w:rPr>
                <w:b/>
                <w:bCs/>
              </w:rPr>
              <w:t>Panel</w:t>
            </w:r>
          </w:p>
        </w:tc>
        <w:tc>
          <w:tcPr>
            <w:tcW w:w="2266" w:type="dxa"/>
            <w:tcBorders>
              <w:top w:val="single" w:sz="4" w:space="0" w:color="auto"/>
              <w:bottom w:val="single" w:sz="4" w:space="0" w:color="auto"/>
            </w:tcBorders>
          </w:tcPr>
          <w:p w14:paraId="118BBE5A" w14:textId="77777777" w:rsidR="002E5803" w:rsidRPr="008A16DB" w:rsidRDefault="002E5803" w:rsidP="008661FB">
            <w:pPr>
              <w:rPr>
                <w:b/>
                <w:bCs/>
              </w:rPr>
            </w:pPr>
            <w:r w:rsidRPr="008A16DB">
              <w:rPr>
                <w:b/>
                <w:bCs/>
              </w:rPr>
              <w:t>Map</w:t>
            </w:r>
          </w:p>
        </w:tc>
        <w:tc>
          <w:tcPr>
            <w:tcW w:w="2266" w:type="dxa"/>
            <w:tcBorders>
              <w:top w:val="single" w:sz="4" w:space="0" w:color="auto"/>
              <w:bottom w:val="single" w:sz="4" w:space="0" w:color="auto"/>
            </w:tcBorders>
          </w:tcPr>
          <w:p w14:paraId="3912326D" w14:textId="77777777" w:rsidR="002E5803" w:rsidRPr="008A16DB" w:rsidRDefault="002E5803" w:rsidP="008661FB">
            <w:pPr>
              <w:rPr>
                <w:b/>
                <w:bCs/>
              </w:rPr>
            </w:pPr>
            <w:proofErr w:type="spellStart"/>
            <w:r w:rsidRPr="008A16DB">
              <w:rPr>
                <w:b/>
                <w:bCs/>
              </w:rPr>
              <w:t>Mean</w:t>
            </w:r>
            <w:r>
              <w:rPr>
                <w:b/>
                <w:bCs/>
              </w:rPr>
              <w:t>±SD</w:t>
            </w:r>
            <w:proofErr w:type="spellEnd"/>
          </w:p>
        </w:tc>
      </w:tr>
      <w:tr w:rsidR="002E5803" w14:paraId="6CEF5A6A" w14:textId="77777777" w:rsidTr="008661FB">
        <w:tc>
          <w:tcPr>
            <w:tcW w:w="2265" w:type="dxa"/>
            <w:tcBorders>
              <w:top w:val="single" w:sz="4" w:space="0" w:color="auto"/>
            </w:tcBorders>
          </w:tcPr>
          <w:p w14:paraId="5432E2E3" w14:textId="77777777" w:rsidR="002E5803" w:rsidRDefault="002E5803" w:rsidP="008661FB">
            <w:r>
              <w:t>A)</w:t>
            </w:r>
          </w:p>
        </w:tc>
        <w:tc>
          <w:tcPr>
            <w:tcW w:w="2266" w:type="dxa"/>
            <w:tcBorders>
              <w:top w:val="single" w:sz="4" w:space="0" w:color="auto"/>
            </w:tcBorders>
          </w:tcPr>
          <w:p w14:paraId="3F370052" w14:textId="77777777" w:rsidR="002E5803" w:rsidRDefault="002E5803" w:rsidP="008661FB">
            <w:r>
              <w:t>Difference</w:t>
            </w:r>
          </w:p>
        </w:tc>
        <w:tc>
          <w:tcPr>
            <w:tcW w:w="2266" w:type="dxa"/>
            <w:tcBorders>
              <w:top w:val="single" w:sz="4" w:space="0" w:color="auto"/>
            </w:tcBorders>
          </w:tcPr>
          <w:p w14:paraId="3C142C2C" w14:textId="77777777" w:rsidR="002E5803" w:rsidRDefault="002E5803" w:rsidP="008661FB">
            <w:r>
              <w:t>-9.5±2.8%</w:t>
            </w:r>
          </w:p>
        </w:tc>
      </w:tr>
      <w:tr w:rsidR="002E5803" w14:paraId="0A696249" w14:textId="77777777" w:rsidTr="008661FB">
        <w:tc>
          <w:tcPr>
            <w:tcW w:w="2265" w:type="dxa"/>
          </w:tcPr>
          <w:p w14:paraId="356C8AD2" w14:textId="77777777" w:rsidR="002E5803" w:rsidRDefault="002E5803" w:rsidP="008661FB">
            <w:r>
              <w:t>B)</w:t>
            </w:r>
          </w:p>
        </w:tc>
        <w:tc>
          <w:tcPr>
            <w:tcW w:w="2266" w:type="dxa"/>
          </w:tcPr>
          <w:p w14:paraId="20166CF0" w14:textId="77777777" w:rsidR="002E5803" w:rsidRDefault="002E5803" w:rsidP="008661FB">
            <w:r>
              <w:t>B1+</w:t>
            </w:r>
          </w:p>
        </w:tc>
        <w:tc>
          <w:tcPr>
            <w:tcW w:w="2266" w:type="dxa"/>
          </w:tcPr>
          <w:p w14:paraId="175DF414" w14:textId="77777777" w:rsidR="002E5803" w:rsidRDefault="002E5803" w:rsidP="008661FB">
            <w:r>
              <w:t>106±10%</w:t>
            </w:r>
          </w:p>
        </w:tc>
      </w:tr>
      <w:tr w:rsidR="002E5803" w14:paraId="05BC20A5" w14:textId="77777777" w:rsidTr="008661FB">
        <w:tc>
          <w:tcPr>
            <w:tcW w:w="2265" w:type="dxa"/>
          </w:tcPr>
          <w:p w14:paraId="07EC34C8" w14:textId="77777777" w:rsidR="002E5803" w:rsidRDefault="002E5803" w:rsidP="008661FB">
            <w:r>
              <w:t>C)</w:t>
            </w:r>
          </w:p>
        </w:tc>
        <w:tc>
          <w:tcPr>
            <w:tcW w:w="2266" w:type="dxa"/>
          </w:tcPr>
          <w:p w14:paraId="0BB1A138" w14:textId="77777777" w:rsidR="002E5803" w:rsidRDefault="002E5803" w:rsidP="008661FB">
            <w:r>
              <w:t>Difference</w:t>
            </w:r>
          </w:p>
        </w:tc>
        <w:tc>
          <w:tcPr>
            <w:tcW w:w="2266" w:type="dxa"/>
          </w:tcPr>
          <w:p w14:paraId="38829C8A" w14:textId="77777777" w:rsidR="002E5803" w:rsidRDefault="002E5803" w:rsidP="008661FB">
            <w:r>
              <w:t>+2.9±5.1%</w:t>
            </w:r>
          </w:p>
        </w:tc>
      </w:tr>
      <w:tr w:rsidR="002E5803" w14:paraId="2D6ADEC9" w14:textId="77777777" w:rsidTr="008661FB">
        <w:tc>
          <w:tcPr>
            <w:tcW w:w="2265" w:type="dxa"/>
          </w:tcPr>
          <w:p w14:paraId="1D3D0A7F" w14:textId="77777777" w:rsidR="002E5803" w:rsidRDefault="002E5803" w:rsidP="008661FB">
            <w:r>
              <w:t>D)</w:t>
            </w:r>
          </w:p>
        </w:tc>
        <w:tc>
          <w:tcPr>
            <w:tcW w:w="2266" w:type="dxa"/>
          </w:tcPr>
          <w:p w14:paraId="49C87896" w14:textId="77777777" w:rsidR="002E5803" w:rsidRDefault="002E5803" w:rsidP="008661FB">
            <w:r>
              <w:t>B1+</w:t>
            </w:r>
          </w:p>
        </w:tc>
        <w:tc>
          <w:tcPr>
            <w:tcW w:w="2266" w:type="dxa"/>
          </w:tcPr>
          <w:p w14:paraId="2AC6F327" w14:textId="77777777" w:rsidR="002E5803" w:rsidRDefault="002E5803" w:rsidP="008661FB">
            <w:r>
              <w:t>98±7%</w:t>
            </w:r>
          </w:p>
        </w:tc>
      </w:tr>
    </w:tbl>
    <w:p w14:paraId="77F180A9" w14:textId="77777777" w:rsidR="002E5803" w:rsidRPr="00B501FD" w:rsidRDefault="002E5803" w:rsidP="002E5803"/>
    <w:p w14:paraId="06E1C3B7" w14:textId="77777777" w:rsidR="002E5803" w:rsidRPr="00D45760" w:rsidRDefault="002E5803" w:rsidP="002E5803"/>
    <w:p w14:paraId="1E1E01C0" w14:textId="77777777" w:rsidR="002E5803" w:rsidRDefault="002E5803" w:rsidP="002E5803">
      <w:pPr>
        <w:pStyle w:val="Caption"/>
      </w:pPr>
    </w:p>
    <w:p w14:paraId="6F15B0CA" w14:textId="77777777" w:rsidR="00363C0C" w:rsidRPr="00363C0C" w:rsidRDefault="00363C0C" w:rsidP="0016378F"/>
    <w:sectPr w:rsidR="00363C0C" w:rsidRPr="00363C0C" w:rsidSect="00C4442C">
      <w:footerReference w:type="default" r:id="rId17"/>
      <w:footerReference w:type="first" r:id="rId18"/>
      <w:pgSz w:w="11907" w:h="16839" w:code="9"/>
      <w:pgMar w:top="1417" w:right="1417" w:bottom="1417" w:left="1417"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169A75" w14:textId="77777777" w:rsidR="007852B8" w:rsidRDefault="007852B8">
      <w:r>
        <w:separator/>
      </w:r>
    </w:p>
  </w:endnote>
  <w:endnote w:type="continuationSeparator" w:id="0">
    <w:p w14:paraId="5A14AF36" w14:textId="77777777" w:rsidR="007852B8" w:rsidRDefault="00785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979CE" w14:textId="77777777" w:rsidR="005D0415" w:rsidRDefault="005D0415">
    <w:pPr>
      <w:tabs>
        <w:tab w:val="left" w:pos="7035"/>
      </w:tabs>
      <w:spacing w:line="1400" w:lineRule="exact"/>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0B7B4" w14:textId="77777777" w:rsidR="005D0415" w:rsidRDefault="005D0415">
    <w:pPr>
      <w:spacing w:line="24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1281A" w14:textId="77777777" w:rsidR="007852B8" w:rsidRDefault="007852B8">
      <w:r>
        <w:separator/>
      </w:r>
    </w:p>
  </w:footnote>
  <w:footnote w:type="continuationSeparator" w:id="0">
    <w:p w14:paraId="52D09460" w14:textId="77777777" w:rsidR="007852B8" w:rsidRDefault="007852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894D8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A852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04F0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4C5A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3A19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3648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26F4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16E5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1418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78C81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E77879"/>
    <w:multiLevelType w:val="multilevel"/>
    <w:tmpl w:val="E1D8A144"/>
    <w:styleLink w:val="Headinglist"/>
    <w:lvl w:ilvl="0">
      <w:start w:val="1"/>
      <w:numFmt w:val="decimal"/>
      <w:pStyle w:val="Heading1"/>
      <w:suff w:val="space"/>
      <w:lvlText w:val="%1."/>
      <w:lvlJc w:val="left"/>
      <w:pPr>
        <w:ind w:left="360" w:hanging="360"/>
      </w:pPr>
      <w:rPr>
        <w:rFonts w:hint="default"/>
      </w:rPr>
    </w:lvl>
    <w:lvl w:ilvl="1">
      <w:start w:val="1"/>
      <w:numFmt w:val="decimal"/>
      <w:pStyle w:val="Heading2"/>
      <w:suff w:val="space"/>
      <w:lvlText w:val="%1.%2"/>
      <w:lvlJc w:val="left"/>
      <w:pPr>
        <w:ind w:left="357" w:hanging="357"/>
      </w:pPr>
      <w:rPr>
        <w:rFonts w:hint="default"/>
      </w:rPr>
    </w:lvl>
    <w:lvl w:ilvl="2">
      <w:start w:val="1"/>
      <w:numFmt w:val="decimal"/>
      <w:pStyle w:val="Heading3"/>
      <w:suff w:val="space"/>
      <w:lvlText w:val="%1.%2.%3"/>
      <w:lvlJc w:val="left"/>
      <w:pPr>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14B20D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5FA470B"/>
    <w:multiLevelType w:val="multilevel"/>
    <w:tmpl w:val="ACA849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4E51C6E"/>
    <w:multiLevelType w:val="multilevel"/>
    <w:tmpl w:val="574087B6"/>
    <w:styleLink w:val="Philipsbullets"/>
    <w:lvl w:ilvl="0">
      <w:start w:val="1"/>
      <w:numFmt w:val="bullet"/>
      <w:pStyle w:val="ListParagraph"/>
      <w:lvlText w:val="•"/>
      <w:lvlJc w:val="left"/>
      <w:pPr>
        <w:ind w:left="227" w:hanging="227"/>
      </w:pPr>
      <w:rPr>
        <w:rFonts w:ascii="Times New Roman" w:hAnsi="Times New Roman" w:cs="Times New Roman" w:hint="default"/>
        <w:sz w:val="22"/>
      </w:rPr>
    </w:lvl>
    <w:lvl w:ilvl="1">
      <w:start w:val="1"/>
      <w:numFmt w:val="bullet"/>
      <w:lvlText w:val="–"/>
      <w:lvlJc w:val="left"/>
      <w:pPr>
        <w:ind w:left="454" w:hanging="227"/>
      </w:pPr>
      <w:rPr>
        <w:rFonts w:ascii="Calibri" w:hAnsi="Calibri" w:hint="default"/>
      </w:rPr>
    </w:lvl>
    <w:lvl w:ilvl="2">
      <w:start w:val="1"/>
      <w:numFmt w:val="bullet"/>
      <w:lvlText w:val="-"/>
      <w:lvlJc w:val="left"/>
      <w:pPr>
        <w:ind w:left="681" w:hanging="227"/>
      </w:pPr>
      <w:rPr>
        <w:rFonts w:ascii="Calibri" w:hAnsi="Calibri" w:hint="default"/>
        <w:b/>
      </w:rPr>
    </w:lvl>
    <w:lvl w:ilvl="3">
      <w:start w:val="1"/>
      <w:numFmt w:val="bullet"/>
      <w:lvlText w:val="•"/>
      <w:lvlJc w:val="left"/>
      <w:pPr>
        <w:ind w:left="908" w:hanging="227"/>
      </w:pPr>
      <w:rPr>
        <w:rFonts w:asciiTheme="minorHAnsi" w:hAnsiTheme="minorHAnsi" w:cs="Times New Roman" w:hint="default"/>
      </w:rPr>
    </w:lvl>
    <w:lvl w:ilvl="4">
      <w:start w:val="1"/>
      <w:numFmt w:val="bullet"/>
      <w:lvlText w:val="o"/>
      <w:lvlJc w:val="left"/>
      <w:pPr>
        <w:ind w:left="1135" w:hanging="227"/>
      </w:pPr>
      <w:rPr>
        <w:rFonts w:asciiTheme="minorHAnsi" w:hAnsiTheme="minorHAnsi" w:cs="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Theme="minorHAnsi" w:hAnsiTheme="minorHAnsi" w:cs="Courier New" w:hint="default"/>
      </w:rPr>
    </w:lvl>
    <w:lvl w:ilvl="8">
      <w:start w:val="1"/>
      <w:numFmt w:val="bullet"/>
      <w:lvlText w:val=""/>
      <w:lvlJc w:val="left"/>
      <w:pPr>
        <w:ind w:left="2043" w:hanging="227"/>
      </w:pPr>
      <w:rPr>
        <w:rFonts w:ascii="Wingdings" w:hAnsi="Wingdings" w:hint="default"/>
      </w:rPr>
    </w:lvl>
  </w:abstractNum>
  <w:abstractNum w:abstractNumId="14" w15:restartNumberingAfterBreak="0">
    <w:nsid w:val="32220575"/>
    <w:multiLevelType w:val="multilevel"/>
    <w:tmpl w:val="560EB926"/>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alibri" w:hAnsi="Calibr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E3700ED"/>
    <w:multiLevelType w:val="multilevel"/>
    <w:tmpl w:val="574087B6"/>
    <w:numStyleLink w:val="Philipsbullets"/>
  </w:abstractNum>
  <w:abstractNum w:abstractNumId="16" w15:restartNumberingAfterBreak="0">
    <w:nsid w:val="7547641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13"/>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16"/>
  </w:num>
  <w:num w:numId="16">
    <w:abstractNumId w:val="12"/>
  </w:num>
  <w:num w:numId="17">
    <w:abstractNumId w:val="10"/>
  </w:num>
  <w:num w:numId="18">
    <w:abstractNumId w:val="10"/>
  </w:num>
  <w:num w:numId="19">
    <w:abstractNumId w:val="1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embedSystemFonts/>
  <w:gutterAtTop/>
  <w:activeWritingStyle w:appName="MSWord" w:lang="en-GB" w:vendorID="64" w:dllVersion="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Total_Editing_Time" w:val="0"/>
  </w:docVars>
  <w:rsids>
    <w:rsidRoot w:val="002E5803"/>
    <w:rsid w:val="0001308C"/>
    <w:rsid w:val="00014F84"/>
    <w:rsid w:val="000260FC"/>
    <w:rsid w:val="00035A19"/>
    <w:rsid w:val="00047D5C"/>
    <w:rsid w:val="00056E22"/>
    <w:rsid w:val="00081964"/>
    <w:rsid w:val="00091FB2"/>
    <w:rsid w:val="000943AB"/>
    <w:rsid w:val="0009471A"/>
    <w:rsid w:val="000D2E72"/>
    <w:rsid w:val="000F2014"/>
    <w:rsid w:val="000F2F8C"/>
    <w:rsid w:val="000F713C"/>
    <w:rsid w:val="00101C7A"/>
    <w:rsid w:val="00117A79"/>
    <w:rsid w:val="00121365"/>
    <w:rsid w:val="00124843"/>
    <w:rsid w:val="0016378F"/>
    <w:rsid w:val="00176325"/>
    <w:rsid w:val="00195ADF"/>
    <w:rsid w:val="00195C05"/>
    <w:rsid w:val="001A19B9"/>
    <w:rsid w:val="001B3DDF"/>
    <w:rsid w:val="001C2732"/>
    <w:rsid w:val="001E24B9"/>
    <w:rsid w:val="001E388F"/>
    <w:rsid w:val="001E4783"/>
    <w:rsid w:val="00205E8C"/>
    <w:rsid w:val="002200B8"/>
    <w:rsid w:val="00221DD3"/>
    <w:rsid w:val="00235CAC"/>
    <w:rsid w:val="00242321"/>
    <w:rsid w:val="00255825"/>
    <w:rsid w:val="00274407"/>
    <w:rsid w:val="002C3953"/>
    <w:rsid w:val="002D465C"/>
    <w:rsid w:val="002E2AE1"/>
    <w:rsid w:val="002E5803"/>
    <w:rsid w:val="002F7FAA"/>
    <w:rsid w:val="0030236F"/>
    <w:rsid w:val="00303852"/>
    <w:rsid w:val="0032047C"/>
    <w:rsid w:val="00321D12"/>
    <w:rsid w:val="0032484E"/>
    <w:rsid w:val="00332983"/>
    <w:rsid w:val="00334962"/>
    <w:rsid w:val="00350F6A"/>
    <w:rsid w:val="0035650B"/>
    <w:rsid w:val="00363923"/>
    <w:rsid w:val="00363C0C"/>
    <w:rsid w:val="00383300"/>
    <w:rsid w:val="003C7BC4"/>
    <w:rsid w:val="003E696C"/>
    <w:rsid w:val="00412931"/>
    <w:rsid w:val="00431130"/>
    <w:rsid w:val="0044687A"/>
    <w:rsid w:val="004538EB"/>
    <w:rsid w:val="0047062D"/>
    <w:rsid w:val="00475974"/>
    <w:rsid w:val="004D5872"/>
    <w:rsid w:val="00514AB2"/>
    <w:rsid w:val="00515460"/>
    <w:rsid w:val="0054717D"/>
    <w:rsid w:val="0054754D"/>
    <w:rsid w:val="00553441"/>
    <w:rsid w:val="00564722"/>
    <w:rsid w:val="00570A71"/>
    <w:rsid w:val="00591CBB"/>
    <w:rsid w:val="005A1350"/>
    <w:rsid w:val="005D0415"/>
    <w:rsid w:val="005D37DC"/>
    <w:rsid w:val="0060195B"/>
    <w:rsid w:val="006204FC"/>
    <w:rsid w:val="00671080"/>
    <w:rsid w:val="00671BF6"/>
    <w:rsid w:val="006769C4"/>
    <w:rsid w:val="00694039"/>
    <w:rsid w:val="006E365A"/>
    <w:rsid w:val="006F50A9"/>
    <w:rsid w:val="00700037"/>
    <w:rsid w:val="00713A54"/>
    <w:rsid w:val="0072438F"/>
    <w:rsid w:val="007265AF"/>
    <w:rsid w:val="0073157C"/>
    <w:rsid w:val="007419B6"/>
    <w:rsid w:val="00754D1D"/>
    <w:rsid w:val="00765796"/>
    <w:rsid w:val="00767F9F"/>
    <w:rsid w:val="007852B8"/>
    <w:rsid w:val="007852E7"/>
    <w:rsid w:val="00790D2E"/>
    <w:rsid w:val="0079197B"/>
    <w:rsid w:val="007A30C5"/>
    <w:rsid w:val="007B1B4C"/>
    <w:rsid w:val="007D11FE"/>
    <w:rsid w:val="007E0E89"/>
    <w:rsid w:val="007E5BD0"/>
    <w:rsid w:val="007E7D83"/>
    <w:rsid w:val="007F6091"/>
    <w:rsid w:val="007F663B"/>
    <w:rsid w:val="008065CA"/>
    <w:rsid w:val="00832AD7"/>
    <w:rsid w:val="00837998"/>
    <w:rsid w:val="008608DA"/>
    <w:rsid w:val="00880FB4"/>
    <w:rsid w:val="00893E98"/>
    <w:rsid w:val="008A5A22"/>
    <w:rsid w:val="008B7637"/>
    <w:rsid w:val="008C731D"/>
    <w:rsid w:val="008F3B50"/>
    <w:rsid w:val="008F4C19"/>
    <w:rsid w:val="008F7DC3"/>
    <w:rsid w:val="009249FF"/>
    <w:rsid w:val="009432E0"/>
    <w:rsid w:val="0094371D"/>
    <w:rsid w:val="00962D0E"/>
    <w:rsid w:val="00974F64"/>
    <w:rsid w:val="00976DEC"/>
    <w:rsid w:val="009836E6"/>
    <w:rsid w:val="009A302D"/>
    <w:rsid w:val="009B03CB"/>
    <w:rsid w:val="009B42C6"/>
    <w:rsid w:val="009C6E8C"/>
    <w:rsid w:val="009D0765"/>
    <w:rsid w:val="009E2945"/>
    <w:rsid w:val="009F0F23"/>
    <w:rsid w:val="00A0626A"/>
    <w:rsid w:val="00A45509"/>
    <w:rsid w:val="00A5538C"/>
    <w:rsid w:val="00A613E1"/>
    <w:rsid w:val="00A86808"/>
    <w:rsid w:val="00AA1551"/>
    <w:rsid w:val="00AA3BCC"/>
    <w:rsid w:val="00AB1495"/>
    <w:rsid w:val="00AD7FD4"/>
    <w:rsid w:val="00AF74AD"/>
    <w:rsid w:val="00B22224"/>
    <w:rsid w:val="00B26DE8"/>
    <w:rsid w:val="00B279D3"/>
    <w:rsid w:val="00B63A04"/>
    <w:rsid w:val="00B72E54"/>
    <w:rsid w:val="00B77B78"/>
    <w:rsid w:val="00B85FD6"/>
    <w:rsid w:val="00BA71D4"/>
    <w:rsid w:val="00C114F5"/>
    <w:rsid w:val="00C16D9B"/>
    <w:rsid w:val="00C42352"/>
    <w:rsid w:val="00C42A54"/>
    <w:rsid w:val="00C4442C"/>
    <w:rsid w:val="00C73796"/>
    <w:rsid w:val="00C80E08"/>
    <w:rsid w:val="00C90041"/>
    <w:rsid w:val="00C96175"/>
    <w:rsid w:val="00CC4CE1"/>
    <w:rsid w:val="00CE46FA"/>
    <w:rsid w:val="00CE47CA"/>
    <w:rsid w:val="00CF4E87"/>
    <w:rsid w:val="00D17ECB"/>
    <w:rsid w:val="00D31A0E"/>
    <w:rsid w:val="00D426B5"/>
    <w:rsid w:val="00D56FC7"/>
    <w:rsid w:val="00D60AE9"/>
    <w:rsid w:val="00D901BA"/>
    <w:rsid w:val="00D948B8"/>
    <w:rsid w:val="00D957C3"/>
    <w:rsid w:val="00DA60CC"/>
    <w:rsid w:val="00DB0D0D"/>
    <w:rsid w:val="00DB738F"/>
    <w:rsid w:val="00DC72B7"/>
    <w:rsid w:val="00DD3D62"/>
    <w:rsid w:val="00DE5EA6"/>
    <w:rsid w:val="00E10A1F"/>
    <w:rsid w:val="00E17F57"/>
    <w:rsid w:val="00E2088F"/>
    <w:rsid w:val="00E331B3"/>
    <w:rsid w:val="00E40199"/>
    <w:rsid w:val="00E439A6"/>
    <w:rsid w:val="00E502E5"/>
    <w:rsid w:val="00E529B9"/>
    <w:rsid w:val="00E60953"/>
    <w:rsid w:val="00E62463"/>
    <w:rsid w:val="00E70F79"/>
    <w:rsid w:val="00E73C6E"/>
    <w:rsid w:val="00E84385"/>
    <w:rsid w:val="00E85731"/>
    <w:rsid w:val="00EA175A"/>
    <w:rsid w:val="00EB1008"/>
    <w:rsid w:val="00EB207D"/>
    <w:rsid w:val="00EC7BB4"/>
    <w:rsid w:val="00ED2FF2"/>
    <w:rsid w:val="00EE6BD8"/>
    <w:rsid w:val="00F224EF"/>
    <w:rsid w:val="00F42983"/>
    <w:rsid w:val="00F64725"/>
    <w:rsid w:val="00F72B37"/>
    <w:rsid w:val="00F77841"/>
    <w:rsid w:val="00F77C4A"/>
    <w:rsid w:val="00F901E1"/>
    <w:rsid w:val="00FA040B"/>
    <w:rsid w:val="00FA14EC"/>
    <w:rsid w:val="00FB0F94"/>
    <w:rsid w:val="00FB326A"/>
    <w:rsid w:val="00FF2F34"/>
    <w:rsid w:val="00FF509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027F31"/>
  <w15:docId w15:val="{EFE0783C-3375-4D5D-B07B-04601C497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803"/>
    <w:pPr>
      <w:spacing w:line="360" w:lineRule="auto"/>
    </w:pPr>
    <w:rPr>
      <w:rFonts w:ascii="Calibri" w:hAnsi="Calibri"/>
      <w:sz w:val="22"/>
      <w:lang w:val="en-US"/>
    </w:rPr>
  </w:style>
  <w:style w:type="paragraph" w:styleId="Heading1">
    <w:name w:val="heading 1"/>
    <w:basedOn w:val="Normal"/>
    <w:next w:val="Normal"/>
    <w:link w:val="Heading1Char"/>
    <w:qFormat/>
    <w:rsid w:val="001B3DDF"/>
    <w:pPr>
      <w:keepNext/>
      <w:numPr>
        <w:numId w:val="20"/>
      </w:numPr>
      <w:spacing w:line="360" w:lineRule="exact"/>
      <w:outlineLvl w:val="0"/>
    </w:pPr>
    <w:rPr>
      <w:b/>
    </w:rPr>
  </w:style>
  <w:style w:type="paragraph" w:styleId="Heading2">
    <w:name w:val="heading 2"/>
    <w:basedOn w:val="Normal"/>
    <w:next w:val="Normal"/>
    <w:link w:val="Heading2Char"/>
    <w:unhideWhenUsed/>
    <w:qFormat/>
    <w:rsid w:val="001B3DDF"/>
    <w:pPr>
      <w:keepNext/>
      <w:keepLines/>
      <w:numPr>
        <w:ilvl w:val="1"/>
        <w:numId w:val="20"/>
      </w:numPr>
      <w:spacing w:line="360" w:lineRule="exact"/>
      <w:outlineLvl w:val="1"/>
    </w:pPr>
    <w:rPr>
      <w:rFonts w:asciiTheme="majorHAnsi" w:eastAsiaTheme="majorEastAsia" w:hAnsiTheme="majorHAnsi" w:cstheme="majorBidi"/>
      <w:color w:val="00126E" w:themeColor="accent1"/>
      <w:szCs w:val="26"/>
    </w:rPr>
  </w:style>
  <w:style w:type="paragraph" w:styleId="Heading3">
    <w:name w:val="heading 3"/>
    <w:basedOn w:val="Normal"/>
    <w:next w:val="Normal"/>
    <w:link w:val="Heading3Char"/>
    <w:unhideWhenUsed/>
    <w:rsid w:val="001B3DDF"/>
    <w:pPr>
      <w:keepNext/>
      <w:keepLines/>
      <w:numPr>
        <w:ilvl w:val="2"/>
        <w:numId w:val="20"/>
      </w:numPr>
      <w:spacing w:before="40"/>
      <w:outlineLvl w:val="2"/>
    </w:pPr>
    <w:rPr>
      <w:rFonts w:asciiTheme="majorHAnsi" w:eastAsiaTheme="majorEastAsia" w:hAnsiTheme="majorHAnsi" w:cstheme="majorBidi"/>
      <w:color w:val="000836" w:themeColor="accent1" w:themeShade="7F"/>
      <w:szCs w:val="24"/>
    </w:rPr>
  </w:style>
  <w:style w:type="paragraph" w:styleId="Heading4">
    <w:name w:val="heading 4"/>
    <w:basedOn w:val="Normal"/>
    <w:next w:val="Normal"/>
    <w:link w:val="Heading4Char"/>
    <w:unhideWhenUsed/>
    <w:rsid w:val="0016378F"/>
    <w:pPr>
      <w:keepNext/>
      <w:keepLines/>
      <w:spacing w:before="40"/>
      <w:outlineLvl w:val="3"/>
    </w:pPr>
    <w:rPr>
      <w:rFonts w:asciiTheme="majorHAnsi" w:eastAsiaTheme="majorEastAsia" w:hAnsiTheme="majorHAnsi" w:cstheme="majorBidi"/>
      <w:i/>
      <w:iCs/>
      <w:color w:val="000D5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rsid w:val="00363C0C"/>
    <w:pPr>
      <w:framePr w:w="9979" w:h="567" w:wrap="notBeside" w:vAnchor="page" w:hAnchor="page" w:x="1736" w:yAlign="bottom"/>
      <w:spacing w:line="180" w:lineRule="exact"/>
    </w:pPr>
    <w:rPr>
      <w:rFonts w:cs="Calibri"/>
      <w:noProof/>
      <w:sz w:val="16"/>
      <w:szCs w:val="16"/>
    </w:rPr>
  </w:style>
  <w:style w:type="paragraph" w:customStyle="1" w:styleId="Emphasis1">
    <w:name w:val="Emphasis 1"/>
    <w:basedOn w:val="Normal"/>
    <w:qFormat/>
    <w:rsid w:val="00363C0C"/>
    <w:rPr>
      <w:i/>
    </w:rPr>
  </w:style>
  <w:style w:type="paragraph" w:customStyle="1" w:styleId="Emphasis2">
    <w:name w:val="Emphasis 2"/>
    <w:basedOn w:val="Normal"/>
    <w:qFormat/>
    <w:rsid w:val="00363C0C"/>
    <w:rPr>
      <w:b/>
    </w:rPr>
  </w:style>
  <w:style w:type="paragraph" w:styleId="BalloonText">
    <w:name w:val="Balloon Text"/>
    <w:basedOn w:val="Normal"/>
    <w:link w:val="BalloonTextChar"/>
    <w:rsid w:val="00A86808"/>
    <w:rPr>
      <w:rFonts w:ascii="Tahoma" w:hAnsi="Tahoma" w:cs="Tahoma"/>
      <w:sz w:val="16"/>
      <w:szCs w:val="16"/>
    </w:rPr>
  </w:style>
  <w:style w:type="character" w:customStyle="1" w:styleId="BalloonTextChar">
    <w:name w:val="Balloon Text Char"/>
    <w:basedOn w:val="DefaultParagraphFont"/>
    <w:link w:val="BalloonText"/>
    <w:rsid w:val="00A86808"/>
    <w:rPr>
      <w:rFonts w:ascii="Tahoma" w:hAnsi="Tahoma" w:cs="Tahoma"/>
      <w:sz w:val="16"/>
      <w:szCs w:val="16"/>
      <w:lang w:val="en-US"/>
    </w:rPr>
  </w:style>
  <w:style w:type="paragraph" w:styleId="NormalWeb">
    <w:name w:val="Normal (Web)"/>
    <w:basedOn w:val="Normal"/>
    <w:uiPriority w:val="99"/>
    <w:unhideWhenUsed/>
    <w:rsid w:val="00363C0C"/>
    <w:pPr>
      <w:spacing w:before="100" w:beforeAutospacing="1" w:after="100" w:afterAutospacing="1"/>
    </w:pPr>
    <w:rPr>
      <w:rFonts w:ascii="Times New Roman" w:eastAsiaTheme="minorEastAsia" w:hAnsi="Times New Roman"/>
      <w:sz w:val="24"/>
      <w:szCs w:val="24"/>
      <w:lang w:eastAsia="nl-NL"/>
    </w:rPr>
  </w:style>
  <w:style w:type="character" w:customStyle="1" w:styleId="Heading2Char">
    <w:name w:val="Heading 2 Char"/>
    <w:basedOn w:val="DefaultParagraphFont"/>
    <w:link w:val="Heading2"/>
    <w:rsid w:val="001B3DDF"/>
    <w:rPr>
      <w:rFonts w:asciiTheme="majorHAnsi" w:eastAsiaTheme="majorEastAsia" w:hAnsiTheme="majorHAnsi" w:cstheme="majorBidi"/>
      <w:color w:val="00126E" w:themeColor="accent1"/>
      <w:sz w:val="22"/>
      <w:szCs w:val="26"/>
      <w:lang w:val="en-US"/>
    </w:rPr>
  </w:style>
  <w:style w:type="numbering" w:customStyle="1" w:styleId="Philipsbullets">
    <w:name w:val="Philips bullets"/>
    <w:basedOn w:val="NoList"/>
    <w:rsid w:val="00C114F5"/>
    <w:pPr>
      <w:numPr>
        <w:numId w:val="2"/>
      </w:numPr>
    </w:pPr>
  </w:style>
  <w:style w:type="paragraph" w:styleId="ListParagraph">
    <w:name w:val="List Paragraph"/>
    <w:basedOn w:val="Normal"/>
    <w:uiPriority w:val="34"/>
    <w:qFormat/>
    <w:rsid w:val="00363C0C"/>
    <w:pPr>
      <w:numPr>
        <w:numId w:val="3"/>
      </w:numPr>
      <w:contextualSpacing/>
    </w:pPr>
    <w:rPr>
      <w:rFonts w:asciiTheme="minorHAnsi" w:eastAsiaTheme="minorEastAsia" w:hAnsiTheme="minorHAnsi"/>
      <w:szCs w:val="24"/>
      <w:lang w:eastAsia="nl-NL"/>
    </w:rPr>
  </w:style>
  <w:style w:type="paragraph" w:customStyle="1" w:styleId="Emphasis3">
    <w:name w:val="Emphasis 3"/>
    <w:basedOn w:val="Normal"/>
    <w:qFormat/>
    <w:rsid w:val="00363C0C"/>
    <w:rPr>
      <w:color w:val="00126E" w:themeColor="accent1"/>
    </w:rPr>
  </w:style>
  <w:style w:type="character" w:customStyle="1" w:styleId="FooterChar">
    <w:name w:val="Footer Char"/>
    <w:basedOn w:val="DefaultParagraphFont"/>
    <w:link w:val="Footer"/>
    <w:rsid w:val="00363C0C"/>
    <w:rPr>
      <w:rFonts w:ascii="Calibri" w:hAnsi="Calibri" w:cs="Calibri"/>
      <w:noProof/>
      <w:sz w:val="16"/>
      <w:szCs w:val="16"/>
      <w:lang w:val="en-US"/>
    </w:rPr>
  </w:style>
  <w:style w:type="character" w:styleId="Hyperlink">
    <w:name w:val="Hyperlink"/>
    <w:basedOn w:val="DefaultParagraphFont"/>
    <w:unhideWhenUsed/>
    <w:rsid w:val="00176325"/>
    <w:rPr>
      <w:color w:val="0B5ED7" w:themeColor="hyperlink"/>
      <w:u w:val="single"/>
    </w:rPr>
  </w:style>
  <w:style w:type="character" w:customStyle="1" w:styleId="HeaderChar">
    <w:name w:val="Header Char"/>
    <w:basedOn w:val="DefaultParagraphFont"/>
    <w:link w:val="Header"/>
    <w:uiPriority w:val="99"/>
    <w:rsid w:val="00C4442C"/>
    <w:rPr>
      <w:rFonts w:ascii="Calibri" w:hAnsi="Calibri"/>
      <w:sz w:val="22"/>
      <w:lang w:val="en-US"/>
    </w:rPr>
  </w:style>
  <w:style w:type="character" w:customStyle="1" w:styleId="Heading3Char">
    <w:name w:val="Heading 3 Char"/>
    <w:basedOn w:val="DefaultParagraphFont"/>
    <w:link w:val="Heading3"/>
    <w:rsid w:val="001B3DDF"/>
    <w:rPr>
      <w:rFonts w:asciiTheme="majorHAnsi" w:eastAsiaTheme="majorEastAsia" w:hAnsiTheme="majorHAnsi" w:cstheme="majorBidi"/>
      <w:color w:val="000836" w:themeColor="accent1" w:themeShade="7F"/>
      <w:sz w:val="22"/>
      <w:szCs w:val="24"/>
      <w:lang w:val="en-US"/>
    </w:rPr>
  </w:style>
  <w:style w:type="paragraph" w:styleId="MacroText">
    <w:name w:val="macro"/>
    <w:link w:val="MacroTextChar"/>
    <w:semiHidden/>
    <w:unhideWhenUsed/>
    <w:rsid w:val="00363C0C"/>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val="en-US"/>
    </w:rPr>
  </w:style>
  <w:style w:type="character" w:customStyle="1" w:styleId="MacroTextChar">
    <w:name w:val="Macro Text Char"/>
    <w:basedOn w:val="DefaultParagraphFont"/>
    <w:link w:val="MacroText"/>
    <w:semiHidden/>
    <w:rsid w:val="00363C0C"/>
    <w:rPr>
      <w:rFonts w:ascii="Consolas" w:hAnsi="Consolas"/>
      <w:lang w:val="en-US"/>
    </w:rPr>
  </w:style>
  <w:style w:type="character" w:customStyle="1" w:styleId="Heading4Char">
    <w:name w:val="Heading 4 Char"/>
    <w:basedOn w:val="DefaultParagraphFont"/>
    <w:link w:val="Heading4"/>
    <w:rsid w:val="0016378F"/>
    <w:rPr>
      <w:rFonts w:asciiTheme="majorHAnsi" w:eastAsiaTheme="majorEastAsia" w:hAnsiTheme="majorHAnsi" w:cstheme="majorBidi"/>
      <w:i/>
      <w:iCs/>
      <w:color w:val="000D52" w:themeColor="accent1" w:themeShade="BF"/>
      <w:sz w:val="22"/>
      <w:lang w:val="en-US"/>
    </w:rPr>
  </w:style>
  <w:style w:type="character" w:customStyle="1" w:styleId="Heading1Char">
    <w:name w:val="Heading 1 Char"/>
    <w:link w:val="Heading1"/>
    <w:rsid w:val="001B3DDF"/>
    <w:rPr>
      <w:rFonts w:ascii="Calibri" w:hAnsi="Calibri"/>
      <w:b/>
      <w:sz w:val="22"/>
      <w:lang w:val="en-US"/>
    </w:rPr>
  </w:style>
  <w:style w:type="numbering" w:customStyle="1" w:styleId="Headinglist">
    <w:name w:val="Heading list"/>
    <w:uiPriority w:val="99"/>
    <w:rsid w:val="001B3DDF"/>
    <w:pPr>
      <w:numPr>
        <w:numId w:val="17"/>
      </w:numPr>
    </w:pPr>
  </w:style>
  <w:style w:type="table" w:styleId="TableGrid">
    <w:name w:val="Table Grid"/>
    <w:basedOn w:val="TableNormal"/>
    <w:rsid w:val="002E5803"/>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2E5803"/>
    <w:pPr>
      <w:spacing w:after="200" w:line="240" w:lineRule="auto"/>
    </w:pPr>
    <w:rPr>
      <w:i/>
      <w:iCs/>
      <w:color w:val="0B5ED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547449">
      <w:bodyDiv w:val="1"/>
      <w:marLeft w:val="0"/>
      <w:marRight w:val="0"/>
      <w:marTop w:val="0"/>
      <w:marBottom w:val="0"/>
      <w:divBdr>
        <w:top w:val="none" w:sz="0" w:space="0" w:color="auto"/>
        <w:left w:val="none" w:sz="0" w:space="0" w:color="auto"/>
        <w:bottom w:val="none" w:sz="0" w:space="0" w:color="auto"/>
        <w:right w:val="none" w:sz="0" w:space="0" w:color="auto"/>
      </w:divBdr>
    </w:div>
    <w:div w:id="1559823432">
      <w:bodyDiv w:val="1"/>
      <w:marLeft w:val="0"/>
      <w:marRight w:val="0"/>
      <w:marTop w:val="0"/>
      <w:marBottom w:val="0"/>
      <w:divBdr>
        <w:top w:val="none" w:sz="0" w:space="0" w:color="auto"/>
        <w:left w:val="none" w:sz="0" w:space="0" w:color="auto"/>
        <w:bottom w:val="none" w:sz="0" w:space="0" w:color="auto"/>
        <w:right w:val="none" w:sz="0" w:space="0" w:color="auto"/>
      </w:divBdr>
    </w:div>
    <w:div w:id="209512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20234053\AppData\Local\Temp\Templafy\WordVsto\o3zucpbd.dotx" TargetMode="External"/></Relationships>
</file>

<file path=word/theme/theme1.xml><?xml version="1.0" encoding="utf-8"?>
<a:theme xmlns:a="http://schemas.openxmlformats.org/drawingml/2006/main" name="philips2021">
  <a:themeElements>
    <a:clrScheme name="Philips">
      <a:dk1>
        <a:srgbClr val="000000"/>
      </a:dk1>
      <a:lt1>
        <a:srgbClr val="FFFFFF"/>
      </a:lt1>
      <a:dk2>
        <a:srgbClr val="0B5ED7"/>
      </a:dk2>
      <a:lt2>
        <a:srgbClr val="BDF0FF"/>
      </a:lt2>
      <a:accent1>
        <a:srgbClr val="00126E"/>
      </a:accent1>
      <a:accent2>
        <a:srgbClr val="02DA20"/>
      </a:accent2>
      <a:accent3>
        <a:srgbClr val="F85569"/>
      </a:accent3>
      <a:accent4>
        <a:srgbClr val="FFCF50"/>
      </a:accent4>
      <a:accent5>
        <a:srgbClr val="FA8DDC"/>
      </a:accent5>
      <a:accent6>
        <a:srgbClr val="D780FF"/>
      </a:accent6>
      <a:hlink>
        <a:srgbClr val="0B5ED7"/>
      </a:hlink>
      <a:folHlink>
        <a:srgbClr val="0B5ED7"/>
      </a:folHlink>
    </a:clrScheme>
    <a:fontScheme name="Custom 12">
      <a:majorFont>
        <a:latin typeface="Calibri Light"/>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89C4"/>
        </a:solidFill>
        <a:ln w="25400" cap="flat" cmpd="sng" algn="ctr">
          <a:solidFill>
            <a:srgbClr val="0089C4"/>
          </a:solidFill>
          <a:prstDash val="solid"/>
        </a:ln>
        <a:effectLst/>
      </a:spPr>
      <a:bodyPr rtlCol="0" anchor="ctr"/>
      <a:lstStyle>
        <a:defPPr algn="ctr">
          <a:defRPr smtClean="0"/>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Light Blue">
      <a:srgbClr val="BDF0FF"/>
    </a:custClr>
    <a:custClr name="Light Aqua">
      <a:srgbClr val="9CF6FB"/>
    </a:custClr>
    <a:custClr name="Light Green">
      <a:srgbClr val="ADFFB5"/>
    </a:custClr>
    <a:custClr name="Light Gold">
      <a:srgbClr val="FCFCC2"/>
    </a:custClr>
    <a:custClr name="Light Coral">
      <a:srgbClr val="FFDEDB"/>
    </a:custClr>
    <a:custClr name="Light Pink">
      <a:srgbClr val="FFE5F9"/>
    </a:custClr>
    <a:custClr name="Light Purple">
      <a:srgbClr val="F1DEFC"/>
    </a:custClr>
    <a:custClr name="White">
      <a:srgbClr val="FFFFFF"/>
    </a:custClr>
    <a:custClr name="White">
      <a:srgbClr val="FFFFFF"/>
    </a:custClr>
    <a:custClr name="White">
      <a:srgbClr val="FFFFFF"/>
    </a:custClr>
    <a:custClr name="Philips Blue">
      <a:srgbClr val="0B5ED7"/>
    </a:custClr>
    <a:custClr name="Aqua">
      <a:srgbClr val="02ABB1"/>
    </a:custClr>
    <a:custClr name="Green">
      <a:srgbClr val="02DA21"/>
    </a:custClr>
    <a:custClr name="Gold">
      <a:srgbClr val="FFCF50"/>
    </a:custClr>
    <a:custClr name="Coral">
      <a:srgbClr val="F85569"/>
    </a:custClr>
    <a:custClr name="Pink">
      <a:srgbClr val="FA8DDC"/>
    </a:custClr>
    <a:custClr name="Purple">
      <a:srgbClr val="D780FF"/>
    </a:custClr>
    <a:custClr name="White">
      <a:srgbClr val="FFFFFF"/>
    </a:custClr>
    <a:custClr name="White">
      <a:srgbClr val="FFFFFF"/>
    </a:custClr>
    <a:custClr name="White">
      <a:srgbClr val="FFFFFF"/>
    </a:custClr>
    <a:custClr name="Dark Blue">
      <a:srgbClr val="00126E"/>
    </a:custClr>
    <a:custClr name="Dark Aqua">
      <a:srgbClr val="00666F"/>
    </a:custClr>
    <a:custClr name="Dark Green">
      <a:srgbClr val="008800"/>
    </a:custClr>
    <a:custClr name="Dark Gold">
      <a:srgbClr val="FCA708"/>
    </a:custClr>
    <a:custClr name="Dark Coral">
      <a:srgbClr val="D43F44"/>
    </a:custClr>
    <a:custClr name="Dark Pink">
      <a:srgbClr val="DB0383"/>
    </a:custClr>
    <a:custClr name="Dark Purple">
      <a:srgbClr val="A80DF2"/>
    </a:custClr>
    <a:custClr name="White">
      <a:srgbClr val="FFFFFF"/>
    </a:custClr>
    <a:custClr name="White">
      <a:srgbClr val="FFFFFF"/>
    </a:custClr>
    <a:custClr name="White">
      <a:srgbClr val="FFFFFF"/>
    </a:custClr>
  </a:custClrLst>
  <a:extLst>
    <a:ext uri="{05A4C25C-085E-4340-85A3-A5531E510DB2}">
      <thm15:themeFamily xmlns:thm15="http://schemas.microsoft.com/office/thememl/2012/main" name="philips2021" id="{F4FA1CBD-B4FA-3141-997B-35DB3EA36268}" vid="{291F0405-4863-E745-A736-788B7935D7A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formDataEntries":[]}]]></TemplafyFormConfigura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mplafyTemplateConfiguration><![CDATA[{"elementsMetadata":[],"transformationConfigurations":[],"templateName":"Philips Blank (1)","templateDescription":"","enableDocumentContentUpdater":false,"version":"2.0"}]]></TemplafyTemplateConfiguration>
</file>

<file path=customXml/item5.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1" ma:contentTypeDescription="Een nieuw document maken." ma:contentTypeScope="" ma:versionID="7bfe86bcb2f81af92b6a2f60bae862a7">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10d9456ce71c04f2483e40a32c242f0e"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F483A-6751-4EC4-B3C4-453CB9CA0C65}">
  <ds:schemaRefs/>
</ds:datastoreItem>
</file>

<file path=customXml/itemProps2.xml><?xml version="1.0" encoding="utf-8"?>
<ds:datastoreItem xmlns:ds="http://schemas.openxmlformats.org/officeDocument/2006/customXml" ds:itemID="{C181BAD3-D615-4BFE-806F-F2F44F1E3EB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7D0426E-2C94-431A-9FFB-E9C85DD39BCD}">
  <ds:schemaRefs>
    <ds:schemaRef ds:uri="http://schemas.microsoft.com/sharepoint/v3/contenttype/forms"/>
  </ds:schemaRefs>
</ds:datastoreItem>
</file>

<file path=customXml/itemProps4.xml><?xml version="1.0" encoding="utf-8"?>
<ds:datastoreItem xmlns:ds="http://schemas.openxmlformats.org/officeDocument/2006/customXml" ds:itemID="{0BFE5B46-258F-4D55-A065-A66E3224440F}">
  <ds:schemaRefs/>
</ds:datastoreItem>
</file>

<file path=customXml/itemProps5.xml><?xml version="1.0" encoding="utf-8"?>
<ds:datastoreItem xmlns:ds="http://schemas.openxmlformats.org/officeDocument/2006/customXml" ds:itemID="{9020EB0B-4BE6-4E61-93D2-6E744E69CA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2EC3C08-2BFD-45AC-875E-6C492A067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o3zucpbd</Template>
  <TotalTime>1</TotalTime>
  <Pages>3</Pages>
  <Words>579</Words>
  <Characters>3001</Characters>
  <Application>Microsoft Office Word</Application>
  <DocSecurity>0</DocSecurity>
  <Lines>66</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Olsson, Hampus</dc:creator>
  <cp:keywords/>
  <cp:lastModifiedBy>Erica Mae Tuayon</cp:lastModifiedBy>
  <cp:revision>2</cp:revision>
  <dcterms:created xsi:type="dcterms:W3CDTF">2025-04-10T08:13:00Z</dcterms:created>
  <dcterms:modified xsi:type="dcterms:W3CDTF">2025-05-13T08:50:00Z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TemplafyTenantId">
    <vt:lpwstr>philips</vt:lpwstr>
  </property>
  <property fmtid="{D5CDD505-2E9C-101B-9397-08002B2CF9AE}" pid="4" name="TemplafyTemplateId">
    <vt:lpwstr>1129861465149538368</vt:lpwstr>
  </property>
  <property fmtid="{D5CDD505-2E9C-101B-9397-08002B2CF9AE}" pid="5" name="TemplafyUserProfileId">
    <vt:lpwstr>714553975789584490</vt:lpwstr>
  </property>
  <property fmtid="{D5CDD505-2E9C-101B-9397-08002B2CF9AE}" pid="6" name="TemplafyFromBlank">
    <vt:bool>true</vt:bool>
  </property>
</Properties>
</file>