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8A06A" w14:textId="77777777" w:rsidR="001C6819" w:rsidRDefault="001C6819" w:rsidP="001C6819">
      <w:pPr>
        <w:pStyle w:val="berschrift1"/>
        <w:rPr>
          <w:lang w:val="en-US"/>
        </w:rPr>
      </w:pPr>
      <w:r>
        <w:rPr>
          <w:lang w:val="en-US"/>
        </w:rPr>
        <w:t>Supplementary Tables</w:t>
      </w:r>
    </w:p>
    <w:p w14:paraId="491F02B6" w14:textId="77777777" w:rsidR="001C6819" w:rsidRPr="003F564D" w:rsidRDefault="001C6819" w:rsidP="001C6819">
      <w:pPr>
        <w:rPr>
          <w:lang w:val="en-US"/>
        </w:rPr>
      </w:pPr>
      <w:r w:rsidRPr="706729E9">
        <w:rPr>
          <w:lang w:val="en-US"/>
        </w:rPr>
        <w:t>See Excels</w:t>
      </w:r>
    </w:p>
    <w:p w14:paraId="45B7D1DD" w14:textId="77777777" w:rsidR="001C6819" w:rsidRPr="00207FAE" w:rsidRDefault="001C6819" w:rsidP="001C6819">
      <w:pPr>
        <w:pStyle w:val="berschrift1"/>
        <w:rPr>
          <w:lang w:val="en-US"/>
        </w:rPr>
      </w:pPr>
      <w:proofErr w:type="spellStart"/>
      <w:r>
        <w:t>Supplementary</w:t>
      </w:r>
      <w:proofErr w:type="spellEnd"/>
      <w:r>
        <w:t xml:space="preserve"> </w:t>
      </w:r>
      <w:proofErr w:type="spellStart"/>
      <w:r>
        <w:t>Figures</w:t>
      </w:r>
      <w:proofErr w:type="spellEnd"/>
    </w:p>
    <w:p w14:paraId="37FAEBA5" w14:textId="77777777" w:rsidR="001C6819" w:rsidRDefault="001C6819" w:rsidP="001C6819">
      <w:pPr>
        <w:keepNext/>
        <w:rPr>
          <w:lang w:val="en-US"/>
        </w:rPr>
      </w:pPr>
    </w:p>
    <w:p w14:paraId="302EE30C" w14:textId="77777777" w:rsidR="001C6819" w:rsidRDefault="001C6819" w:rsidP="001C6819">
      <w:pPr>
        <w:keepNext/>
      </w:pPr>
      <w:bookmarkStart w:id="0" w:name="_GoBack"/>
      <w:r>
        <w:rPr>
          <w:noProof/>
          <w:color w:val="2B579A"/>
          <w:shd w:val="clear" w:color="auto" w:fill="E6E6E6"/>
          <w:lang w:eastAsia="de-DE"/>
        </w:rPr>
        <w:drawing>
          <wp:inline distT="0" distB="0" distL="0" distR="0" wp14:anchorId="590ABBAF" wp14:editId="0BCEFF7F">
            <wp:extent cx="4678690" cy="3599695"/>
            <wp:effectExtent l="0" t="0" r="762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S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8690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90F7D" w14:textId="77777777" w:rsidR="001C6819" w:rsidRPr="009656C7" w:rsidRDefault="001C6819" w:rsidP="001C6819">
      <w:pPr>
        <w:pStyle w:val="Beschriftung"/>
        <w:rPr>
          <w:lang w:val="en-US"/>
        </w:rPr>
      </w:pPr>
      <w:bookmarkStart w:id="1" w:name="_Ref160123873"/>
      <w:bookmarkStart w:id="2" w:name="_Ref160123862"/>
      <w:bookmarkEnd w:id="0"/>
      <w:r w:rsidRPr="0064541C">
        <w:rPr>
          <w:lang w:val="en-US"/>
        </w:rPr>
        <w:t xml:space="preserve">Figure S </w:t>
      </w:r>
      <w:r>
        <w:rPr>
          <w:color w:val="2B579A"/>
          <w:shd w:val="clear" w:color="auto" w:fill="E6E6E6"/>
        </w:rPr>
        <w:fldChar w:fldCharType="begin"/>
      </w:r>
      <w:r w:rsidRPr="009656C7">
        <w:rPr>
          <w:lang w:val="en-US"/>
        </w:rPr>
        <w:instrText xml:space="preserve"> SEQ Figure_S \* ARABIC </w:instrText>
      </w:r>
      <w:r>
        <w:rPr>
          <w:color w:val="2B579A"/>
          <w:shd w:val="clear" w:color="auto" w:fill="E6E6E6"/>
        </w:rPr>
        <w:fldChar w:fldCharType="separate"/>
      </w:r>
      <w:r>
        <w:rPr>
          <w:noProof/>
          <w:lang w:val="en-US"/>
        </w:rPr>
        <w:t>1</w:t>
      </w:r>
      <w:r>
        <w:rPr>
          <w:color w:val="2B579A"/>
          <w:shd w:val="clear" w:color="auto" w:fill="E6E6E6"/>
        </w:rPr>
        <w:fldChar w:fldCharType="end"/>
      </w:r>
      <w:bookmarkEnd w:id="1"/>
      <w:r w:rsidRPr="0064541C">
        <w:rPr>
          <w:lang w:val="en-US"/>
        </w:rPr>
        <w:t xml:space="preserve">: </w:t>
      </w:r>
      <w:r w:rsidRPr="009656C7">
        <w:rPr>
          <w:b/>
          <w:lang w:val="en-US"/>
        </w:rPr>
        <w:t>Q</w:t>
      </w:r>
      <w:r>
        <w:rPr>
          <w:b/>
          <w:lang w:val="en-US"/>
        </w:rPr>
        <w:t xml:space="preserve">uality control metrics </w:t>
      </w:r>
      <w:r w:rsidRPr="0064541C">
        <w:rPr>
          <w:lang w:val="en-US"/>
        </w:rPr>
        <w:t xml:space="preserve">for </w:t>
      </w:r>
      <w:r w:rsidRPr="003C298B">
        <w:rPr>
          <w:b/>
          <w:lang w:val="en-US"/>
        </w:rPr>
        <w:t>a)</w:t>
      </w:r>
      <w:r w:rsidRPr="0064541C">
        <w:rPr>
          <w:lang w:val="en-US"/>
        </w:rPr>
        <w:t xml:space="preserve"> whole genome</w:t>
      </w:r>
      <w:r w:rsidRPr="009656C7">
        <w:rPr>
          <w:lang w:val="en-US"/>
        </w:rPr>
        <w:t xml:space="preserve"> and </w:t>
      </w:r>
      <w:r w:rsidRPr="003C298B">
        <w:rPr>
          <w:b/>
          <w:lang w:val="en-US"/>
        </w:rPr>
        <w:t>b)</w:t>
      </w:r>
      <w:r w:rsidRPr="0064541C">
        <w:rPr>
          <w:lang w:val="en-US"/>
        </w:rPr>
        <w:t xml:space="preserve"> </w:t>
      </w:r>
      <w:r w:rsidRPr="009656C7">
        <w:rPr>
          <w:lang w:val="en-US"/>
        </w:rPr>
        <w:t>RNA sequencing.</w:t>
      </w:r>
      <w:bookmarkEnd w:id="2"/>
    </w:p>
    <w:p w14:paraId="6963F6DD" w14:textId="77777777" w:rsidR="001C6819" w:rsidRDefault="001C6819" w:rsidP="001C6819">
      <w:pPr>
        <w:keepNext/>
      </w:pPr>
      <w:r>
        <w:rPr>
          <w:noProof/>
          <w:color w:val="2B579A"/>
          <w:shd w:val="clear" w:color="auto" w:fill="E6E6E6"/>
          <w:lang w:eastAsia="de-DE"/>
        </w:rPr>
        <w:drawing>
          <wp:inline distT="0" distB="0" distL="0" distR="0" wp14:anchorId="1F2C533A" wp14:editId="0281925E">
            <wp:extent cx="1438659" cy="1799848"/>
            <wp:effectExtent l="0" t="0" r="952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S_Telome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659" cy="179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26EED" w14:textId="77777777" w:rsidR="001C6819" w:rsidRPr="005741D7" w:rsidRDefault="001C6819" w:rsidP="001C6819">
      <w:pPr>
        <w:pStyle w:val="Beschriftung"/>
        <w:rPr>
          <w:lang w:val="en-US"/>
        </w:rPr>
      </w:pPr>
      <w:bookmarkStart w:id="3" w:name="_Ref160124182"/>
      <w:r w:rsidRPr="003F6EA8">
        <w:rPr>
          <w:lang w:val="en-US"/>
        </w:rPr>
        <w:t xml:space="preserve">Figure S </w:t>
      </w:r>
      <w:r w:rsidRPr="003F6EA8">
        <w:rPr>
          <w:color w:val="2B579A"/>
          <w:shd w:val="clear" w:color="auto" w:fill="E6E6E6"/>
          <w:lang w:val="en-US"/>
        </w:rPr>
        <w:fldChar w:fldCharType="begin"/>
      </w:r>
      <w:r w:rsidRPr="003F6EA8">
        <w:rPr>
          <w:lang w:val="en-US"/>
        </w:rPr>
        <w:instrText xml:space="preserve"> SEQ Figure_S \* ARABIC </w:instrText>
      </w:r>
      <w:r w:rsidRPr="003F6EA8">
        <w:rPr>
          <w:color w:val="2B579A"/>
          <w:shd w:val="clear" w:color="auto" w:fill="E6E6E6"/>
          <w:lang w:val="en-US"/>
        </w:rPr>
        <w:fldChar w:fldCharType="separate"/>
      </w:r>
      <w:r>
        <w:rPr>
          <w:noProof/>
          <w:lang w:val="en-US"/>
        </w:rPr>
        <w:t>2</w:t>
      </w:r>
      <w:r w:rsidRPr="003F6EA8">
        <w:rPr>
          <w:color w:val="2B579A"/>
          <w:shd w:val="clear" w:color="auto" w:fill="E6E6E6"/>
          <w:lang w:val="en-US"/>
        </w:rPr>
        <w:fldChar w:fldCharType="end"/>
      </w:r>
      <w:bookmarkEnd w:id="3"/>
      <w:r w:rsidRPr="003F6EA8">
        <w:rPr>
          <w:lang w:val="en-US"/>
        </w:rPr>
        <w:t>:</w:t>
      </w:r>
      <w:r w:rsidRPr="0D0FCCA8">
        <w:rPr>
          <w:lang w:val="en-US"/>
        </w:rPr>
        <w:t xml:space="preserve"> </w:t>
      </w:r>
      <w:r w:rsidRPr="005741D7">
        <w:rPr>
          <w:b/>
          <w:bCs/>
          <w:lang w:val="en-US"/>
        </w:rPr>
        <w:t xml:space="preserve">Telomere content of </w:t>
      </w:r>
      <w:proofErr w:type="spellStart"/>
      <w:r w:rsidRPr="005741D7">
        <w:rPr>
          <w:b/>
          <w:bCs/>
          <w:lang w:val="en-US"/>
        </w:rPr>
        <w:t>siNETs</w:t>
      </w:r>
      <w:proofErr w:type="spellEnd"/>
      <w:r w:rsidRPr="005741D7">
        <w:rPr>
          <w:b/>
          <w:bCs/>
          <w:lang w:val="en-US"/>
        </w:rPr>
        <w:t xml:space="preserve">. </w:t>
      </w:r>
      <w:r w:rsidRPr="0D0FCCA8">
        <w:rPr>
          <w:lang w:val="en-US"/>
        </w:rPr>
        <w:t>The t</w:t>
      </w:r>
      <w:r w:rsidRPr="005741D7">
        <w:rPr>
          <w:lang w:val="en-US"/>
        </w:rPr>
        <w:t>umor cell content-corrected telomere content in relation to the telomere content of control tissue in primary and metastases is shown.</w:t>
      </w:r>
    </w:p>
    <w:p w14:paraId="6766507D" w14:textId="77777777" w:rsidR="001C6819" w:rsidRPr="00BE2CA6" w:rsidRDefault="001C6819" w:rsidP="001C6819">
      <w:pPr>
        <w:keepNext/>
        <w:rPr>
          <w:lang w:val="en-US"/>
        </w:rPr>
      </w:pPr>
    </w:p>
    <w:p w14:paraId="5B2AB5CF" w14:textId="77777777" w:rsidR="001C6819" w:rsidRDefault="001C6819" w:rsidP="001C6819">
      <w:pPr>
        <w:keepNext/>
      </w:pPr>
      <w:r>
        <w:rPr>
          <w:noProof/>
          <w:color w:val="2B579A"/>
          <w:shd w:val="clear" w:color="auto" w:fill="E6E6E6"/>
          <w:lang w:eastAsia="de-DE"/>
        </w:rPr>
        <w:drawing>
          <wp:inline distT="0" distB="0" distL="0" distR="0" wp14:anchorId="3FD8DFC3" wp14:editId="7E0D1DD8">
            <wp:extent cx="3599695" cy="2519177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S_ncRNA.pn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251917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D9D58" w14:textId="77777777" w:rsidR="001C6819" w:rsidRPr="005741D7" w:rsidRDefault="001C6819" w:rsidP="001C6819">
      <w:pPr>
        <w:pStyle w:val="Beschriftung"/>
        <w:rPr>
          <w:lang w:val="en-US"/>
        </w:rPr>
      </w:pPr>
      <w:bookmarkStart w:id="4" w:name="_Ref160124269"/>
      <w:r w:rsidRPr="5D16A632">
        <w:rPr>
          <w:lang w:val="en-US"/>
        </w:rPr>
        <w:t xml:space="preserve">Figure S </w:t>
      </w:r>
      <w:r w:rsidRPr="5D16A632">
        <w:rPr>
          <w:color w:val="2B579A"/>
          <w:shd w:val="clear" w:color="auto" w:fill="E6E6E6"/>
        </w:rPr>
        <w:fldChar w:fldCharType="begin"/>
      </w:r>
      <w:r w:rsidRPr="5D16A632">
        <w:rPr>
          <w:lang w:val="en-US"/>
        </w:rPr>
        <w:instrText xml:space="preserve"> SEQ Figure_S \* ARABIC </w:instrText>
      </w:r>
      <w:r w:rsidRPr="5D16A632">
        <w:rPr>
          <w:color w:val="2B579A"/>
          <w:shd w:val="clear" w:color="auto" w:fill="E6E6E6"/>
        </w:rPr>
        <w:fldChar w:fldCharType="separate"/>
      </w:r>
      <w:r>
        <w:rPr>
          <w:noProof/>
          <w:lang w:val="en-US"/>
        </w:rPr>
        <w:t>3</w:t>
      </w:r>
      <w:r w:rsidRPr="5D16A632">
        <w:rPr>
          <w:color w:val="2B579A"/>
          <w:shd w:val="clear" w:color="auto" w:fill="E6E6E6"/>
        </w:rPr>
        <w:fldChar w:fldCharType="end"/>
      </w:r>
      <w:bookmarkEnd w:id="4"/>
      <w:r w:rsidRPr="5D16A632">
        <w:rPr>
          <w:lang w:val="en-US"/>
        </w:rPr>
        <w:t xml:space="preserve">: </w:t>
      </w:r>
      <w:r w:rsidRPr="5D16A632">
        <w:rPr>
          <w:b/>
          <w:bCs/>
          <w:lang w:val="en-US"/>
        </w:rPr>
        <w:t xml:space="preserve">Recurrent mutations of noncoding genes. </w:t>
      </w:r>
      <w:r w:rsidRPr="005741D7">
        <w:rPr>
          <w:lang w:val="en-US"/>
        </w:rPr>
        <w:t xml:space="preserve">Recurrent mutations </w:t>
      </w:r>
      <w:r w:rsidRPr="5D16A632">
        <w:rPr>
          <w:lang w:val="en-US"/>
        </w:rPr>
        <w:t xml:space="preserve">(3 or more patients) </w:t>
      </w:r>
      <w:r w:rsidRPr="005741D7">
        <w:rPr>
          <w:lang w:val="en-US"/>
        </w:rPr>
        <w:t>of noncoding genes across all samples.</w:t>
      </w:r>
    </w:p>
    <w:p w14:paraId="23D9F5F6" w14:textId="77777777" w:rsidR="001C6819" w:rsidRDefault="001C6819" w:rsidP="001C6819">
      <w:pPr>
        <w:keepNext/>
        <w:rPr>
          <w:lang w:val="en-US"/>
        </w:rPr>
      </w:pPr>
    </w:p>
    <w:p w14:paraId="7BBDB2A8" w14:textId="77777777" w:rsidR="001C6819" w:rsidRDefault="001C6819" w:rsidP="001C6819">
      <w:pPr>
        <w:keepNext/>
      </w:pPr>
      <w:r>
        <w:rPr>
          <w:noProof/>
          <w:color w:val="2B579A"/>
          <w:shd w:val="clear" w:color="auto" w:fill="E6E6E6"/>
          <w:lang w:eastAsia="de-DE"/>
        </w:rPr>
        <w:drawing>
          <wp:inline distT="0" distB="0" distL="0" distR="0" wp14:anchorId="583EEECA" wp14:editId="015B9706">
            <wp:extent cx="5198399" cy="4545292"/>
            <wp:effectExtent l="0" t="0" r="254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S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399" cy="454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BE47F" w14:textId="77777777" w:rsidR="001C6819" w:rsidRPr="009656C7" w:rsidRDefault="001C6819" w:rsidP="001C6819">
      <w:pPr>
        <w:pStyle w:val="Beschriftung"/>
        <w:rPr>
          <w:lang w:val="en-US"/>
        </w:rPr>
      </w:pPr>
      <w:bookmarkStart w:id="5" w:name="_Ref160124072"/>
      <w:r w:rsidRPr="79075839">
        <w:rPr>
          <w:lang w:val="en-US"/>
        </w:rPr>
        <w:t xml:space="preserve">Figure S </w:t>
      </w:r>
      <w:r w:rsidRPr="79075839">
        <w:rPr>
          <w:i w:val="0"/>
          <w:iCs w:val="0"/>
          <w:color w:val="2B579A"/>
          <w:shd w:val="clear" w:color="auto" w:fill="E6E6E6"/>
        </w:rPr>
        <w:fldChar w:fldCharType="begin"/>
      </w:r>
      <w:r w:rsidRPr="79075839">
        <w:rPr>
          <w:lang w:val="en-US"/>
        </w:rPr>
        <w:instrText xml:space="preserve"> SEQ Figure_S \* ARABIC </w:instrText>
      </w:r>
      <w:r w:rsidRPr="79075839">
        <w:rPr>
          <w:i w:val="0"/>
          <w:iCs w:val="0"/>
          <w:color w:val="2B579A"/>
          <w:shd w:val="clear" w:color="auto" w:fill="E6E6E6"/>
        </w:rPr>
        <w:fldChar w:fldCharType="separate"/>
      </w:r>
      <w:r>
        <w:rPr>
          <w:noProof/>
          <w:lang w:val="en-US"/>
        </w:rPr>
        <w:t>4</w:t>
      </w:r>
      <w:r w:rsidRPr="79075839">
        <w:rPr>
          <w:i w:val="0"/>
          <w:iCs w:val="0"/>
          <w:color w:val="2B579A"/>
          <w:shd w:val="clear" w:color="auto" w:fill="E6E6E6"/>
        </w:rPr>
        <w:fldChar w:fldCharType="end"/>
      </w:r>
      <w:bookmarkEnd w:id="5"/>
      <w:r w:rsidRPr="79075839">
        <w:rPr>
          <w:lang w:val="en-US"/>
        </w:rPr>
        <w:t xml:space="preserve">: </w:t>
      </w:r>
      <w:r w:rsidRPr="79075839">
        <w:rPr>
          <w:b/>
          <w:bCs/>
          <w:lang w:val="en-US"/>
        </w:rPr>
        <w:t>Shared mutations of paired samples. a-g) </w:t>
      </w:r>
      <w:r w:rsidRPr="79075839">
        <w:rPr>
          <w:lang w:val="en-US"/>
        </w:rPr>
        <w:t xml:space="preserve">Shared and sample specific mutations are shown for all tumor pairs of this cohort (compare Fig.2). </w:t>
      </w:r>
      <w:r w:rsidRPr="79075839">
        <w:rPr>
          <w:b/>
          <w:bCs/>
          <w:lang w:val="en-US"/>
        </w:rPr>
        <w:t>h)</w:t>
      </w:r>
      <w:r w:rsidRPr="79075839">
        <w:rPr>
          <w:lang w:val="en-US"/>
        </w:rPr>
        <w:t xml:space="preserve"> Quantification of the shared mutations as ratio of all mutations per sample.</w:t>
      </w:r>
      <w:r>
        <w:rPr>
          <w:lang w:val="en-US"/>
        </w:rPr>
        <w:t xml:space="preserve"> </w:t>
      </w:r>
      <w:proofErr w:type="spellStart"/>
      <w:r w:rsidRPr="00E1706F">
        <w:rPr>
          <w:b/>
          <w:lang w:val="en-US"/>
        </w:rPr>
        <w:t>i</w:t>
      </w:r>
      <w:proofErr w:type="spellEnd"/>
      <w:r w:rsidRPr="00E1706F">
        <w:rPr>
          <w:b/>
          <w:lang w:val="en-US"/>
        </w:rPr>
        <w:t>)</w:t>
      </w:r>
      <w:r>
        <w:rPr>
          <w:lang w:val="en-US"/>
        </w:rPr>
        <w:t xml:space="preserve"> Mutational signatures </w:t>
      </w:r>
      <w:r>
        <w:rPr>
          <w:lang w:val="en-US"/>
        </w:rPr>
        <w:t>of primary-specific, metastasis-specific and shared SNVs</w:t>
      </w:r>
      <w:r>
        <w:rPr>
          <w:lang w:val="en-US"/>
        </w:rPr>
        <w:t xml:space="preserve"> obtained by </w:t>
      </w:r>
      <w:proofErr w:type="spellStart"/>
      <w:r>
        <w:rPr>
          <w:lang w:val="en-US"/>
        </w:rPr>
        <w:t>SigProfiler</w:t>
      </w:r>
      <w:proofErr w:type="spellEnd"/>
      <w:r>
        <w:rPr>
          <w:lang w:val="en-US"/>
        </w:rPr>
        <w:t xml:space="preserve"> Assignment</w:t>
      </w:r>
      <w:r>
        <w:rPr>
          <w:lang w:val="en-US"/>
        </w:rPr>
        <w:t>.</w:t>
      </w:r>
    </w:p>
    <w:p w14:paraId="26F9B394" w14:textId="77777777" w:rsidR="001C6819" w:rsidRDefault="001C6819" w:rsidP="001C6819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546B0DA1" w14:textId="77777777" w:rsidR="001C6819" w:rsidRDefault="001C6819" w:rsidP="001C6819">
      <w:pPr>
        <w:keepNext/>
        <w:spacing w:after="0" w:line="240" w:lineRule="auto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1BD7A47" wp14:editId="4D08B901">
            <wp:extent cx="2915418" cy="2680721"/>
            <wp:effectExtent l="0" t="0" r="0" b="571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418" cy="268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6C3AA" w14:textId="77777777" w:rsidR="001C6819" w:rsidRPr="0064541C" w:rsidRDefault="001C6819" w:rsidP="001C6819">
      <w:pPr>
        <w:pStyle w:val="Beschriftung"/>
        <w:rPr>
          <w:lang w:val="en-US"/>
        </w:rPr>
      </w:pPr>
      <w:r w:rsidRPr="6641147F">
        <w:rPr>
          <w:lang w:val="en-US"/>
        </w:rPr>
        <w:t xml:space="preserve">Figure S </w:t>
      </w:r>
      <w:r w:rsidRPr="6641147F">
        <w:rPr>
          <w:color w:val="2B579A"/>
        </w:rPr>
        <w:fldChar w:fldCharType="begin"/>
      </w:r>
      <w:r w:rsidRPr="6641147F">
        <w:rPr>
          <w:lang w:val="en-US"/>
        </w:rPr>
        <w:instrText xml:space="preserve"> SEQ Figure_S \* ARABIC </w:instrText>
      </w:r>
      <w:r w:rsidRPr="6641147F">
        <w:rPr>
          <w:color w:val="2B579A"/>
        </w:rPr>
        <w:fldChar w:fldCharType="separate"/>
      </w:r>
      <w:r w:rsidRPr="6641147F">
        <w:rPr>
          <w:noProof/>
          <w:lang w:val="en-US"/>
        </w:rPr>
        <w:t>5</w:t>
      </w:r>
      <w:r w:rsidRPr="6641147F">
        <w:rPr>
          <w:color w:val="2B579A"/>
        </w:rPr>
        <w:fldChar w:fldCharType="end"/>
      </w:r>
      <w:r w:rsidRPr="6641147F">
        <w:rPr>
          <w:lang w:val="en-US"/>
        </w:rPr>
        <w:t xml:space="preserve">: </w:t>
      </w:r>
      <w:r w:rsidRPr="6641147F">
        <w:rPr>
          <w:b/>
          <w:bCs/>
          <w:lang w:val="en-US"/>
        </w:rPr>
        <w:t>Allele-specific expression of IGF2.</w:t>
      </w:r>
      <w:r w:rsidRPr="6641147F">
        <w:rPr>
          <w:lang w:val="en-US"/>
        </w:rPr>
        <w:t xml:space="preserve"> The allele-specific expression across all samples for IGF2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and</w:t>
      </w:r>
      <w:r w:rsidRPr="6641147F">
        <w:rPr>
          <w:lang w:val="en-US"/>
        </w:rPr>
        <w:t xml:space="preserve">  all</w:t>
      </w:r>
      <w:proofErr w:type="gramEnd"/>
      <w:r w:rsidRPr="6641147F">
        <w:rPr>
          <w:lang w:val="en-US"/>
        </w:rPr>
        <w:t xml:space="preserve"> other genes</w:t>
      </w:r>
      <w:r>
        <w:rPr>
          <w:lang w:val="en-US"/>
        </w:rPr>
        <w:t>. As most genes are not under imprinting contro</w:t>
      </w:r>
      <w:r>
        <w:rPr>
          <w:lang w:val="en-US"/>
        </w:rPr>
        <w:t>l, their level of allele</w:t>
      </w:r>
      <w:r>
        <w:rPr>
          <w:lang w:val="en-US"/>
        </w:rPr>
        <w:t>-</w:t>
      </w:r>
      <w:r>
        <w:rPr>
          <w:lang w:val="en-US"/>
        </w:rPr>
        <w:t>specific expression would be indicative of loss of imprinting (LOI)</w:t>
      </w:r>
      <w:r w:rsidRPr="6641147F">
        <w:rPr>
          <w:lang w:val="en-US"/>
        </w:rPr>
        <w:t>. Most samples exhibit allele specific expression of IGF2 suggesting that imprinting is intact</w:t>
      </w:r>
      <w:r w:rsidRPr="6641147F">
        <w:rPr>
          <w:lang w:val="en-US"/>
        </w:rPr>
        <w:t>.</w:t>
      </w:r>
    </w:p>
    <w:p w14:paraId="7ABD12FE" w14:textId="77777777" w:rsidR="001C6819" w:rsidRDefault="001C6819" w:rsidP="001C6819">
      <w:pPr>
        <w:rPr>
          <w:rFonts w:ascii="Times New Roman" w:eastAsia="Times New Roman" w:hAnsi="Times New Roman" w:cs="Times New Roman"/>
          <w:lang w:val="en-US"/>
        </w:rPr>
      </w:pPr>
    </w:p>
    <w:p w14:paraId="428E89FE" w14:textId="77777777" w:rsidR="001C6819" w:rsidRDefault="001C6819" w:rsidP="001C6819">
      <w:pPr>
        <w:keepNext/>
      </w:pPr>
      <w:r>
        <w:rPr>
          <w:rFonts w:ascii="Times New Roman" w:eastAsia="Times New Roman" w:hAnsi="Times New Roman" w:cs="Times New Roman"/>
          <w:noProof/>
          <w:color w:val="2B579A"/>
          <w:shd w:val="clear" w:color="auto" w:fill="E6E6E6"/>
          <w:lang w:eastAsia="de-DE"/>
        </w:rPr>
        <w:drawing>
          <wp:inline distT="0" distB="0" distL="0" distR="0" wp14:anchorId="62AE3E14" wp14:editId="51907E33">
            <wp:extent cx="1799848" cy="1799848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S_CDX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848" cy="179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0A884" w14:textId="77777777" w:rsidR="001C6819" w:rsidRPr="005741D7" w:rsidRDefault="001C6819" w:rsidP="001C6819">
      <w:pPr>
        <w:pStyle w:val="Beschriftung"/>
        <w:rPr>
          <w:lang w:val="en-US"/>
        </w:rPr>
      </w:pPr>
      <w:bookmarkStart w:id="6" w:name="_Ref160640999"/>
      <w:r w:rsidRPr="005741D7">
        <w:rPr>
          <w:lang w:val="en-US"/>
        </w:rPr>
        <w:t xml:space="preserve">Figure S </w:t>
      </w:r>
      <w:r>
        <w:rPr>
          <w:color w:val="2B579A"/>
          <w:shd w:val="clear" w:color="auto" w:fill="E6E6E6"/>
        </w:rPr>
        <w:fldChar w:fldCharType="begin"/>
      </w:r>
      <w:r w:rsidRPr="0D0FCCA8">
        <w:rPr>
          <w:lang w:val="en-US"/>
        </w:rPr>
        <w:instrText xml:space="preserve"> SEQ Figure_S \* ARABIC </w:instrText>
      </w:r>
      <w:r>
        <w:rPr>
          <w:color w:val="2B579A"/>
          <w:shd w:val="clear" w:color="auto" w:fill="E6E6E6"/>
        </w:rPr>
        <w:fldChar w:fldCharType="separate"/>
      </w:r>
      <w:r>
        <w:rPr>
          <w:noProof/>
          <w:lang w:val="en-US"/>
        </w:rPr>
        <w:t>6</w:t>
      </w:r>
      <w:r>
        <w:rPr>
          <w:color w:val="2B579A"/>
          <w:shd w:val="clear" w:color="auto" w:fill="E6E6E6"/>
        </w:rPr>
        <w:fldChar w:fldCharType="end"/>
      </w:r>
      <w:bookmarkEnd w:id="6"/>
      <w:r w:rsidRPr="005741D7">
        <w:rPr>
          <w:lang w:val="en-US"/>
        </w:rPr>
        <w:t xml:space="preserve">: </w:t>
      </w:r>
      <w:r w:rsidRPr="005741D7">
        <w:rPr>
          <w:b/>
          <w:bCs/>
          <w:lang w:val="en-US"/>
        </w:rPr>
        <w:t>Gene expression of CDX2</w:t>
      </w:r>
      <w:r w:rsidRPr="0D0FCCA8">
        <w:rPr>
          <w:b/>
          <w:bCs/>
          <w:lang w:val="en-US"/>
        </w:rPr>
        <w:t xml:space="preserve">. </w:t>
      </w:r>
      <w:r w:rsidRPr="005741D7">
        <w:rPr>
          <w:lang w:val="en-US"/>
        </w:rPr>
        <w:t xml:space="preserve">Gene expression of CDX2 in transcripts per </w:t>
      </w:r>
      <w:r w:rsidRPr="0D0FCCA8">
        <w:rPr>
          <w:lang w:val="en-US"/>
        </w:rPr>
        <w:t>million</w:t>
      </w:r>
      <w:r w:rsidRPr="005741D7">
        <w:rPr>
          <w:lang w:val="en-US"/>
        </w:rPr>
        <w:t xml:space="preserve"> (TPM) in correlation to tumor cell content.</w:t>
      </w:r>
    </w:p>
    <w:p w14:paraId="3E5DC897" w14:textId="77777777" w:rsidR="001C6819" w:rsidRPr="00377D3E" w:rsidRDefault="001C6819" w:rsidP="001C6819">
      <w:pPr>
        <w:rPr>
          <w:rFonts w:ascii="Times New Roman" w:eastAsia="Times New Roman" w:hAnsi="Times New Roman" w:cs="Times New Roman"/>
          <w:lang w:val="en-US"/>
        </w:rPr>
      </w:pPr>
    </w:p>
    <w:p w14:paraId="2EE50D6B" w14:textId="77777777" w:rsidR="001C6819" w:rsidRDefault="001C6819" w:rsidP="001C6819">
      <w:pPr>
        <w:keepNext/>
      </w:pPr>
      <w:r w:rsidRPr="00377D3E">
        <w:rPr>
          <w:noProof/>
          <w:color w:val="2B579A"/>
          <w:shd w:val="clear" w:color="auto" w:fill="E6E6E6"/>
          <w:lang w:eastAsia="de-DE"/>
        </w:rPr>
        <w:lastRenderedPageBreak/>
        <w:drawing>
          <wp:inline distT="0" distB="0" distL="0" distR="0" wp14:anchorId="2F464AD0" wp14:editId="36B0D0B3">
            <wp:extent cx="5759210" cy="777400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uellni\Downloads\FigS_RNAseq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210" cy="777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07D11" w14:textId="77777777" w:rsidR="001C6819" w:rsidRPr="009656C7" w:rsidRDefault="001C6819" w:rsidP="001C6819">
      <w:pPr>
        <w:pStyle w:val="Beschriftung"/>
        <w:rPr>
          <w:lang w:val="en-US"/>
        </w:rPr>
      </w:pPr>
      <w:bookmarkStart w:id="7" w:name="_Ref160124909"/>
      <w:r w:rsidRPr="79075839">
        <w:rPr>
          <w:lang w:val="en-US"/>
        </w:rPr>
        <w:t xml:space="preserve">Figure S </w:t>
      </w:r>
      <w:r w:rsidRPr="79075839">
        <w:rPr>
          <w:color w:val="2B579A"/>
          <w:shd w:val="clear" w:color="auto" w:fill="E6E6E6"/>
        </w:rPr>
        <w:fldChar w:fldCharType="begin"/>
      </w:r>
      <w:r w:rsidRPr="79075839">
        <w:rPr>
          <w:lang w:val="en-US"/>
        </w:rPr>
        <w:instrText xml:space="preserve"> SEQ Figure_S \* ARABIC </w:instrText>
      </w:r>
      <w:r w:rsidRPr="79075839">
        <w:rPr>
          <w:color w:val="2B579A"/>
          <w:shd w:val="clear" w:color="auto" w:fill="E6E6E6"/>
        </w:rPr>
        <w:fldChar w:fldCharType="separate"/>
      </w:r>
      <w:r>
        <w:rPr>
          <w:noProof/>
          <w:lang w:val="en-US"/>
        </w:rPr>
        <w:t>7</w:t>
      </w:r>
      <w:r w:rsidRPr="79075839">
        <w:rPr>
          <w:color w:val="2B579A"/>
          <w:shd w:val="clear" w:color="auto" w:fill="E6E6E6"/>
        </w:rPr>
        <w:fldChar w:fldCharType="end"/>
      </w:r>
      <w:bookmarkEnd w:id="7"/>
      <w:r w:rsidRPr="79075839">
        <w:rPr>
          <w:lang w:val="en-US"/>
        </w:rPr>
        <w:t xml:space="preserve">: </w:t>
      </w:r>
      <w:r w:rsidRPr="79075839">
        <w:rPr>
          <w:b/>
          <w:bCs/>
          <w:lang w:val="en-US"/>
        </w:rPr>
        <w:t>Cell-type markers and signatures of small intestinal cell types.</w:t>
      </w:r>
      <w:r w:rsidRPr="79075839">
        <w:rPr>
          <w:lang w:val="en-US"/>
        </w:rPr>
        <w:t xml:space="preserve"> </w:t>
      </w:r>
      <w:r w:rsidRPr="79075839">
        <w:rPr>
          <w:b/>
          <w:bCs/>
          <w:lang w:val="en-US"/>
        </w:rPr>
        <w:t>a)</w:t>
      </w:r>
      <w:r w:rsidRPr="79075839">
        <w:rPr>
          <w:lang w:val="en-US"/>
        </w:rPr>
        <w:t xml:space="preserve"> Gene expression of the marker genes for each small intestinal cell type. </w:t>
      </w:r>
      <w:r w:rsidRPr="79075839">
        <w:rPr>
          <w:b/>
          <w:bCs/>
          <w:lang w:val="en-US"/>
        </w:rPr>
        <w:t>b)</w:t>
      </w:r>
      <w:r w:rsidRPr="79075839">
        <w:rPr>
          <w:lang w:val="en-US"/>
        </w:rPr>
        <w:t xml:space="preserve"> Gene weights of the NMF factors per cell-type marker gene show enrichment of EEC markers in factor 4. </w:t>
      </w:r>
      <w:r w:rsidRPr="79075839">
        <w:rPr>
          <w:b/>
          <w:bCs/>
          <w:lang w:val="en-US"/>
        </w:rPr>
        <w:t>c)</w:t>
      </w:r>
      <w:r w:rsidRPr="79075839">
        <w:rPr>
          <w:lang w:val="en-US"/>
        </w:rPr>
        <w:t xml:space="preserve"> Similarity of small intestinal cell-type signatures. </w:t>
      </w:r>
      <w:r w:rsidRPr="79075839">
        <w:rPr>
          <w:b/>
          <w:bCs/>
          <w:lang w:val="en-US"/>
        </w:rPr>
        <w:t>d)</w:t>
      </w:r>
      <w:r w:rsidRPr="79075839">
        <w:rPr>
          <w:lang w:val="en-US"/>
        </w:rPr>
        <w:t> Marker gene expression of EEC subtypes.</w:t>
      </w:r>
    </w:p>
    <w:p w14:paraId="4E47C1E7" w14:textId="77777777" w:rsidR="000335AB" w:rsidRDefault="000335AB"/>
    <w:sectPr w:rsidR="000335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F45565"/>
    <w:rsid w:val="000335AB"/>
    <w:rsid w:val="001C6819"/>
    <w:rsid w:val="7EF4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5565"/>
  <w15:chartTrackingRefBased/>
  <w15:docId w15:val="{F47E16A0-4E4F-4C30-A4A2-9C613B34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681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6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mmentartext">
    <w:name w:val="annotation text"/>
    <w:basedOn w:val="Standard"/>
    <w:link w:val="KommentartextZchn"/>
    <w:uiPriority w:val="99"/>
    <w:unhideWhenUsed/>
    <w:rsid w:val="001C68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6819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6819"/>
    <w:rPr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1C6819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Erwhnung">
    <w:name w:val="Mention"/>
    <w:basedOn w:val="Absatz-Standardschriftart"/>
    <w:uiPriority w:val="99"/>
    <w:unhideWhenUsed/>
    <w:rsid w:val="001C6819"/>
    <w:rPr>
      <w:color w:val="2B579A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6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6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5241722E0B0A40A14FAE3C5EF5A747" ma:contentTypeVersion="13" ma:contentTypeDescription="Create a new document." ma:contentTypeScope="" ma:versionID="0e1a9878f539ddd6b9b0823ee28c4473">
  <xsd:schema xmlns:xsd="http://www.w3.org/2001/XMLSchema" xmlns:xs="http://www.w3.org/2001/XMLSchema" xmlns:p="http://schemas.microsoft.com/office/2006/metadata/properties" xmlns:ns2="cf4610d5-5c94-47b1-85d3-b022c3f941b8" xmlns:ns3="b58a740c-2aea-4d24-b25d-3d56d411ad40" targetNamespace="http://schemas.microsoft.com/office/2006/metadata/properties" ma:root="true" ma:fieldsID="6ff90e1d57d1d03ccce41b4c1cc7b741" ns2:_="" ns3:_="">
    <xsd:import namespace="cf4610d5-5c94-47b1-85d3-b022c3f941b8"/>
    <xsd:import namespace="b58a740c-2aea-4d24-b25d-3d56d411a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610d5-5c94-47b1-85d3-b022c3f941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375ea7b-1eef-4e91-915e-32e4cb5a9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a740c-2aea-4d24-b25d-3d56d411ad4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f8a350e-18e2-4c56-be30-8084682c98df}" ma:internalName="TaxCatchAll" ma:showField="CatchAllData" ma:web="b58a740c-2aea-4d24-b25d-3d56d411ad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a740c-2aea-4d24-b25d-3d56d411ad40" xsi:nil="true"/>
    <lcf76f155ced4ddcb4097134ff3c332f xmlns="cf4610d5-5c94-47b1-85d3-b022c3f941b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9B40A-2FF4-46E6-A1BE-F02219A36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610d5-5c94-47b1-85d3-b022c3f941b8"/>
    <ds:schemaRef ds:uri="b58a740c-2aea-4d24-b25d-3d56d411a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6BD36-E24C-433B-B076-CC579DE217DB}">
  <ds:schemaRefs>
    <ds:schemaRef ds:uri="http://schemas.microsoft.com/office/infopath/2007/PartnerControls"/>
    <ds:schemaRef ds:uri="http://purl.org/dc/dcmitype/"/>
    <ds:schemaRef ds:uri="http://www.w3.org/XML/1998/namespace"/>
    <ds:schemaRef ds:uri="cf4610d5-5c94-47b1-85d3-b022c3f941b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58a740c-2aea-4d24-b25d-3d56d411ad4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E5024A9-6FF7-4C17-B047-F22E4F7679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254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Müller-Bötticher, Niklas Josef</dc:creator>
  <cp:keywords/>
  <dc:description/>
  <cp:lastModifiedBy>Müller-Bötticher, Niklas</cp:lastModifiedBy>
  <cp:revision>2</cp:revision>
  <dcterms:created xsi:type="dcterms:W3CDTF">2025-04-11T08:18:00Z</dcterms:created>
  <dcterms:modified xsi:type="dcterms:W3CDTF">2025-04-11T08:20:00Z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0x010100CC5241722E0B0A40A14FAE3C5EF5A747</vt:lpwstr>
  </property>
  <property fmtid="{D5CDD505-2E9C-101B-9397-08002B2CF9AE}" pid="3" name="MediaServiceImageTags">
    <vt:lpwstr/>
  </property>
</Properties>
</file>