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rPr/>
      </w:pPr>
      <w:bookmarkStart w:colFirst="0" w:colLast="0" w:name="_q0gcn04zdi92" w:id="0"/>
      <w:bookmarkEnd w:id="0"/>
      <w:r w:rsidDel="00000000" w:rsidR="00000000" w:rsidRPr="00000000">
        <w:rPr>
          <w:rtl w:val="0"/>
        </w:rPr>
        <w:t xml:space="preserve">Supplementary Information to “Spike-in enhanced phosphoproteomics uncovers synergistic signaling responses to MEK inhibition in colon cancer cells”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300" w:lineRule="auto"/>
        <w:rPr>
          <w:i w:val="1"/>
          <w:color w:val="0d0d0d"/>
        </w:rPr>
      </w:pPr>
      <w:r w:rsidDel="00000000" w:rsidR="00000000" w:rsidRPr="00000000">
        <w:rPr>
          <w:i w:val="1"/>
          <w:color w:val="0d0d0d"/>
        </w:rPr>
        <w:drawing>
          <wp:inline distB="114300" distT="114300" distL="114300" distR="114300">
            <wp:extent cx="5681663" cy="8237928"/>
            <wp:effectExtent b="0" l="0" r="0" t="0"/>
            <wp:docPr id="9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 b="0" l="25083" r="31893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81663" cy="82379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300" w:lineRule="auto"/>
        <w:rPr/>
      </w:pPr>
      <w:r w:rsidDel="00000000" w:rsidR="00000000" w:rsidRPr="00000000">
        <w:rPr>
          <w:b w:val="1"/>
          <w:color w:val="0d0d0d"/>
          <w:rtl w:val="0"/>
        </w:rPr>
        <w:t xml:space="preserve">Supplementary Figure 1: Analysis of Quantification Across Method, Dilutions and Filters.</w:t>
      </w:r>
      <w:r w:rsidDel="00000000" w:rsidR="00000000" w:rsidRPr="00000000">
        <w:rPr>
          <w:color w:val="0d0d0d"/>
          <w:rtl w:val="0"/>
        </w:rPr>
        <w:t xml:space="preserve"> A. Correlation of H (target) intensities between Normal SILAC-DIA and SPIED-DIA, with R² and precursor counts (n) indicated for each dilution factor. B. Effect of PTM.Site.Confidence filtering on R² values for the correlation between expected and observed SILAC ratios, contrasting first four dilutions (1:1-1:15, red) with the full range (1:1-1:2047, blue). Solid lines represent all precursors, and dotted lines represent data filtered for peptides with same run/charge positional isomers. Lower panels reflect the number of precursors that survive filtering. Right panels provide a focused view on the 0.9 to 1. C. Comparison of H/L ratios across channel / same vs different phosphorylation site within positional isomer pairs in 1:1 and 1:15 dilutions (Figure 1C). Data was filtered for peptides with same run positional isomers to visualise how well the measured H/L ratios reflect the expected ratio within a dilution. Ratios are plotted against intensity of reference channel. Channel.Q.Value was kept consistent and PTM.Site.Confidence was varied according to the panel title. D</w:t>
      </w:r>
      <w:r w:rsidDel="00000000" w:rsidR="00000000" w:rsidRPr="00000000">
        <w:rPr>
          <w:color w:val="0d0d0d"/>
          <w:rtl w:val="0"/>
        </w:rPr>
        <w:t xml:space="preserve">. Illustration of how the 40 target peptides were derived from the initially selected peptides, filtered for confidence in detection and reproducibility across replicates.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6946900"/>
            <wp:effectExtent b="0" l="0" r="0" t="0"/>
            <wp:docPr id="3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946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4622800"/>
            <wp:effectExtent b="0" l="0" r="0" t="0"/>
            <wp:docPr id="10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62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color w:val="0d0d0d"/>
        </w:rPr>
      </w:pPr>
      <w:r w:rsidDel="00000000" w:rsidR="00000000" w:rsidRPr="00000000">
        <w:rPr>
          <w:b w:val="1"/>
          <w:rtl w:val="0"/>
        </w:rPr>
        <w:t xml:space="preserve">Supplementary Figure 2: Validation of positional isomeric phosphopeptides in raw data of example sample HCT116 DMSO/GFmix.</w:t>
      </w:r>
      <w:r w:rsidDel="00000000" w:rsidR="00000000" w:rsidRPr="00000000">
        <w:rPr>
          <w:rtl w:val="0"/>
        </w:rPr>
        <w:t xml:space="preserve"> Figure represents spectra of selected phosphopeptides. We randomly selected phosphopeptides in heavy form with matching amino acid sequence and other modifications (such as N-terminal acetylation) except for phosphorylation, which is localized at different residues. Peptides are identified in identical charge states. Unmodified sequence, charge status and m/z are represented above plots. Modified sequence, retention time and Bruker raw file spectrum ID are depicted at the left of plots. Fragments are labeled in accordance with fragment m/z in the library. Fragments that are crucial for distinguishing between isoforms are highlighted in red.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300" w:lineRule="auto"/>
        <w:rPr>
          <w:color w:val="0d0d0d"/>
        </w:rPr>
      </w:pPr>
      <w:r w:rsidDel="00000000" w:rsidR="00000000" w:rsidRPr="00000000">
        <w:rPr>
          <w:color w:val="0d0d0d"/>
        </w:rPr>
        <w:drawing>
          <wp:inline distB="114300" distT="114300" distL="114300" distR="114300">
            <wp:extent cx="5938242" cy="6786563"/>
            <wp:effectExtent b="0" l="0" r="0" t="0"/>
            <wp:docPr id="14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38242" cy="67865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0d0d0d"/>
          <w:rtl w:val="0"/>
        </w:rPr>
        <w:t xml:space="preserve">Supplementary Figure 3: ​​Dilution series quantification analysis in DIA-NN.</w:t>
      </w:r>
      <w:r w:rsidDel="00000000" w:rsidR="00000000" w:rsidRPr="00000000">
        <w:rPr>
          <w:color w:val="0d0d0d"/>
          <w:rtl w:val="0"/>
        </w:rPr>
        <w:t xml:space="preserve"> Left panel shows intensity in the 400ng condition. Right panel depicts log2 L/H ratio (relative to 400ng condition) per precursor. Precursors are sorted according to intensity in 400ng dilution. Displayed precursors pass the standard SPIED-DIA filtering in the 400ng condition, and additionally need to have a mean light intensity &gt; 10^3 in the 400ng samples. </w:t>
      </w:r>
    </w:p>
    <w:p w:rsidR="00000000" w:rsidDel="00000000" w:rsidP="00000000" w:rsidRDefault="00000000" w:rsidRPr="00000000" w14:paraId="0000000C">
      <w:pPr>
        <w:spacing w:after="300" w:lineRule="auto"/>
        <w:rPr>
          <w:color w:val="0d0d0d"/>
        </w:rPr>
      </w:pPr>
      <w:r w:rsidDel="00000000" w:rsidR="00000000" w:rsidRPr="00000000">
        <w:rPr>
          <w:b w:val="1"/>
          <w:color w:val="0d0d0d"/>
        </w:rPr>
        <w:drawing>
          <wp:inline distB="114300" distT="114300" distL="114300" distR="114300">
            <wp:extent cx="6129933" cy="7005638"/>
            <wp:effectExtent b="0" l="0" r="0" t="0"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29933" cy="70056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0d0d0d"/>
          <w:rtl w:val="0"/>
        </w:rPr>
        <w:t xml:space="preserve">Supplementary Figure 4: Dilution series quantification analysis Skyline</w:t>
      </w:r>
      <w:r w:rsidDel="00000000" w:rsidR="00000000" w:rsidRPr="00000000">
        <w:rPr>
          <w:color w:val="0d0d0d"/>
          <w:rtl w:val="0"/>
        </w:rPr>
        <w:t xml:space="preserve">. Left panel shows intensity in the 400ng condition (summed intensity top 3 fragments). Right panel depicts log2 L/H ratio (relative to 400ng condition) per precursor-fragment (top 3 fragments). Precursors are sorted according to order in Supplementary Figure 3.</w:t>
      </w:r>
    </w:p>
    <w:p w:rsidR="00000000" w:rsidDel="00000000" w:rsidP="00000000" w:rsidRDefault="00000000" w:rsidRPr="00000000" w14:paraId="0000000D">
      <w:pPr>
        <w:spacing w:after="300" w:lineRule="auto"/>
        <w:rPr>
          <w:color w:val="0d0d0d"/>
        </w:rPr>
      </w:pPr>
      <w:r w:rsidDel="00000000" w:rsidR="00000000" w:rsidRPr="00000000">
        <w:rPr>
          <w:color w:val="0d0d0d"/>
        </w:rPr>
        <w:drawing>
          <wp:inline distB="114300" distT="114300" distL="114300" distR="114300">
            <wp:extent cx="6085281" cy="3548063"/>
            <wp:effectExtent b="0" l="0" r="0" t="0"/>
            <wp:docPr id="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85281" cy="35480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300" w:lineRule="auto"/>
        <w:rPr>
          <w:color w:val="0d0d0d"/>
        </w:rPr>
      </w:pPr>
      <w:r w:rsidDel="00000000" w:rsidR="00000000" w:rsidRPr="00000000">
        <w:rPr>
          <w:b w:val="1"/>
          <w:color w:val="0d0d0d"/>
          <w:rtl w:val="0"/>
        </w:rPr>
        <w:t xml:space="preserve">Supplementary Figure 5: Chromatographic traces for peptide ANpSFVGTAQYVSPELLTEK</w:t>
      </w:r>
      <w:r w:rsidDel="00000000" w:rsidR="00000000" w:rsidRPr="00000000">
        <w:rPr>
          <w:color w:val="0d0d0d"/>
          <w:rtl w:val="0"/>
        </w:rPr>
        <w:t xml:space="preserve">. Fragment traces exported from Skyline. Traces of heavy (spike-in) peptide depicted in the red, endogenous in blue. Results for the three replicates (rows) across the dilution series (columns) are shown. </w:t>
      </w:r>
    </w:p>
    <w:p w:rsidR="00000000" w:rsidDel="00000000" w:rsidP="00000000" w:rsidRDefault="00000000" w:rsidRPr="00000000" w14:paraId="0000000F">
      <w:pPr>
        <w:spacing w:after="300" w:lineRule="auto"/>
        <w:rPr>
          <w:color w:val="0d0d0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300" w:lineRule="auto"/>
        <w:rPr>
          <w:color w:val="0d0d0d"/>
        </w:rPr>
      </w:pPr>
      <w:r w:rsidDel="00000000" w:rsidR="00000000" w:rsidRPr="00000000">
        <w:rPr>
          <w:color w:val="0d0d0d"/>
        </w:rPr>
        <w:drawing>
          <wp:inline distB="114300" distT="114300" distL="114300" distR="114300">
            <wp:extent cx="5731200" cy="6807200"/>
            <wp:effectExtent b="0" l="0" r="0" t="0"/>
            <wp:docPr id="1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80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300" w:lineRule="auto"/>
        <w:rPr/>
      </w:pPr>
      <w:r w:rsidDel="00000000" w:rsidR="00000000" w:rsidRPr="00000000">
        <w:rPr>
          <w:b w:val="1"/>
          <w:color w:val="0d0d0d"/>
          <w:rtl w:val="0"/>
        </w:rPr>
        <w:t xml:space="preserve">Supplementary Figure 6: Detailed heatmaps representing luminex results from pAKT, pMEK and pERK2.</w:t>
      </w:r>
      <w:r w:rsidDel="00000000" w:rsidR="00000000" w:rsidRPr="00000000">
        <w:rPr>
          <w:color w:val="0d0d0d"/>
          <w:rtl w:val="0"/>
        </w:rPr>
        <w:t xml:space="preserve"> Results are separated based on MEKi (“_AZD”) vs control (“_DMSO”)  and show intensity </w:t>
      </w:r>
      <w:r w:rsidDel="00000000" w:rsidR="00000000" w:rsidRPr="00000000">
        <w:rPr>
          <w:color w:val="0d0d0d"/>
          <w:rtl w:val="0"/>
        </w:rPr>
        <w:t xml:space="preserve">normalized to the BSA/PBS_DMSO condition. The expected pattern for pMEK and pERK can be observed. The cell lines per heatmap are hierarchically clustered based on response. </w:t>
      </w:r>
      <w:r w:rsidDel="00000000" w:rsidR="00000000" w:rsidRPr="00000000">
        <w:rPr/>
        <w:drawing>
          <wp:inline distB="114300" distT="114300" distL="114300" distR="114300">
            <wp:extent cx="5731200" cy="6819900"/>
            <wp:effectExtent b="0" l="0" r="0" t="0"/>
            <wp:docPr id="4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819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6870700"/>
            <wp:effectExtent b="0" l="0" r="0" t="0"/>
            <wp:docPr id="17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870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b w:val="1"/>
          <w:rtl w:val="0"/>
        </w:rPr>
        <w:t xml:space="preserve">Supplementary Figure 7: V</w:t>
      </w:r>
      <w:r w:rsidDel="00000000" w:rsidR="00000000" w:rsidRPr="00000000">
        <w:rPr>
          <w:b w:val="1"/>
          <w:rtl w:val="0"/>
        </w:rPr>
        <w:t xml:space="preserve">alidation SILAC quantification ERK2 Tyr 187 in MS/MS spectra and MS1 traces in chromatography. </w:t>
      </w:r>
      <w:r w:rsidDel="00000000" w:rsidR="00000000" w:rsidRPr="00000000">
        <w:rPr>
          <w:rtl w:val="0"/>
        </w:rPr>
        <w:t xml:space="preserve">Chromatography, spectrum and SILAC validation VADPDHDHDHTGFLTEpYVATR (3+) in HCT116 (experiment cell-line panel) scan number derived from DIA-NN report.tsv. Only matched ions are shown. Right hand panels show screenshot of traces of MS1 precursor masses. The blue traces depict the endogenous precursor masses (in 2+, 3+ and 4+) and red traces depict heavy or spike in precursor masses.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300" w:lineRule="auto"/>
        <w:rPr>
          <w:color w:val="0d0d0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/>
        <w:drawing>
          <wp:inline distB="114300" distT="114300" distL="114300" distR="114300">
            <wp:extent cx="5941081" cy="5643563"/>
            <wp:effectExtent b="0" l="0" r="0" t="0"/>
            <wp:docPr id="8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5"/>
                    <a:srcRect b="2933" l="28903" r="20296" t="11209"/>
                    <a:stretch>
                      <a:fillRect/>
                    </a:stretch>
                  </pic:blipFill>
                  <pic:spPr>
                    <a:xfrm>
                      <a:off x="0" y="0"/>
                      <a:ext cx="5941081" cy="56435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b w:val="1"/>
          <w:rtl w:val="0"/>
        </w:rPr>
        <w:t xml:space="preserve">Supplementary Figure 8. Overview moderated t-test limma to test for synergistic interaction. </w:t>
      </w:r>
      <w:r w:rsidDel="00000000" w:rsidR="00000000" w:rsidRPr="00000000">
        <w:rPr>
          <w:rtl w:val="0"/>
        </w:rPr>
        <w:t xml:space="preserve">A. As described in Materials and methods:  Within the factorial design in limma (function “makeContrasts”), contrasts were strategically defined to investigate synergistic effects: the differential impact of the growth factor mix with and without MEKi ("GFmix w MEKi" and "GFmix w/o MEKi"), and conversely, the effect of MEKi with and without the growth factor mix ("MEKi w GFmix" and "MEKi w/o GFmix"). Potential synergistic interactions were explored through an "Interaction" contrast. “Interaction2” was included in analysis as a control but not shown in manuscript. A linear model was fitted to the data and Bayesian statistics (“ebayes” function) were then applied to estimate variance among the precursors, employing moderated t-statistics, resulting in a logFC and (adjusted) p value per test. A positive logFC in the interaction term indicates synergistic interaction, and a negative logFC indicates antagonistic interaction. </w:t>
      </w:r>
      <w:r w:rsidDel="00000000" w:rsidR="00000000" w:rsidRPr="00000000">
        <w:rPr>
          <w:rtl w:val="0"/>
        </w:rPr>
        <w:t xml:space="preserve">B. Results moderated t-test as defined in limma in the analysis of the SPIED-DIA data (on precursor level). C. same as B, for the label-free data.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7302500"/>
            <wp:effectExtent b="0" l="0" r="0" t="0"/>
            <wp:docPr id="15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30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b w:val="1"/>
          <w:rtl w:val="0"/>
        </w:rPr>
        <w:t xml:space="preserve">Supplementary Figure 9. Detailed overview intensity as derived from SPIED-DIA of the phosphosites mentioned in the manuscript</w:t>
      </w:r>
      <w:r w:rsidDel="00000000" w:rsidR="00000000" w:rsidRPr="00000000">
        <w:rPr>
          <w:rtl w:val="0"/>
        </w:rPr>
        <w:t xml:space="preserve">. Per phosphopeptide the precursor with the lowest p-value was selected. Only precursors with at least 2 out 3 identification per condition were included in this plot.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6896100"/>
            <wp:effectExtent b="0" l="0" r="0" t="0"/>
            <wp:docPr id="6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896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b w:val="1"/>
          <w:rtl w:val="0"/>
        </w:rPr>
        <w:t xml:space="preserve">Supplementary Figure 10: Hierarchical Clustering and Differential Abundance Analysis of phosphopeptides in label-free data HCT116 </w:t>
      </w:r>
      <w:r w:rsidDel="00000000" w:rsidR="00000000" w:rsidRPr="00000000">
        <w:rPr>
          <w:rtl w:val="0"/>
        </w:rPr>
        <w:t xml:space="preserve">A. Mean intensity profiles per treatment condition across identified clusters. Color coding consistent with heatmap in panel B. Error bars represent standard deviation. B. Heatmap of significantly regulated phosphosites (moderated F test p-</w:t>
      </w:r>
      <w:r w:rsidDel="00000000" w:rsidR="00000000" w:rsidRPr="00000000">
        <w:rPr>
          <w:rtl w:val="0"/>
        </w:rPr>
        <w:t xml:space="preserve">value &lt; 0.1) from HCT116 label-free data. Row-wise z-score normalization applied to precursor intensities. Column to the right depict log2 fold change and BH corrected p-values derived from the limma moderated t-test. C. Detailed view of cluster 6. The column to the right shows log2 fold change and -log10(adj. p-value) associated with the interaction term.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/>
        <w:drawing>
          <wp:inline distB="114300" distT="114300" distL="114300" distR="114300">
            <wp:extent cx="5244097" cy="6862763"/>
            <wp:effectExtent b="0" l="0" r="0" t="0"/>
            <wp:docPr id="13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44097" cy="68627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rtl w:val="0"/>
        </w:rPr>
        <w:t xml:space="preserve">Supplementary Figure 11: Hierarchical Clustering and Differential Abundance Analysis of phosphopeptides in label-free data DLD-1 </w:t>
      </w:r>
      <w:r w:rsidDel="00000000" w:rsidR="00000000" w:rsidRPr="00000000">
        <w:rPr>
          <w:rtl w:val="0"/>
        </w:rPr>
        <w:t xml:space="preserve">A. Mean intensity profiles per treatment condition across identified clusters. Color coding consistent with heatmap in panel B. Error bars represent standard deviation. B. Heatmap of significantly regulated phosphosites (moderated F test p-value &lt; 0.1) from DLD-1 label-free data. Row-wise z-score normalization applied to precursor intensities. Column to the right depict log2 fold change and BH corrected p-values derived from the limma moderated t-test. C. Detailed view of cluster 10. The columns to the right show log2 fold change and -log10(adj. p-value) associated with the interaction term. 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/>
        <w:drawing>
          <wp:inline distB="114300" distT="114300" distL="114300" distR="114300">
            <wp:extent cx="5734050" cy="5524500"/>
            <wp:effectExtent b="0" l="0" r="0" t="0"/>
            <wp:docPr id="2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9"/>
                    <a:srcRect b="23984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5524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b w:val="1"/>
          <w:rtl w:val="0"/>
        </w:rPr>
        <w:t xml:space="preserve">Supplementary Figure 12: Hierarchical Clustering and Differential Abundance Analysis of phosphopeptides in label-free data Caco2 </w:t>
      </w:r>
      <w:r w:rsidDel="00000000" w:rsidR="00000000" w:rsidRPr="00000000">
        <w:rPr>
          <w:rtl w:val="0"/>
        </w:rPr>
        <w:t xml:space="preserve">A. Mean intensity profiles per treatment condition across identified clusters. Color coding consistent with heatmap in panel B. Error bars represent standard deviation. B. Heatmap of significantly regulated phosphosites (moderated F test p-value &lt; 0.1) from Caco2 label-free data. Row-wise z-score normalization applied to precursor intensities. Column to the right depict log2 fold change and p-values (BH corrected) derived from the limma moderated t-test. C. Detailed view of cluster 1. The columns to the right show log2 fold change and -log10(adj.p-value) associated with the interaction term.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color w:val="0d0d0d"/>
        </w:rPr>
      </w:pPr>
      <w:r w:rsidDel="00000000" w:rsidR="00000000" w:rsidRPr="00000000">
        <w:rPr/>
        <w:drawing>
          <wp:inline distB="114300" distT="114300" distL="114300" distR="114300">
            <wp:extent cx="5731200" cy="4876800"/>
            <wp:effectExtent b="0" l="0" r="0" t="0"/>
            <wp:docPr id="16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87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0d0d0d"/>
          <w:rtl w:val="0"/>
        </w:rPr>
        <w:t xml:space="preserve">Supplementary Figure 13. Complete results from PTM-SEA.</w:t>
      </w:r>
      <w:r w:rsidDel="00000000" w:rsidR="00000000" w:rsidRPr="00000000">
        <w:rPr>
          <w:color w:val="0d0d0d"/>
          <w:rtl w:val="0"/>
        </w:rPr>
        <w:t xml:space="preserve"> Signatures derived from PhosphoSitePlus (PSP) and iKiP-DB denoted by (P) and (i), respectively. The input for PTM-SEA consists of fold-change signed p-values from a moderated t-test, specifically filtered for phospho-peptides with an moderated F-test p-value &lt;0.1, indicating significant regulation in at least one of the tests. ES = enrichment score as calculated by PTM-SEA. Significance is denoted by asterisks, with * = 0.1, ** 0.05, *** = 0.01.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671297" cy="8034338"/>
            <wp:effectExtent b="0" l="0" r="0" t="0"/>
            <wp:docPr id="7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71297" cy="80343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ind w:left="0" w:firstLine="0"/>
        <w:rPr/>
      </w:pPr>
      <w:r w:rsidDel="00000000" w:rsidR="00000000" w:rsidRPr="00000000">
        <w:rPr>
          <w:b w:val="1"/>
          <w:rtl w:val="0"/>
        </w:rPr>
        <w:t xml:space="preserve">Supplementa</w:t>
      </w:r>
      <w:r w:rsidDel="00000000" w:rsidR="00000000" w:rsidRPr="00000000">
        <w:rPr>
          <w:b w:val="1"/>
          <w:rtl w:val="0"/>
        </w:rPr>
        <w:t xml:space="preserve">ry Figure 14. </w:t>
      </w:r>
      <w:r w:rsidDel="00000000" w:rsidR="00000000" w:rsidRPr="00000000">
        <w:rPr>
          <w:b w:val="1"/>
          <w:rtl w:val="0"/>
        </w:rPr>
        <w:t xml:space="preserve">Kinase Library S/T (Serine/Threonine) Kinase Motif Enrichment Analysis.</w:t>
      </w:r>
      <w:r w:rsidDel="00000000" w:rsidR="00000000" w:rsidRPr="00000000">
        <w:rPr>
          <w:rtl w:val="0"/>
        </w:rPr>
        <w:t xml:space="preserve"> For each comparison, input phosphopeptides were selected with a fold change (FC) &gt; 0.1 and a p-value &lt; 0.05, as foreground phosphosites. The output is the enrichment value (EV).</w:t>
      </w:r>
    </w:p>
    <w:p w:rsidR="00000000" w:rsidDel="00000000" w:rsidP="00000000" w:rsidRDefault="00000000" w:rsidRPr="00000000" w14:paraId="00000026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731200" cy="4495800"/>
            <wp:effectExtent b="0" l="0" r="0" t="0"/>
            <wp:docPr id="12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49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ind w:left="0" w:firstLine="0"/>
        <w:rPr/>
      </w:pPr>
      <w:r w:rsidDel="00000000" w:rsidR="00000000" w:rsidRPr="00000000">
        <w:rPr>
          <w:b w:val="1"/>
          <w:rtl w:val="0"/>
        </w:rPr>
        <w:t xml:space="preserve">Supplementary Figure 15: Phosphoproteomic Analysis of HCT116 Cells with MEKi and Individual Growth Factor Treatment.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  <w:t xml:space="preserve">A. Schematic of the experimental workflow with consistent color coding across the figure. B. Targeted analysis results: Heatmap presenting phosphorylation site regulation under various conditions, filtered by F-test significance (p &lt; 0.2). The color scale reflects z-normalized abundance, with asterisks denoting F test p-values: *** for p &lt; 0.01, ** for p &lt; 0.05, and * for p &lt; 0.1. C. Normalized intensity as derived from targeted analysis plots for select phosphorylation sites,</w:t>
      </w:r>
      <w:r w:rsidDel="00000000" w:rsidR="00000000" w:rsidRPr="00000000">
        <w:rPr>
          <w:rtl w:val="0"/>
        </w:rPr>
        <w:t xml:space="preserve"> loess-normalized</w:t>
      </w:r>
      <w:r w:rsidDel="00000000" w:rsidR="00000000" w:rsidRPr="00000000">
        <w:rPr>
          <w:rtl w:val="0"/>
        </w:rPr>
        <w:t xml:space="preserve"> and </w:t>
      </w:r>
      <w:r w:rsidDel="00000000" w:rsidR="00000000" w:rsidRPr="00000000">
        <w:rPr>
          <w:rtl w:val="0"/>
        </w:rPr>
        <w:t xml:space="preserve">log10-transformed.</w:t>
      </w:r>
      <w:r w:rsidDel="00000000" w:rsidR="00000000" w:rsidRPr="00000000">
        <w:rPr>
          <w:rtl w:val="0"/>
        </w:rPr>
        <w:t xml:space="preserve"> Standard deviations are depicted as error bars. p-values as derived from limma moderated t-test (BSA~GF) are depicted</w:t>
      </w:r>
      <w:r w:rsidDel="00000000" w:rsidR="00000000" w:rsidRPr="00000000">
        <w:rPr>
          <w:rtl w:val="0"/>
        </w:rPr>
        <w:t xml:space="preserve">. </w:t>
      </w:r>
      <w:r w:rsidDel="00000000" w:rsidR="00000000" w:rsidRPr="00000000">
        <w:rPr>
          <w:rtl w:val="0"/>
        </w:rPr>
        <w:t xml:space="preserve">D. Hierarchical clustering of phosphopeptides of label-free data based on mean intensity profiles per treatment, error bars indicating standard deviation. Enrichment analysis of PhosphoSitePlus and iKiP-DB kinase signature for cluster 2.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731200" cy="7721600"/>
            <wp:effectExtent b="0" l="0" r="0" t="0"/>
            <wp:docPr id="1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72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rtl w:val="0"/>
        </w:rPr>
        <w:t xml:space="preserve">Supplementary Figure 16. Hierarchical Clustering and Differential Abundance Analysis of phosphopeptides in label-free data HCT116 with individual growth factors.</w:t>
      </w:r>
      <w:r w:rsidDel="00000000" w:rsidR="00000000" w:rsidRPr="00000000">
        <w:rPr>
          <w:rtl w:val="0"/>
        </w:rPr>
        <w:t xml:space="preserve"> A. Mean intensity profiles per treatment condition across identified clusters. Color coding consistent with heatmap in panel B/C. Error bars represent standard deviation. B. Heatmap of significantly regulated phosphosites (moderated F test p-value &lt; 0.1) from HCT116 label-free data. Row-wise z-score normalization applied to precursor intensities. Column to the right depict log2 fold change and BH adjusted p-values (-log10) derived from the limma moderated t-test. C. Detailed view of cluster 1. The column to the right shows log2 fold change and -log10(BH adjusted p-value) associated with the limma t-tests.</w:t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nl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9.png"/><Relationship Id="rId11" Type="http://schemas.openxmlformats.org/officeDocument/2006/relationships/image" Target="media/image5.png"/><Relationship Id="rId22" Type="http://schemas.openxmlformats.org/officeDocument/2006/relationships/image" Target="media/image12.png"/><Relationship Id="rId10" Type="http://schemas.openxmlformats.org/officeDocument/2006/relationships/image" Target="media/image1.png"/><Relationship Id="rId21" Type="http://schemas.openxmlformats.org/officeDocument/2006/relationships/image" Target="media/image7.jpg"/><Relationship Id="rId13" Type="http://schemas.openxmlformats.org/officeDocument/2006/relationships/image" Target="media/image11.png"/><Relationship Id="rId12" Type="http://schemas.openxmlformats.org/officeDocument/2006/relationships/image" Target="media/image2.png"/><Relationship Id="rId23" Type="http://schemas.openxmlformats.org/officeDocument/2006/relationships/image" Target="media/image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0.png"/><Relationship Id="rId15" Type="http://schemas.openxmlformats.org/officeDocument/2006/relationships/image" Target="media/image18.png"/><Relationship Id="rId14" Type="http://schemas.openxmlformats.org/officeDocument/2006/relationships/image" Target="media/image15.png"/><Relationship Id="rId17" Type="http://schemas.openxmlformats.org/officeDocument/2006/relationships/image" Target="media/image16.png"/><Relationship Id="rId16" Type="http://schemas.openxmlformats.org/officeDocument/2006/relationships/image" Target="media/image17.png"/><Relationship Id="rId5" Type="http://schemas.openxmlformats.org/officeDocument/2006/relationships/styles" Target="styles.xml"/><Relationship Id="rId19" Type="http://schemas.openxmlformats.org/officeDocument/2006/relationships/image" Target="media/image6.png"/><Relationship Id="rId6" Type="http://schemas.openxmlformats.org/officeDocument/2006/relationships/image" Target="media/image4.png"/><Relationship Id="rId18" Type="http://schemas.openxmlformats.org/officeDocument/2006/relationships/image" Target="media/image8.png"/><Relationship Id="rId7" Type="http://schemas.openxmlformats.org/officeDocument/2006/relationships/image" Target="media/image14.png"/><Relationship Id="rId8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