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FC5D" w14:textId="125C7942" w:rsidR="00455DA6" w:rsidRPr="009774FF" w:rsidRDefault="00455DA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file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2E4FFD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. Publication bias assessment using funnel plots of main outcomes using random effect models. </w:t>
      </w:r>
    </w:p>
    <w:p w14:paraId="066C745C" w14:textId="5B0BD57C" w:rsidR="002F6C0A" w:rsidRPr="009774FF" w:rsidRDefault="00455DA6" w:rsidP="002646A6">
      <w:pPr>
        <w:ind w:firstLine="720"/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1.</w:t>
      </w:r>
      <w:r w:rsidR="0049431C"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2646A6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Publication bias assessment of the studies on p</w:t>
      </w:r>
      <w:r w:rsidR="002F6C0A" w:rsidRPr="009774FF">
        <w:rPr>
          <w:rFonts w:asciiTheme="majorBidi" w:hAnsiTheme="majorBidi" w:cstheme="majorBidi"/>
          <w:b/>
          <w:bCs/>
          <w:sz w:val="24"/>
          <w:szCs w:val="24"/>
        </w:rPr>
        <w:t>r</w:t>
      </w:r>
      <w:r w:rsidR="00026CA7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="002F6C0A" w:rsidRPr="009774FF">
        <w:rPr>
          <w:rFonts w:asciiTheme="majorBidi" w:hAnsiTheme="majorBidi" w:cstheme="majorBidi"/>
          <w:b/>
          <w:bCs/>
          <w:sz w:val="24"/>
          <w:szCs w:val="24"/>
        </w:rPr>
        <w:t>biotics and</w:t>
      </w:r>
      <w:r w:rsidR="002646A6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lipopolysaccharide (LPS).</w:t>
      </w:r>
    </w:p>
    <w:p w14:paraId="1F2504EF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6A3B0D0E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Number of studies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>=  16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 xml:space="preserve">                                Root MSE      =   2.421</w:t>
      </w:r>
    </w:p>
    <w:p w14:paraId="7670AFD1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5C15EE0B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    </w:t>
      </w:r>
      <w:proofErr w:type="spellStart"/>
      <w:r w:rsidRPr="009774FF">
        <w:rPr>
          <w:rFonts w:asciiTheme="majorBidi" w:hAnsiTheme="majorBidi" w:cstheme="majorBidi"/>
          <w:sz w:val="24"/>
          <w:szCs w:val="24"/>
        </w:rPr>
        <w:t>Std_Eff</w:t>
      </w:r>
      <w:proofErr w:type="spellEnd"/>
      <w:r w:rsidRPr="009774FF">
        <w:rPr>
          <w:rFonts w:asciiTheme="majorBidi" w:hAnsiTheme="majorBidi" w:cstheme="majorBidi"/>
          <w:sz w:val="24"/>
          <w:szCs w:val="24"/>
        </w:rPr>
        <w:t xml:space="preserve"> |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>Coefficient  Std.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 xml:space="preserve"> err.      t    P&gt;|t| 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>95% conf. interval]</w:t>
      </w:r>
    </w:p>
    <w:p w14:paraId="505A056B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-------------+----------------------------------------------------------------</w:t>
      </w:r>
    </w:p>
    <w:p w14:paraId="288EC984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      slope |   1.135398   .9725458     1.17   0.263    -.9505051    3.221301</w:t>
      </w:r>
    </w:p>
    <w:p w14:paraId="08D59929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       bias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>|  -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>6.286459   3.168025    -1.98   0.067     -13.0812    .5082792</w:t>
      </w:r>
    </w:p>
    <w:p w14:paraId="056162F6" w14:textId="77777777" w:rsidR="002021C8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041E192A" w14:textId="17C8BCE7" w:rsidR="002021C8" w:rsidRPr="009774FF" w:rsidRDefault="00675298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0B03B66C" wp14:editId="287A122C">
            <wp:extent cx="5026660" cy="36576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6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17C62" w14:textId="6E17D9A7" w:rsidR="00455DA6" w:rsidRPr="009774FF" w:rsidRDefault="002021C8" w:rsidP="00666072">
      <w:pPr>
        <w:jc w:val="both"/>
        <w:rPr>
          <w:rFonts w:asciiTheme="majorBidi" w:hAnsiTheme="majorBidi" w:cstheme="majorBidi"/>
          <w:sz w:val="24"/>
          <w:szCs w:val="24"/>
          <w:highlight w:val="yellow"/>
        </w:rPr>
      </w:pPr>
      <w:r w:rsidRPr="009774FF">
        <w:rPr>
          <w:rFonts w:asciiTheme="majorBidi" w:hAnsiTheme="majorBidi" w:cstheme="majorBidi"/>
          <w:sz w:val="24"/>
          <w:szCs w:val="24"/>
        </w:rPr>
        <w:t>Test of H0: no small-study effects          P = 0.067</w:t>
      </w:r>
      <w:r w:rsidR="00455DA6" w:rsidRPr="009774FF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69A96C3" w14:textId="158DAD68" w:rsidR="00EC1E34" w:rsidRPr="009774FF" w:rsidRDefault="00EC1E34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2E4FFD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0396A92F" w14:textId="40A19EB5" w:rsidR="00EC1E34" w:rsidRDefault="00EC1E34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2.a. A leave-one-out sensitivity analysis of the impact of pr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biotic administration on serum/plasma 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>lipopolysaccharide (LPS).</w:t>
      </w:r>
    </w:p>
    <w:p w14:paraId="09216517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612FDA34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DF4F98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DF4F98">
        <w:rPr>
          <w:rFonts w:asciiTheme="majorBidi" w:hAnsiTheme="majorBidi" w:cstheme="majorBidi"/>
          <w:sz w:val="24"/>
          <w:szCs w:val="24"/>
        </w:rPr>
        <w:t>95%  Conf.  Interval]</w:t>
      </w:r>
    </w:p>
    <w:p w14:paraId="03D2D53C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4A4B1831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                 |   -.92495304     -1.3489958   -.50091034</w:t>
      </w:r>
    </w:p>
    <w:p w14:paraId="3DEBEEE3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2                 |   -.8515678      -1.2802829   -.42285281</w:t>
      </w:r>
    </w:p>
    <w:p w14:paraId="1F384133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3                 |   -.92664301     -1.3504395   -.50284648</w:t>
      </w:r>
    </w:p>
    <w:p w14:paraId="4C2A06FC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4                 |   -.78811502     -1.1834953   -.39273468</w:t>
      </w:r>
    </w:p>
    <w:p w14:paraId="035ADA00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5                 |   -.85124892     -1.274554    -.42794377</w:t>
      </w:r>
    </w:p>
    <w:p w14:paraId="4F69ED6B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6                 |   -.82356155     -1.2371482   -.4099749</w:t>
      </w:r>
    </w:p>
    <w:p w14:paraId="2DC5FD49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7                 |   -.84778339     -1.27354     -.42202672</w:t>
      </w:r>
    </w:p>
    <w:p w14:paraId="1F92A413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8                 |   -.87338895     -1.3015234   -.4452545</w:t>
      </w:r>
    </w:p>
    <w:p w14:paraId="57AD3C7A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9                 |   -.94681209     -1.3495657   -.54405838</w:t>
      </w:r>
    </w:p>
    <w:p w14:paraId="2BF5EA6A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10                |   -.78888017     -1.1797956   -.39796475</w:t>
      </w:r>
    </w:p>
    <w:p w14:paraId="142EB309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11                |   -.95720237     -1.3564141   -.55799067</w:t>
      </w:r>
    </w:p>
    <w:p w14:paraId="5E972188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12                |   -.84778339     -1.27354     -.42202672</w:t>
      </w:r>
    </w:p>
    <w:p w14:paraId="66EE4043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13                |   -.83670497     -1.2569182   -.41649184</w:t>
      </w:r>
    </w:p>
    <w:p w14:paraId="5D242CB8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14                |   -.91961759     -1.3420358   -.49719942</w:t>
      </w:r>
    </w:p>
    <w:p w14:paraId="4FD47BA4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15                |   -.93291157     -1.3500092   -.51581389</w:t>
      </w:r>
    </w:p>
    <w:p w14:paraId="25981287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16                |   -.89692801     -1.3221071   -.47174904</w:t>
      </w:r>
    </w:p>
    <w:p w14:paraId="560B979D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15C44252" w14:textId="77777777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 xml:space="preserve"> Combined          |   -.87572535     -1.2794449   -.47200584</w:t>
      </w:r>
    </w:p>
    <w:p w14:paraId="25976D78" w14:textId="253106ED" w:rsidR="00DF4F98" w:rsidRPr="00DF4F98" w:rsidRDefault="00DF4F98" w:rsidP="00DF4F98">
      <w:pPr>
        <w:jc w:val="both"/>
        <w:rPr>
          <w:rFonts w:asciiTheme="majorBidi" w:hAnsiTheme="majorBidi" w:cstheme="majorBidi"/>
          <w:sz w:val="24"/>
          <w:szCs w:val="24"/>
        </w:rPr>
      </w:pPr>
      <w:r w:rsidRPr="00DF4F98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64FBFBBE" w14:textId="3BD9C665" w:rsidR="00EC1E34" w:rsidRPr="009774FF" w:rsidRDefault="00F03866" w:rsidP="00666072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F03866">
        <w:rPr>
          <w:rFonts w:asciiTheme="majorBidi" w:eastAsia="Times New Roman" w:hAnsiTheme="majorBidi" w:cstheme="majorBidi"/>
          <w:noProof/>
          <w:sz w:val="24"/>
          <w:szCs w:val="24"/>
          <w:lang w:val="en-CA" w:eastAsia="en-CA"/>
        </w:rPr>
        <w:lastRenderedPageBreak/>
        <w:drawing>
          <wp:inline distT="0" distB="0" distL="0" distR="0" wp14:anchorId="140D4D46" wp14:editId="1A6F5342">
            <wp:extent cx="54864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619BF" w14:textId="1CA07D37" w:rsidR="00EC1E34" w:rsidRPr="009774FF" w:rsidRDefault="00EC1E34" w:rsidP="00666072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9774FF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1DB437BB" w14:textId="5AF6F044" w:rsidR="00235B6F" w:rsidRPr="009774FF" w:rsidRDefault="00235B6F" w:rsidP="006A0BB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6A0BBA">
        <w:rPr>
          <w:rFonts w:asciiTheme="majorBidi" w:hAnsiTheme="majorBidi" w:cstheme="majorBidi"/>
          <w:b/>
          <w:bCs/>
          <w:sz w:val="24"/>
          <w:szCs w:val="24"/>
        </w:rPr>
        <w:t>3.2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Influence/Sensitivity analyses results.</w:t>
      </w:r>
    </w:p>
    <w:p w14:paraId="25CACB31" w14:textId="65DA29C2" w:rsidR="00235B6F" w:rsidRPr="009774FF" w:rsidRDefault="00235B6F" w:rsidP="00235B6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2.b. A leave-one-out sensitivity analysis of the impact of prebiotic administration on serum/plasma lipopolysaccharide binding protein (LBP).</w:t>
      </w:r>
    </w:p>
    <w:p w14:paraId="6FE1CA80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44227714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>95%  Conf.  Interval]</w:t>
      </w:r>
    </w:p>
    <w:p w14:paraId="793F075D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020A7778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1                 |   .24330907      -.08505504   .57167315</w:t>
      </w:r>
    </w:p>
    <w:p w14:paraId="6695F3A9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2                 |   .20411821      -.14505053   .55328697</w:t>
      </w:r>
    </w:p>
    <w:p w14:paraId="21B175A9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3                 |   .29556087      -.06032586   .65144759</w:t>
      </w:r>
    </w:p>
    <w:p w14:paraId="2FFBA804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4                 |   .28798717      -.05673708   .63271141</w:t>
      </w:r>
    </w:p>
    <w:p w14:paraId="64697033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3C02510F" w14:textId="77777777" w:rsidR="00235B6F" w:rsidRPr="009774FF" w:rsidRDefault="00235B6F" w:rsidP="00235B6F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Combined          |   .25713293      -.04084562   .55511149</w:t>
      </w:r>
    </w:p>
    <w:p w14:paraId="3FEC81F1" w14:textId="77777777" w:rsidR="00235B6F" w:rsidRPr="009774FF" w:rsidRDefault="00235B6F" w:rsidP="00235B6F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</w:t>
      </w:r>
      <w:r w:rsidRPr="009774FF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6F41DE0E" wp14:editId="4CF0A151">
            <wp:extent cx="5486400" cy="36576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4FF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4868F98D" w14:textId="549FA2EE" w:rsidR="00EC1E34" w:rsidRPr="009774FF" w:rsidRDefault="00EC1E34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2E4FFD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002BA14E" w14:textId="59D5FAEB" w:rsidR="0082641F" w:rsidRPr="009774FF" w:rsidRDefault="00EC1E34" w:rsidP="004343CC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235B6F" w:rsidRPr="009774FF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A leave-one-out sensitivity analysis of the impact of pr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biotic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administration on </w:t>
      </w:r>
      <w:r w:rsidR="0082641F" w:rsidRPr="009774FF">
        <w:rPr>
          <w:rFonts w:asciiTheme="majorBidi" w:hAnsiTheme="majorBidi" w:cstheme="majorBidi"/>
          <w:b/>
          <w:bCs/>
          <w:sz w:val="24"/>
          <w:szCs w:val="24"/>
        </w:rPr>
        <w:t>fecal calprotectin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levels.</w:t>
      </w:r>
    </w:p>
    <w:p w14:paraId="1A795CC5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3CE89FCC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434731B9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9774FF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9774FF">
        <w:rPr>
          <w:rFonts w:asciiTheme="majorBidi" w:hAnsiTheme="majorBidi" w:cstheme="majorBidi"/>
          <w:sz w:val="24"/>
          <w:szCs w:val="24"/>
        </w:rPr>
        <w:t>95%  Conf.  Interval]</w:t>
      </w:r>
    </w:p>
    <w:p w14:paraId="1D4B4D2B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6CDC1E9E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1                 |   -1.5957444     -3.8623853   .67089641</w:t>
      </w:r>
    </w:p>
    <w:p w14:paraId="538F95D9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2                 |   -1.3332833     -3.9865162   1.3199496</w:t>
      </w:r>
    </w:p>
    <w:p w14:paraId="467488D0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3                 |   -1.294858      -3.6088409   1.0191251</w:t>
      </w:r>
    </w:p>
    <w:p w14:paraId="7FB16B60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4                 |   -1.3851837     -3.9610085   1.1906412</w:t>
      </w:r>
    </w:p>
    <w:p w14:paraId="54713D95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5                 |   .13754837      -.34492904   .62002581</w:t>
      </w:r>
    </w:p>
    <w:p w14:paraId="175452C6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18F84103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 xml:space="preserve"> Combined          |   -1.0829742     -2.9613875   .79543906</w:t>
      </w:r>
    </w:p>
    <w:p w14:paraId="06E2C3B8" w14:textId="77777777" w:rsidR="003866F3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58BBD4E9" w14:textId="4DAF3688" w:rsidR="00EC1E34" w:rsidRPr="009774FF" w:rsidRDefault="003866F3" w:rsidP="00666072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614B5F9F" wp14:editId="53A88380">
            <wp:extent cx="4779563" cy="318637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149" cy="318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1E34" w:rsidRPr="009774FF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56120521" w14:textId="28F485A6" w:rsidR="00EE6475" w:rsidRPr="009774FF" w:rsidRDefault="00EE6475" w:rsidP="00EE6475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2E4FFD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The evaluation of evidence certainty using the Grading of Recommendations, Assessment, Development and Evaluation (GRADE) framework.</w:t>
      </w:r>
    </w:p>
    <w:tbl>
      <w:tblPr>
        <w:tblW w:w="4003" w:type="pct"/>
        <w:tblInd w:w="-1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3"/>
        <w:gridCol w:w="1095"/>
        <w:gridCol w:w="1191"/>
        <w:gridCol w:w="1132"/>
        <w:gridCol w:w="1170"/>
        <w:gridCol w:w="1080"/>
        <w:gridCol w:w="899"/>
      </w:tblGrid>
      <w:tr w:rsidR="009774FF" w:rsidRPr="009774FF" w14:paraId="4F28C278" w14:textId="77777777" w:rsidTr="00125B19">
        <w:trPr>
          <w:cantSplit/>
          <w:tblHeader/>
        </w:trPr>
        <w:tc>
          <w:tcPr>
            <w:tcW w:w="4398" w:type="pct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5BAB24" w14:textId="77777777" w:rsidR="00EE6475" w:rsidRPr="009774FF" w:rsidRDefault="00EE6475" w:rsidP="00125B19">
            <w:pPr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Certainty assessment</w:t>
            </w:r>
          </w:p>
        </w:tc>
        <w:tc>
          <w:tcPr>
            <w:tcW w:w="602" w:type="pct"/>
            <w:vMerge w:val="restart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C149FD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Certainty</w:t>
            </w:r>
          </w:p>
          <w:p w14:paraId="19403472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</w:tr>
      <w:tr w:rsidR="009774FF" w:rsidRPr="009774FF" w14:paraId="17CC5211" w14:textId="77777777" w:rsidTr="00125B19">
        <w:trPr>
          <w:cantSplit/>
          <w:tblHeader/>
        </w:trPr>
        <w:tc>
          <w:tcPr>
            <w:tcW w:w="604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B95340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№ of studies</w:t>
            </w:r>
          </w:p>
          <w:p w14:paraId="05BBC068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D0F674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Risk of bias</w:t>
            </w:r>
          </w:p>
        </w:tc>
        <w:tc>
          <w:tcPr>
            <w:tcW w:w="7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8B7B1D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Inconsistency</w:t>
            </w:r>
          </w:p>
        </w:tc>
        <w:tc>
          <w:tcPr>
            <w:tcW w:w="758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FEB923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Indirectness</w:t>
            </w:r>
          </w:p>
        </w:tc>
        <w:tc>
          <w:tcPr>
            <w:tcW w:w="78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1156FE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Imprecision</w:t>
            </w:r>
          </w:p>
        </w:tc>
        <w:tc>
          <w:tcPr>
            <w:tcW w:w="72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434D6D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Publication bias</w:t>
            </w:r>
          </w:p>
        </w:tc>
        <w:tc>
          <w:tcPr>
            <w:tcW w:w="602" w:type="pct"/>
            <w:vMerge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FE31E1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</w:tr>
      <w:tr w:rsidR="009774FF" w:rsidRPr="009774FF" w14:paraId="6B9AFF55" w14:textId="77777777" w:rsidTr="00125B19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751B0A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Serum/ plasma lipopolysaccharide</w:t>
            </w:r>
          </w:p>
        </w:tc>
      </w:tr>
      <w:tr w:rsidR="009774FF" w:rsidRPr="009774FF" w14:paraId="79B241AA" w14:textId="77777777" w:rsidTr="00125B19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62A1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16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92FA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a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6E85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b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194CC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61D97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A0EA2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04273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High</w:t>
            </w:r>
          </w:p>
        </w:tc>
      </w:tr>
      <w:tr w:rsidR="009774FF" w:rsidRPr="009774FF" w14:paraId="54CBA4D6" w14:textId="77777777" w:rsidTr="00125B19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8E1BC1" w14:textId="77777777" w:rsidR="00EE6475" w:rsidRPr="009774FF" w:rsidRDefault="00EE6475" w:rsidP="00125B19">
            <w:pPr>
              <w:jc w:val="both"/>
              <w:rPr>
                <w:rFonts w:asciiTheme="majorBidi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Serum/ plasma lipopolysaccharide binding protein</w:t>
            </w:r>
          </w:p>
        </w:tc>
      </w:tr>
      <w:tr w:rsidR="009774FF" w:rsidRPr="009774FF" w14:paraId="0CCFEF39" w14:textId="77777777" w:rsidTr="00125B19">
        <w:trPr>
          <w:cantSplit/>
          <w:trHeight w:val="348"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F8AE6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4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05545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Serious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 xml:space="preserve"> e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42F59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97021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F7324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0D4B1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4F03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Low</w:t>
            </w:r>
          </w:p>
        </w:tc>
      </w:tr>
      <w:tr w:rsidR="009774FF" w:rsidRPr="009774FF" w14:paraId="7E52F71F" w14:textId="77777777" w:rsidTr="00125B19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</w:tcPr>
          <w:p w14:paraId="20191BFA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Fecal calprotectin</w:t>
            </w:r>
          </w:p>
        </w:tc>
      </w:tr>
      <w:tr w:rsidR="009774FF" w:rsidRPr="009774FF" w14:paraId="7A8C653C" w14:textId="77777777" w:rsidTr="00125B19">
        <w:trPr>
          <w:cantSplit/>
          <w:trHeight w:val="303"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F4E08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5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166CB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4413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D6DEF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F4C48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E338F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Not serious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C0C6" w14:textId="77777777" w:rsidR="00EE6475" w:rsidRPr="009774FF" w:rsidRDefault="00EE6475" w:rsidP="00125B19">
            <w:pPr>
              <w:jc w:val="both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9774FF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Very low </w:t>
            </w:r>
          </w:p>
        </w:tc>
      </w:tr>
    </w:tbl>
    <w:p w14:paraId="7714B1FE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</w:p>
    <w:p w14:paraId="6FFD5F92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a. Less than 50% of studies and participants were at high risk of bias, therefore it was not downgraded.</w:t>
      </w:r>
      <w:r w:rsidRPr="009774FF">
        <w:rPr>
          <w:rFonts w:asciiTheme="majorBidi" w:hAnsiTheme="majorBidi" w:cstheme="majorBidi"/>
          <w:sz w:val="24"/>
          <w:szCs w:val="24"/>
        </w:rPr>
        <w:t xml:space="preserve"> 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Not downgraded</w:t>
      </w:r>
    </w:p>
    <w:p w14:paraId="2D1D23C8" w14:textId="77777777" w:rsidR="001B22E3" w:rsidRPr="009774FF" w:rsidRDefault="001B22E3" w:rsidP="001B22E3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b. Although </w:t>
      </w:r>
      <w:r w:rsidRPr="009774FF">
        <w:rPr>
          <w:rFonts w:asciiTheme="majorBidi" w:eastAsia="Times New Roman" w:hAnsiTheme="majorBidi" w:cstheme="majorBidi"/>
          <w:i/>
          <w:iCs/>
          <w:kern w:val="2"/>
          <w:sz w:val="24"/>
          <w:szCs w:val="24"/>
        </w:rPr>
        <w:t>I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  <w:vertAlign w:val="superscript"/>
        </w:rPr>
        <w:t>2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 = 85.7%, we did not downgrade for inconsistency since in one subgroup conducted by risk of bias assessment of studies, in the fair/poor subgroup [SMD= -0.19 (95% CI: -0.54, 0.19), I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  <w:vertAlign w:val="superscript"/>
        </w:rPr>
        <w:t>2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=0.0 %; n=4] heterogeneity was reduced. Not downgraded</w:t>
      </w:r>
    </w:p>
    <w:p w14:paraId="0182788D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c. Not downgraded as most of the participants were at high risk of metabolic syndrome and the results were at attributed to this population </w:t>
      </w:r>
    </w:p>
    <w:p w14:paraId="05576E6D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d. Not downgraded since 95% CIs of SMD did not include null effect.</w:t>
      </w:r>
    </w:p>
    <w:p w14:paraId="0633FDBB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e. None of the studies had low risk of bias</w:t>
      </w:r>
    </w:p>
    <w:p w14:paraId="13999B67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f. Downgraded one level, since 95% CIs of SMD include null effect.</w:t>
      </w:r>
    </w:p>
    <w:p w14:paraId="06EB75EC" w14:textId="77777777" w:rsidR="00EE6475" w:rsidRPr="009774FF" w:rsidRDefault="00EE6475" w:rsidP="00EE6475">
      <w:pPr>
        <w:jc w:val="both"/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lastRenderedPageBreak/>
        <w:t xml:space="preserve">g. Although </w:t>
      </w:r>
      <w:r w:rsidRPr="009774FF">
        <w:rPr>
          <w:rFonts w:asciiTheme="majorBidi" w:eastAsia="Times New Roman" w:hAnsiTheme="majorBidi" w:cstheme="majorBidi"/>
          <w:i/>
          <w:iCs/>
          <w:kern w:val="2"/>
          <w:sz w:val="24"/>
          <w:szCs w:val="24"/>
        </w:rPr>
        <w:t>I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  <w:vertAlign w:val="superscript"/>
        </w:rPr>
        <w:t>2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=97.2%, we downgraded only one level, since </w:t>
      </w:r>
      <w:r w:rsidRPr="009774FF">
        <w:rPr>
          <w:rFonts w:asciiTheme="majorBidi" w:eastAsia="Times New Roman" w:hAnsiTheme="majorBidi" w:cstheme="majorBidi"/>
          <w:i/>
          <w:iCs/>
          <w:kern w:val="2"/>
          <w:sz w:val="24"/>
          <w:szCs w:val="24"/>
        </w:rPr>
        <w:t>I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  <w:vertAlign w:val="superscript"/>
        </w:rPr>
        <w:t>2</w:t>
      </w:r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 reduced to 53.3% after excluding one study (</w:t>
      </w:r>
      <w:proofErr w:type="spellStart"/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>Vulevic</w:t>
      </w:r>
      <w:proofErr w:type="spellEnd"/>
      <w:r w:rsidRPr="009774FF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 et al., 2013)</w:t>
      </w:r>
    </w:p>
    <w:p w14:paraId="186E8F5B" w14:textId="79C170EC" w:rsidR="007301BB" w:rsidRPr="009774FF" w:rsidRDefault="007301BB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file </w:t>
      </w:r>
      <w:r w:rsidR="00DC3BCE">
        <w:rPr>
          <w:rFonts w:asciiTheme="majorBidi" w:hAnsiTheme="majorBidi" w:cstheme="majorBidi"/>
          <w:b/>
          <w:bCs/>
          <w:sz w:val="24"/>
          <w:szCs w:val="24"/>
        </w:rPr>
        <w:t>3.</w:t>
      </w:r>
      <w:r w:rsidR="002E4FFD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Subgroup analysis results.</w:t>
      </w:r>
    </w:p>
    <w:p w14:paraId="5DBCB978" w14:textId="4E6C384B" w:rsidR="005844C6" w:rsidRPr="009774FF" w:rsidRDefault="005844C6" w:rsidP="006A0BB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6A0BBA">
        <w:rPr>
          <w:rFonts w:asciiTheme="majorBidi" w:hAnsiTheme="majorBidi" w:cstheme="majorBidi"/>
          <w:b/>
          <w:bCs/>
          <w:sz w:val="24"/>
          <w:szCs w:val="24"/>
        </w:rPr>
        <w:t>3.4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.a. Forest plot depicting standardized mean differences (SMD) and the 95% confidence interval (CI) for the impact of pr</w:t>
      </w:r>
      <w:r w:rsidR="007C1727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biotic administration on serum/plasma 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>lipopolysaccharide (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LPS</w:t>
      </w:r>
      <w:r w:rsidR="004343CC" w:rsidRPr="009774FF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levels according to health conditions of participants.</w:t>
      </w:r>
    </w:p>
    <w:p w14:paraId="2C2408B6" w14:textId="77777777" w:rsidR="005844C6" w:rsidRPr="009774FF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D6EF8F8" w14:textId="55A5A887" w:rsidR="005844C6" w:rsidRPr="009774FF" w:rsidRDefault="004D4F77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10685BD" wp14:editId="16AAF77A">
            <wp:extent cx="6610582" cy="48101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165" cy="481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0619" w:rsidRPr="0049061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5522D8B" w14:textId="77777777" w:rsidR="005844C6" w:rsidRPr="009774FF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EE5E292" w14:textId="77777777" w:rsidR="005844C6" w:rsidRPr="009774FF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431F2B3" w14:textId="28B87C0D" w:rsidR="005844C6" w:rsidRPr="009774FF" w:rsidRDefault="005844C6" w:rsidP="006A0BB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6A0BBA">
        <w:rPr>
          <w:rFonts w:asciiTheme="majorBidi" w:hAnsiTheme="majorBidi" w:cstheme="majorBidi"/>
          <w:b/>
          <w:bCs/>
          <w:sz w:val="24"/>
          <w:szCs w:val="24"/>
        </w:rPr>
        <w:t>3.4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.b. Forest plot depicting standardized mean differences (SMD) and the 95% confidence interval (CI) for the impact of pr</w:t>
      </w:r>
      <w:r w:rsidR="007C1727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biotic </w:t>
      </w:r>
      <w:r w:rsidR="006D6C33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administration on serum/plasma lipopolysaccharide (LPS)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levels</w:t>
      </w:r>
      <w:r w:rsidR="009E0B83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according to intervention duration</w:t>
      </w:r>
      <w:r w:rsidR="006D6C33" w:rsidRPr="009774FF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1B389A04" w14:textId="5E97B58B" w:rsidR="005844C6" w:rsidRPr="009774FF" w:rsidRDefault="007B2FB9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B2FB9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39DE003" wp14:editId="402B7797">
            <wp:extent cx="50292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94EE3" w14:textId="7FCCBE67" w:rsidR="00815018" w:rsidRPr="009774FF" w:rsidRDefault="00815018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C19B521" w14:textId="487BBA4A" w:rsidR="009E0B83" w:rsidRPr="009774FF" w:rsidRDefault="00815018" w:rsidP="006A0BB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6A0BBA">
        <w:rPr>
          <w:rFonts w:asciiTheme="majorBidi" w:hAnsiTheme="majorBidi" w:cstheme="majorBidi"/>
          <w:b/>
          <w:bCs/>
          <w:sz w:val="24"/>
          <w:szCs w:val="24"/>
        </w:rPr>
        <w:t>3.4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EE6475" w:rsidRPr="009774FF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prebiotic </w:t>
      </w:r>
      <w:r w:rsidR="009E0B83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administration on serum/plasma lipopolysaccharide (LPS)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levels according to </w:t>
      </w:r>
      <w:r w:rsidR="009E0B83" w:rsidRPr="009774FF">
        <w:rPr>
          <w:rFonts w:asciiTheme="majorBidi" w:hAnsiTheme="majorBidi" w:cstheme="majorBidi"/>
          <w:b/>
          <w:bCs/>
          <w:sz w:val="24"/>
          <w:szCs w:val="24"/>
        </w:rPr>
        <w:t>risk of bias assessment of the included trials.</w:t>
      </w:r>
    </w:p>
    <w:p w14:paraId="6CB1758B" w14:textId="6C8DBCB5" w:rsidR="005844C6" w:rsidRPr="009774FF" w:rsidRDefault="00336FF3" w:rsidP="009E0B8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4A9825F" wp14:editId="3AE7E01E">
            <wp:extent cx="5029200" cy="3657600"/>
            <wp:effectExtent l="0" t="0" r="0" b="0"/>
            <wp:docPr id="5814452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44695" w14:textId="77777777" w:rsidR="005844C6" w:rsidRPr="009774FF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FA4C673" w14:textId="77777777" w:rsidR="005844C6" w:rsidRPr="009774FF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F5E2196" w14:textId="4403665E" w:rsidR="005844C6" w:rsidRDefault="005844C6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17AF49F" w14:textId="750754BF" w:rsidR="00365A58" w:rsidRDefault="00365A58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B45B033" w14:textId="77777777" w:rsidR="00365A58" w:rsidRPr="009774FF" w:rsidRDefault="00365A58" w:rsidP="00365A58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Supplementary file </w:t>
      </w:r>
      <w:r>
        <w:rPr>
          <w:rFonts w:asciiTheme="majorBidi" w:eastAsia="DengXian" w:hAnsiTheme="majorBidi" w:cstheme="majorBidi"/>
          <w:b/>
          <w:bCs/>
          <w:sz w:val="24"/>
          <w:szCs w:val="24"/>
        </w:rPr>
        <w:t>3.5</w:t>
      </w: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Meta-regression analysis. </w:t>
      </w:r>
    </w:p>
    <w:p w14:paraId="5B854C1F" w14:textId="77777777" w:rsidR="00365A58" w:rsidRPr="009774FF" w:rsidRDefault="00365A58" w:rsidP="00365A58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>
        <w:rPr>
          <w:rFonts w:asciiTheme="majorBidi" w:hAnsiTheme="majorBidi" w:cstheme="majorBidi"/>
          <w:b/>
          <w:bCs/>
          <w:sz w:val="24"/>
          <w:szCs w:val="24"/>
        </w:rPr>
        <w:t>3.5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(a, b)</w:t>
      </w: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A random-effects meta-regression to investigate the relationship between potential moderators (a. age and b. body mass index (BMI)) and estimated net changes in serum/plasma lipopolysaccharide (LPS) using unrestricted maximum likelihood method.</w:t>
      </w:r>
    </w:p>
    <w:p w14:paraId="23C638ED" w14:textId="77777777" w:rsidR="00365A58" w:rsidRPr="009774FF" w:rsidRDefault="00365A58" w:rsidP="00365A5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sz w:val="24"/>
          <w:szCs w:val="24"/>
        </w:rPr>
        <w:t>Age</w:t>
      </w:r>
    </w:p>
    <w:p w14:paraId="068292A6" w14:textId="77777777" w:rsidR="00365A58" w:rsidRPr="009774FF" w:rsidRDefault="00365A58" w:rsidP="00365A58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0C5228EB" wp14:editId="46F86B21">
            <wp:extent cx="3349060" cy="2436911"/>
            <wp:effectExtent l="0" t="0" r="381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612" cy="244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0A6C5" w14:textId="77777777" w:rsidR="00365A58" w:rsidRPr="009774FF" w:rsidRDefault="00365A58" w:rsidP="00365A58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9774FF">
        <w:rPr>
          <w:rFonts w:asciiTheme="majorBidi" w:hAnsiTheme="majorBidi" w:cstheme="majorBidi"/>
          <w:sz w:val="24"/>
          <w:szCs w:val="24"/>
        </w:rPr>
        <w:t>Bmi</w:t>
      </w:r>
      <w:proofErr w:type="spellEnd"/>
    </w:p>
    <w:p w14:paraId="7D4AC3CE" w14:textId="77777777" w:rsidR="00365A58" w:rsidRPr="009774FF" w:rsidRDefault="00365A58" w:rsidP="00365A58">
      <w:pPr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332ADD3" wp14:editId="0A435385">
            <wp:extent cx="3248083" cy="23634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037" cy="2367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6B9C9" w14:textId="77777777" w:rsidR="00365A58" w:rsidRPr="009774FF" w:rsidRDefault="00365A58" w:rsidP="00365A58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354B0D30" w14:textId="77777777" w:rsidR="00365A58" w:rsidRPr="009774FF" w:rsidRDefault="00365A58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1C223DB" w14:textId="3CC44CD0" w:rsidR="003D7FC0" w:rsidRPr="009774FF" w:rsidRDefault="003D7FC0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F6268F">
        <w:rPr>
          <w:rFonts w:asciiTheme="majorBidi" w:hAnsiTheme="majorBidi" w:cstheme="majorBidi"/>
          <w:b/>
          <w:bCs/>
          <w:sz w:val="24"/>
          <w:szCs w:val="24"/>
        </w:rPr>
        <w:t>3.6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EE6475" w:rsidRPr="009774FF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. Forest plot depicting standardized mean differences (SMD) and the 95% confidence interval (CI) for the impact of pr</w:t>
      </w:r>
      <w:r w:rsidR="005B16BF" w:rsidRPr="009774FF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biotic</w:t>
      </w:r>
      <w:r w:rsidR="005B16BF"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>administration on fecal calprotectin levels according to health conditions of participants.</w:t>
      </w:r>
    </w:p>
    <w:p w14:paraId="03DC27D8" w14:textId="733CAD65" w:rsidR="003D7FC0" w:rsidRPr="009774FF" w:rsidRDefault="00786C47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7916654" wp14:editId="48EE2635">
            <wp:extent cx="5026660" cy="3657600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6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DCA81" w14:textId="0E2A6E88" w:rsidR="007301BB" w:rsidRPr="009774FF" w:rsidRDefault="007301BB" w:rsidP="00666072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25236755" w14:textId="762791D5" w:rsidR="007301BB" w:rsidRPr="009774FF" w:rsidRDefault="007301BB" w:rsidP="00666072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4896D9AB" w14:textId="77777777" w:rsidR="003D7FC0" w:rsidRPr="009774FF" w:rsidRDefault="003D7FC0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748629BF" w14:textId="51C3A79F" w:rsidR="003D7FC0" w:rsidRPr="009774FF" w:rsidRDefault="003D7FC0" w:rsidP="0066607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F6268F">
        <w:rPr>
          <w:rFonts w:asciiTheme="majorBidi" w:hAnsiTheme="majorBidi" w:cstheme="majorBidi"/>
          <w:b/>
          <w:bCs/>
          <w:sz w:val="24"/>
          <w:szCs w:val="24"/>
        </w:rPr>
        <w:t>3.6</w:t>
      </w:r>
      <w:r w:rsidR="00F11CDB" w:rsidRPr="009774FF">
        <w:rPr>
          <w:rFonts w:asciiTheme="majorBidi" w:hAnsiTheme="majorBidi" w:cstheme="majorBidi"/>
          <w:b/>
          <w:bCs/>
          <w:sz w:val="24"/>
          <w:szCs w:val="24"/>
        </w:rPr>
        <w:t>.b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F11CDB" w:rsidRPr="009774FF">
        <w:rPr>
          <w:rFonts w:asciiTheme="majorBidi" w:hAnsiTheme="majorBidi" w:cstheme="majorBidi"/>
          <w:b/>
          <w:bCs/>
          <w:sz w:val="24"/>
          <w:szCs w:val="24"/>
        </w:rPr>
        <w:t>prebiotic administration on fecal calprotectin levels according risk of bias assessment of included trials.</w:t>
      </w:r>
    </w:p>
    <w:p w14:paraId="41CB3F51" w14:textId="6227FE7A" w:rsidR="003A76B4" w:rsidRPr="009774FF" w:rsidRDefault="00786C47" w:rsidP="00666072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sectPr w:rsidR="003A76B4" w:rsidRPr="009774FF" w:rsidSect="006C6CC7">
          <w:headerReference w:type="default" r:id="rId1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774FF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4909BDD5" wp14:editId="11EC6939">
            <wp:extent cx="5026660" cy="3657600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6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01BB" w:rsidRPr="009774FF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53B1F616" w14:textId="77777777" w:rsidR="002439DF" w:rsidRPr="009774FF" w:rsidRDefault="002439DF" w:rsidP="002439DF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</w:p>
    <w:p w14:paraId="7AD7746B" w14:textId="77777777" w:rsidR="002439DF" w:rsidRPr="009774FF" w:rsidRDefault="002439DF" w:rsidP="002439DF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</w:p>
    <w:p w14:paraId="537B06C1" w14:textId="77777777" w:rsidR="002439DF" w:rsidRPr="009774FF" w:rsidRDefault="002439DF" w:rsidP="002439DF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</w:p>
    <w:p w14:paraId="1C34E654" w14:textId="5C4780D7" w:rsidR="002439DF" w:rsidRPr="009774FF" w:rsidRDefault="002439DF" w:rsidP="002439DF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Supplementary file </w:t>
      </w:r>
      <w:r w:rsidR="00F6268F">
        <w:rPr>
          <w:rFonts w:asciiTheme="majorBidi" w:eastAsia="DengXian" w:hAnsiTheme="majorBidi" w:cstheme="majorBidi"/>
          <w:b/>
          <w:bCs/>
          <w:sz w:val="24"/>
          <w:szCs w:val="24"/>
        </w:rPr>
        <w:t>3.7</w:t>
      </w: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Meta-regression analysis. </w:t>
      </w:r>
    </w:p>
    <w:p w14:paraId="3474DCF0" w14:textId="3E269F22" w:rsidR="002439DF" w:rsidRPr="009774FF" w:rsidRDefault="002439DF" w:rsidP="002439DF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F6268F">
        <w:rPr>
          <w:rFonts w:asciiTheme="majorBidi" w:hAnsiTheme="majorBidi" w:cstheme="majorBidi"/>
          <w:b/>
          <w:bCs/>
          <w:sz w:val="24"/>
          <w:szCs w:val="24"/>
        </w:rPr>
        <w:t>3.7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(a)</w:t>
      </w:r>
      <w:r w:rsidRPr="009774FF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A random-effects meta-regression to investigate the relationship between potential moderator (age) and estimated net changes in fecal calprotectin </w:t>
      </w:r>
      <w:r w:rsidR="004069A3" w:rsidRPr="009774FF">
        <w:rPr>
          <w:rFonts w:asciiTheme="majorBidi" w:hAnsiTheme="majorBidi" w:cstheme="majorBidi"/>
          <w:b/>
          <w:bCs/>
          <w:sz w:val="24"/>
          <w:szCs w:val="24"/>
        </w:rPr>
        <w:t>levels</w:t>
      </w:r>
      <w:r w:rsidRPr="009774FF">
        <w:rPr>
          <w:rFonts w:asciiTheme="majorBidi" w:hAnsiTheme="majorBidi" w:cstheme="majorBidi"/>
          <w:b/>
          <w:bCs/>
          <w:sz w:val="24"/>
          <w:szCs w:val="24"/>
        </w:rPr>
        <w:t xml:space="preserve"> using unrestricted maximum likelihood method.</w:t>
      </w:r>
    </w:p>
    <w:p w14:paraId="64C2B209" w14:textId="75BFE72E" w:rsidR="002439DF" w:rsidRPr="009774FF" w:rsidRDefault="00D17A05" w:rsidP="00D17A05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774FF">
        <w:rPr>
          <w:rFonts w:asciiTheme="majorBidi" w:hAnsiTheme="majorBidi" w:cstheme="majorBidi"/>
          <w:b/>
          <w:bCs/>
          <w:sz w:val="24"/>
          <w:szCs w:val="24"/>
        </w:rPr>
        <w:t>Age</w:t>
      </w:r>
    </w:p>
    <w:p w14:paraId="5D570541" w14:textId="540A8FF8" w:rsidR="00D17A05" w:rsidRPr="009774FF" w:rsidRDefault="001B797B" w:rsidP="002A5704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9774FF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70DA434A" wp14:editId="51415FF1">
            <wp:extent cx="5029200" cy="3657600"/>
            <wp:effectExtent l="0" t="0" r="0" b="0"/>
            <wp:docPr id="9155423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7A05" w:rsidRPr="009774FF" w:rsidSect="00675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EE53" w14:textId="77777777" w:rsidR="00732A85" w:rsidRDefault="00732A85" w:rsidP="00440C39">
      <w:pPr>
        <w:spacing w:after="0" w:line="240" w:lineRule="auto"/>
      </w:pPr>
      <w:r>
        <w:separator/>
      </w:r>
    </w:p>
  </w:endnote>
  <w:endnote w:type="continuationSeparator" w:id="0">
    <w:p w14:paraId="25BBB6DE" w14:textId="77777777" w:rsidR="00732A85" w:rsidRDefault="00732A85" w:rsidP="0044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6040" w14:textId="77777777" w:rsidR="00732A85" w:rsidRDefault="00732A85" w:rsidP="00440C39">
      <w:pPr>
        <w:spacing w:after="0" w:line="240" w:lineRule="auto"/>
      </w:pPr>
      <w:r>
        <w:separator/>
      </w:r>
    </w:p>
  </w:footnote>
  <w:footnote w:type="continuationSeparator" w:id="0">
    <w:p w14:paraId="60916DAA" w14:textId="77777777" w:rsidR="00732A85" w:rsidRDefault="00732A85" w:rsidP="0044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6CA3" w14:textId="77777777" w:rsidR="00001BA0" w:rsidRDefault="00001BA0" w:rsidP="00001BA0">
    <w:pPr>
      <w:pStyle w:val="Header"/>
      <w:jc w:val="center"/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</w:pPr>
    <w:r w:rsidRPr="00227BB2"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  <w:t>Reinforcing Gut Integrity: A Systematic Review and Meta-Analysis of Clinical Trials Assessing Probiotics, Synbiotics, and Prebiotics on Intestinal Permeability Markers</w:t>
    </w:r>
  </w:p>
  <w:p w14:paraId="6FC797BB" w14:textId="77777777" w:rsidR="00001BA0" w:rsidRDefault="00001BA0" w:rsidP="00001BA0">
    <w:pPr>
      <w:pStyle w:val="Header"/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</w:pPr>
  </w:p>
  <w:p w14:paraId="3766500D" w14:textId="5714DE10" w:rsidR="00440C39" w:rsidRDefault="00001BA0" w:rsidP="00001BA0">
    <w:pPr>
      <w:pStyle w:val="Header"/>
    </w:pPr>
    <w:r>
      <w:t xml:space="preserve">Supplementary materials </w:t>
    </w:r>
    <w:r w:rsidR="00421F9D">
      <w:t>3</w:t>
    </w:r>
  </w:p>
  <w:p w14:paraId="60EC9C76" w14:textId="77777777" w:rsidR="00440C39" w:rsidRDefault="00440C39" w:rsidP="00440C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4D50"/>
    <w:multiLevelType w:val="hybridMultilevel"/>
    <w:tmpl w:val="731C7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55D5"/>
    <w:multiLevelType w:val="hybridMultilevel"/>
    <w:tmpl w:val="A316FE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A7B5E"/>
    <w:multiLevelType w:val="hybridMultilevel"/>
    <w:tmpl w:val="B49067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5AAA"/>
    <w:multiLevelType w:val="hybridMultilevel"/>
    <w:tmpl w:val="21F63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C7F84"/>
    <w:multiLevelType w:val="hybridMultilevel"/>
    <w:tmpl w:val="12CEC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B44B0"/>
    <w:multiLevelType w:val="hybridMultilevel"/>
    <w:tmpl w:val="52FAA0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809122">
    <w:abstractNumId w:val="4"/>
  </w:num>
  <w:num w:numId="2" w16cid:durableId="509683199">
    <w:abstractNumId w:val="0"/>
  </w:num>
  <w:num w:numId="3" w16cid:durableId="1625848675">
    <w:abstractNumId w:val="1"/>
  </w:num>
  <w:num w:numId="4" w16cid:durableId="1236667707">
    <w:abstractNumId w:val="5"/>
  </w:num>
  <w:num w:numId="5" w16cid:durableId="945234329">
    <w:abstractNumId w:val="2"/>
  </w:num>
  <w:num w:numId="6" w16cid:durableId="1437678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2B8"/>
    <w:rsid w:val="00000BF7"/>
    <w:rsid w:val="00001BA0"/>
    <w:rsid w:val="00016EE0"/>
    <w:rsid w:val="000245D1"/>
    <w:rsid w:val="00026CA7"/>
    <w:rsid w:val="00042FD6"/>
    <w:rsid w:val="0005155E"/>
    <w:rsid w:val="00071801"/>
    <w:rsid w:val="000E7E30"/>
    <w:rsid w:val="001211F8"/>
    <w:rsid w:val="0016057F"/>
    <w:rsid w:val="001B22E3"/>
    <w:rsid w:val="001B797B"/>
    <w:rsid w:val="001E52DC"/>
    <w:rsid w:val="001F4D2D"/>
    <w:rsid w:val="002021C8"/>
    <w:rsid w:val="00230E43"/>
    <w:rsid w:val="00235B6F"/>
    <w:rsid w:val="002400AB"/>
    <w:rsid w:val="002439DF"/>
    <w:rsid w:val="00244B48"/>
    <w:rsid w:val="002534EE"/>
    <w:rsid w:val="002612CC"/>
    <w:rsid w:val="002646A6"/>
    <w:rsid w:val="00270DD2"/>
    <w:rsid w:val="002A5704"/>
    <w:rsid w:val="002C432D"/>
    <w:rsid w:val="002E4FFD"/>
    <w:rsid w:val="002F6C0A"/>
    <w:rsid w:val="002F7A5B"/>
    <w:rsid w:val="00314B8F"/>
    <w:rsid w:val="00336FF3"/>
    <w:rsid w:val="003558FB"/>
    <w:rsid w:val="00357008"/>
    <w:rsid w:val="00365A58"/>
    <w:rsid w:val="00366575"/>
    <w:rsid w:val="003866F3"/>
    <w:rsid w:val="003962F2"/>
    <w:rsid w:val="003969B9"/>
    <w:rsid w:val="003A76B4"/>
    <w:rsid w:val="003B22B8"/>
    <w:rsid w:val="003C2D64"/>
    <w:rsid w:val="003D7FC0"/>
    <w:rsid w:val="004069A3"/>
    <w:rsid w:val="0041125C"/>
    <w:rsid w:val="00413706"/>
    <w:rsid w:val="004146C7"/>
    <w:rsid w:val="00421F9D"/>
    <w:rsid w:val="00426853"/>
    <w:rsid w:val="004343CC"/>
    <w:rsid w:val="00440C39"/>
    <w:rsid w:val="00443101"/>
    <w:rsid w:val="004453CE"/>
    <w:rsid w:val="00455451"/>
    <w:rsid w:val="00455DA6"/>
    <w:rsid w:val="00466A36"/>
    <w:rsid w:val="00490619"/>
    <w:rsid w:val="0049431C"/>
    <w:rsid w:val="004C62D4"/>
    <w:rsid w:val="004D4F77"/>
    <w:rsid w:val="00504EDA"/>
    <w:rsid w:val="00522627"/>
    <w:rsid w:val="00572CF1"/>
    <w:rsid w:val="005844C6"/>
    <w:rsid w:val="00591A0C"/>
    <w:rsid w:val="005B16BF"/>
    <w:rsid w:val="005B23D7"/>
    <w:rsid w:val="005B2759"/>
    <w:rsid w:val="005C14A5"/>
    <w:rsid w:val="005C4A0D"/>
    <w:rsid w:val="005C6704"/>
    <w:rsid w:val="00616153"/>
    <w:rsid w:val="006163D6"/>
    <w:rsid w:val="00621EAC"/>
    <w:rsid w:val="00632CD3"/>
    <w:rsid w:val="00666072"/>
    <w:rsid w:val="00675298"/>
    <w:rsid w:val="00691C15"/>
    <w:rsid w:val="006A0BBA"/>
    <w:rsid w:val="006B4471"/>
    <w:rsid w:val="006C6CC7"/>
    <w:rsid w:val="006D6C33"/>
    <w:rsid w:val="006D7DC5"/>
    <w:rsid w:val="006E4D72"/>
    <w:rsid w:val="007137D0"/>
    <w:rsid w:val="0072111C"/>
    <w:rsid w:val="00724F9C"/>
    <w:rsid w:val="007301BB"/>
    <w:rsid w:val="00732A85"/>
    <w:rsid w:val="0077781E"/>
    <w:rsid w:val="00786C47"/>
    <w:rsid w:val="007B2FB9"/>
    <w:rsid w:val="007B55A1"/>
    <w:rsid w:val="007C1727"/>
    <w:rsid w:val="007F13AB"/>
    <w:rsid w:val="00815018"/>
    <w:rsid w:val="0082641F"/>
    <w:rsid w:val="008E2382"/>
    <w:rsid w:val="00917FBB"/>
    <w:rsid w:val="00941C95"/>
    <w:rsid w:val="009774FF"/>
    <w:rsid w:val="009B32CE"/>
    <w:rsid w:val="009D323D"/>
    <w:rsid w:val="009D5A8D"/>
    <w:rsid w:val="009E0B83"/>
    <w:rsid w:val="009F0A0B"/>
    <w:rsid w:val="00A008C0"/>
    <w:rsid w:val="00A20E52"/>
    <w:rsid w:val="00A2245F"/>
    <w:rsid w:val="00A71AC8"/>
    <w:rsid w:val="00A974E3"/>
    <w:rsid w:val="00A97ADE"/>
    <w:rsid w:val="00AA61E1"/>
    <w:rsid w:val="00AD667D"/>
    <w:rsid w:val="00B2329F"/>
    <w:rsid w:val="00B3669C"/>
    <w:rsid w:val="00B47519"/>
    <w:rsid w:val="00B64A7C"/>
    <w:rsid w:val="00C27C34"/>
    <w:rsid w:val="00C3267C"/>
    <w:rsid w:val="00C6365F"/>
    <w:rsid w:val="00C66614"/>
    <w:rsid w:val="00C7656D"/>
    <w:rsid w:val="00C81363"/>
    <w:rsid w:val="00C82DD9"/>
    <w:rsid w:val="00C9583A"/>
    <w:rsid w:val="00CA0290"/>
    <w:rsid w:val="00CE3F85"/>
    <w:rsid w:val="00CF001C"/>
    <w:rsid w:val="00CF56A5"/>
    <w:rsid w:val="00CF703B"/>
    <w:rsid w:val="00D02011"/>
    <w:rsid w:val="00D10516"/>
    <w:rsid w:val="00D1329B"/>
    <w:rsid w:val="00D17A05"/>
    <w:rsid w:val="00D50940"/>
    <w:rsid w:val="00D55248"/>
    <w:rsid w:val="00DC3BCE"/>
    <w:rsid w:val="00DE1266"/>
    <w:rsid w:val="00DE2BC1"/>
    <w:rsid w:val="00DF4F98"/>
    <w:rsid w:val="00E2677C"/>
    <w:rsid w:val="00E31519"/>
    <w:rsid w:val="00E45CCF"/>
    <w:rsid w:val="00E73C34"/>
    <w:rsid w:val="00EA512F"/>
    <w:rsid w:val="00EC1E34"/>
    <w:rsid w:val="00ED488D"/>
    <w:rsid w:val="00EE6475"/>
    <w:rsid w:val="00F03866"/>
    <w:rsid w:val="00F11CDB"/>
    <w:rsid w:val="00F359BB"/>
    <w:rsid w:val="00F411AA"/>
    <w:rsid w:val="00F57F2D"/>
    <w:rsid w:val="00F6268F"/>
    <w:rsid w:val="00F6426F"/>
    <w:rsid w:val="00F70007"/>
    <w:rsid w:val="00F70ED0"/>
    <w:rsid w:val="00F71527"/>
    <w:rsid w:val="00F72147"/>
    <w:rsid w:val="00F721C1"/>
    <w:rsid w:val="00F91663"/>
    <w:rsid w:val="00F95B03"/>
    <w:rsid w:val="00FC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22F7"/>
  <w15:chartTrackingRefBased/>
  <w15:docId w15:val="{D3EF5D89-16F3-415B-B1C6-6A3D3FE5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40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C39"/>
  </w:style>
  <w:style w:type="paragraph" w:styleId="Footer">
    <w:name w:val="footer"/>
    <w:basedOn w:val="Normal"/>
    <w:link w:val="FooterChar"/>
    <w:uiPriority w:val="99"/>
    <w:unhideWhenUsed/>
    <w:rsid w:val="00440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C39"/>
  </w:style>
  <w:style w:type="character" w:styleId="Strong">
    <w:name w:val="Strong"/>
    <w:basedOn w:val="DefaultParagraphFont"/>
    <w:uiPriority w:val="22"/>
    <w:qFormat/>
    <w:rsid w:val="00440C39"/>
    <w:rPr>
      <w:b/>
      <w:bCs/>
    </w:rPr>
  </w:style>
  <w:style w:type="paragraph" w:customStyle="1" w:styleId="Default">
    <w:name w:val="Default"/>
    <w:rsid w:val="006C6C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6C6CC7"/>
    <w:rPr>
      <w:rFonts w:cs="Times New Roman"/>
      <w:color w:val="auto"/>
    </w:rPr>
  </w:style>
  <w:style w:type="character" w:styleId="Hyperlink">
    <w:name w:val="Hyperlink"/>
    <w:rsid w:val="006C6CC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70D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3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0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16E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B1046-556D-4727-9932-F7C3B833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Zeinab Ghorbani</dc:creator>
  <cp:keywords/>
  <dc:description/>
  <cp:lastModifiedBy>Zeinab Ghorbani</cp:lastModifiedBy>
  <cp:revision>2</cp:revision>
  <dcterms:created xsi:type="dcterms:W3CDTF">2025-04-25T21:42:00Z</dcterms:created>
  <dcterms:modified xsi:type="dcterms:W3CDTF">2025-04-25T21:42:00Z</dcterms:modified>
</cp:coreProperties>
</file>