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31EA639" w14:textId="77777777" w:rsidR="00924717" w:rsidRPr="00924717" w:rsidRDefault="00924717" w:rsidP="00924717">
      <w:pPr>
        <w:spacing w:after="0" w:line="300" w:lineRule="auto"/>
        <w:rPr>
          <w:rFonts w:ascii="Arial" w:hAnsi="Arial" w:cs="Arial"/>
          <w:b/>
          <w:bCs/>
          <w:color w:val="2F5496" w:themeColor="accent5" w:themeShade="BF"/>
          <w:sz w:val="32"/>
          <w:szCs w:val="32"/>
        </w:rPr>
      </w:pPr>
      <w:r w:rsidRPr="00924717">
        <w:rPr>
          <w:rFonts w:ascii="Arial" w:hAnsi="Arial" w:cs="Arial"/>
          <w:b/>
          <w:bCs/>
          <w:color w:val="2F5496" w:themeColor="accent5" w:themeShade="BF"/>
          <w:sz w:val="32"/>
          <w:szCs w:val="32"/>
        </w:rPr>
        <w:t>Supplementary information</w:t>
      </w:r>
    </w:p>
    <w:p w14:paraId="69DBA9A1" w14:textId="77777777" w:rsidR="00924717" w:rsidRPr="00924717" w:rsidRDefault="00924717" w:rsidP="00924717">
      <w:pPr>
        <w:spacing w:after="0" w:line="300" w:lineRule="auto"/>
        <w:rPr>
          <w:rFonts w:ascii="Arial" w:hAnsi="Arial" w:cs="Arial"/>
          <w:b/>
          <w:bCs/>
          <w:color w:val="002291"/>
          <w:sz w:val="32"/>
          <w:szCs w:val="32"/>
        </w:rPr>
      </w:pPr>
    </w:p>
    <w:p w14:paraId="55DDDFCE" w14:textId="62B0D9A5" w:rsidR="00924717" w:rsidRDefault="00BA7A80" w:rsidP="00924717">
      <w:pPr>
        <w:spacing w:after="0" w:line="300" w:lineRule="auto"/>
        <w:jc w:val="both"/>
        <w:rPr>
          <w:rFonts w:ascii="Arial" w:hAnsi="Arial" w:cs="Arial"/>
          <w:b/>
          <w:bCs/>
          <w:sz w:val="28"/>
          <w:szCs w:val="28"/>
        </w:rPr>
      </w:pPr>
      <w:r>
        <w:rPr>
          <w:rFonts w:ascii="Arial" w:hAnsi="Arial" w:cs="Arial"/>
          <w:b/>
          <w:bCs/>
          <w:sz w:val="28"/>
          <w:szCs w:val="28"/>
        </w:rPr>
        <w:t xml:space="preserve">Pluripotent </w:t>
      </w:r>
      <w:r w:rsidR="00504EB7" w:rsidRPr="00504EB7">
        <w:rPr>
          <w:rFonts w:ascii="Arial" w:hAnsi="Arial" w:cs="Arial"/>
          <w:b/>
          <w:bCs/>
          <w:sz w:val="28"/>
          <w:szCs w:val="28"/>
        </w:rPr>
        <w:t>stem cell-based drug discovery uncovers sildenafil as a treatment for mitochondrial disease</w:t>
      </w:r>
    </w:p>
    <w:p w14:paraId="5334A1C8" w14:textId="77777777" w:rsidR="00504EB7" w:rsidRPr="00924717" w:rsidRDefault="00504EB7" w:rsidP="00924717">
      <w:pPr>
        <w:spacing w:after="0" w:line="300" w:lineRule="auto"/>
        <w:jc w:val="both"/>
        <w:rPr>
          <w:rFonts w:ascii="Arial" w:hAnsi="Arial" w:cs="Arial"/>
          <w:b/>
          <w:bCs/>
          <w:sz w:val="22"/>
          <w:szCs w:val="22"/>
        </w:rPr>
      </w:pPr>
    </w:p>
    <w:p w14:paraId="3BDFD035" w14:textId="77777777" w:rsidR="00924717" w:rsidRPr="00924717" w:rsidRDefault="00924717" w:rsidP="00924717">
      <w:pPr>
        <w:spacing w:after="0" w:line="300" w:lineRule="auto"/>
        <w:jc w:val="both"/>
        <w:rPr>
          <w:rFonts w:ascii="Arial" w:hAnsi="Arial" w:cs="Arial"/>
          <w:sz w:val="22"/>
          <w:szCs w:val="22"/>
        </w:rPr>
      </w:pPr>
      <w:r w:rsidRPr="00924717">
        <w:rPr>
          <w:rFonts w:ascii="Arial" w:hAnsi="Arial" w:cs="Arial"/>
          <w:sz w:val="22"/>
          <w:szCs w:val="22"/>
        </w:rPr>
        <w:t>Annika Zink*, Dao-Fu Dai*</w:t>
      </w:r>
      <w:r w:rsidRPr="00924717">
        <w:rPr>
          <w:rFonts w:ascii="Arial" w:hAnsi="Arial" w:cs="Arial"/>
          <w:sz w:val="22"/>
          <w:szCs w:val="22"/>
          <w:vertAlign w:val="superscript"/>
        </w:rPr>
        <w:t>§</w:t>
      </w:r>
      <w:r w:rsidRPr="00924717">
        <w:rPr>
          <w:rFonts w:ascii="Arial" w:hAnsi="Arial" w:cs="Arial"/>
          <w:sz w:val="22"/>
          <w:szCs w:val="22"/>
        </w:rPr>
        <w:t>, Annika Wittich*, Marie-Thérèse Henke*, Giulia Pedrotti*, Sonja Heiduschka*, Guillem S. Aguilar, Tancredi Massimo Pentimalli, Christian Brueser, Sofia Notopoulou, Aleksandra Zhaivoron, Abdul Rahim Umar, Laura Petersilie, Caleb Jerred, Jesper Bergmans, Fabian Schumacher, Jan Keller-Findeisen, Agnieszka Rybak-Wolf, Daniel Stach, Jeanette Reinshagen, Andrea Zaliani, Undine Haferkamp, Liliya Euro, Alessia Di Donfrancesco, Chiara Santanatoglia, Enrica Cappellozza, Marta Suarez Cubero, Mario Pavez-Giani, Oleh Bakumenko, David Meierhofer, Alan Foley, Susanne Morales-Gonzalez, Isabella Tolle, Diran Herebian, Daniele Bonesso, Ildiko Szabo, Giulia Cecchetto, Sakurako Wong, Monica Moresco, Alessandra Maresca, Ilaria Decimo, Merel J.W. Adjobo-Hermans, Burkhard Kleuser, Lukas Cyganek, Chris Mühlhausen, Lars Schlotawa, Valeria Tiranti, Andrea Rossi, Ertan Mayatepek, Chiara La Morgia, Valerio Carelli, Thomas Klopstock, Felix Distelmaier, Ghanim Ullah, Stefan Jakobs, Nikolaus Rajewsky, Christine R. Rose, Spyros Petrakis, Frank Edenhofer, Werner Koopmann, Dario Brunetti, Pawel Lisowski, Anu Suomalainen, Antonio del Sol</w:t>
      </w:r>
      <w:r w:rsidRPr="00924717">
        <w:rPr>
          <w:rFonts w:ascii="Arial" w:hAnsi="Arial" w:cs="Arial"/>
          <w:sz w:val="22"/>
          <w:szCs w:val="22"/>
          <w:vertAlign w:val="superscript"/>
        </w:rPr>
        <w:t>§</w:t>
      </w:r>
      <w:r w:rsidRPr="00924717">
        <w:rPr>
          <w:rFonts w:ascii="Arial" w:hAnsi="Arial" w:cs="Arial"/>
          <w:sz w:val="22"/>
          <w:szCs w:val="22"/>
        </w:rPr>
        <w:t>, Emanuela Bottani</w:t>
      </w:r>
      <w:r w:rsidRPr="00924717">
        <w:rPr>
          <w:rFonts w:ascii="Arial" w:hAnsi="Arial" w:cs="Arial"/>
          <w:sz w:val="22"/>
          <w:szCs w:val="22"/>
          <w:vertAlign w:val="superscript"/>
        </w:rPr>
        <w:t>§</w:t>
      </w:r>
      <w:r w:rsidRPr="00924717">
        <w:rPr>
          <w:rFonts w:ascii="Arial" w:hAnsi="Arial" w:cs="Arial"/>
          <w:sz w:val="22"/>
          <w:szCs w:val="22"/>
        </w:rPr>
        <w:t>, Ole Pless</w:t>
      </w:r>
      <w:r w:rsidRPr="00924717">
        <w:rPr>
          <w:rFonts w:ascii="Arial" w:hAnsi="Arial" w:cs="Arial"/>
          <w:sz w:val="22"/>
          <w:szCs w:val="22"/>
          <w:vertAlign w:val="superscript"/>
        </w:rPr>
        <w:t>§</w:t>
      </w:r>
      <w:r w:rsidRPr="00924717">
        <w:rPr>
          <w:rFonts w:ascii="Arial" w:hAnsi="Arial" w:cs="Arial"/>
          <w:sz w:val="22"/>
          <w:szCs w:val="22"/>
        </w:rPr>
        <w:t>, Markus Schuelke</w:t>
      </w:r>
      <w:r w:rsidRPr="00924717">
        <w:rPr>
          <w:rFonts w:ascii="Arial" w:hAnsi="Arial" w:cs="Arial"/>
          <w:sz w:val="22"/>
          <w:szCs w:val="22"/>
          <w:vertAlign w:val="superscript"/>
        </w:rPr>
        <w:t>§</w:t>
      </w:r>
      <w:r w:rsidRPr="00924717">
        <w:rPr>
          <w:rFonts w:ascii="Arial" w:hAnsi="Arial" w:cs="Arial"/>
          <w:sz w:val="22"/>
          <w:szCs w:val="22"/>
        </w:rPr>
        <w:t>, and Alessandro Prigione</w:t>
      </w:r>
      <w:r w:rsidRPr="00924717">
        <w:rPr>
          <w:rFonts w:ascii="Arial" w:hAnsi="Arial" w:cs="Arial"/>
          <w:sz w:val="22"/>
          <w:szCs w:val="22"/>
          <w:vertAlign w:val="superscript"/>
        </w:rPr>
        <w:t>§</w:t>
      </w:r>
    </w:p>
    <w:p w14:paraId="14434A16" w14:textId="77777777" w:rsidR="00924717" w:rsidRPr="00924717" w:rsidRDefault="00924717" w:rsidP="00B626D5">
      <w:pPr>
        <w:spacing w:after="0" w:line="300" w:lineRule="auto"/>
        <w:jc w:val="both"/>
        <w:rPr>
          <w:rFonts w:ascii="Arial" w:hAnsi="Arial" w:cs="Arial"/>
          <w:sz w:val="22"/>
          <w:szCs w:val="22"/>
          <w:vertAlign w:val="superscript"/>
        </w:rPr>
      </w:pPr>
      <w:r w:rsidRPr="00924717">
        <w:rPr>
          <w:rFonts w:ascii="Arial" w:hAnsi="Arial" w:cs="Arial"/>
          <w:sz w:val="22"/>
          <w:szCs w:val="22"/>
          <w:vertAlign w:val="superscript"/>
        </w:rPr>
        <w:tab/>
      </w:r>
      <w:r w:rsidRPr="00924717">
        <w:rPr>
          <w:rFonts w:ascii="Arial" w:hAnsi="Arial" w:cs="Arial"/>
          <w:sz w:val="22"/>
          <w:szCs w:val="22"/>
          <w:vertAlign w:val="superscript"/>
        </w:rPr>
        <w:tab/>
      </w:r>
      <w:r w:rsidRPr="00924717">
        <w:rPr>
          <w:rFonts w:ascii="Arial" w:hAnsi="Arial" w:cs="Arial"/>
          <w:sz w:val="22"/>
          <w:szCs w:val="22"/>
          <w:vertAlign w:val="superscript"/>
        </w:rPr>
        <w:tab/>
      </w:r>
    </w:p>
    <w:p w14:paraId="747DF6BF" w14:textId="77777777" w:rsidR="00924717" w:rsidRPr="00924717" w:rsidRDefault="00924717" w:rsidP="00B626D5">
      <w:pPr>
        <w:spacing w:after="0" w:line="300" w:lineRule="auto"/>
        <w:jc w:val="both"/>
        <w:rPr>
          <w:rFonts w:ascii="Arial" w:hAnsi="Arial" w:cs="Arial"/>
          <w:sz w:val="22"/>
          <w:szCs w:val="22"/>
        </w:rPr>
      </w:pPr>
      <w:r w:rsidRPr="00924717">
        <w:rPr>
          <w:rFonts w:ascii="Arial" w:hAnsi="Arial" w:cs="Arial"/>
          <w:sz w:val="22"/>
          <w:szCs w:val="22"/>
          <w:vertAlign w:val="superscript"/>
        </w:rPr>
        <w:t>*</w:t>
      </w:r>
      <w:r w:rsidRPr="00924717">
        <w:rPr>
          <w:rFonts w:ascii="Arial" w:hAnsi="Arial" w:cs="Arial"/>
          <w:sz w:val="22"/>
          <w:szCs w:val="22"/>
        </w:rPr>
        <w:t>Equal first author</w:t>
      </w:r>
    </w:p>
    <w:p w14:paraId="1F6FE58A" w14:textId="77777777" w:rsidR="00924717" w:rsidRPr="00924717" w:rsidRDefault="00924717" w:rsidP="00B626D5">
      <w:pPr>
        <w:spacing w:after="0" w:line="300" w:lineRule="auto"/>
        <w:jc w:val="both"/>
        <w:rPr>
          <w:rFonts w:ascii="Arial" w:hAnsi="Arial" w:cs="Arial"/>
          <w:sz w:val="22"/>
          <w:szCs w:val="22"/>
        </w:rPr>
      </w:pPr>
      <w:r w:rsidRPr="00924717">
        <w:rPr>
          <w:rFonts w:ascii="Arial" w:hAnsi="Arial" w:cs="Arial"/>
          <w:sz w:val="22"/>
          <w:szCs w:val="22"/>
          <w:vertAlign w:val="superscript"/>
        </w:rPr>
        <w:t>§</w:t>
      </w:r>
      <w:r w:rsidRPr="00924717">
        <w:rPr>
          <w:rFonts w:ascii="Arial" w:hAnsi="Arial" w:cs="Arial"/>
          <w:sz w:val="22"/>
          <w:szCs w:val="22"/>
        </w:rPr>
        <w:t>Equal corresponding author</w:t>
      </w:r>
    </w:p>
    <w:p w14:paraId="1E0DB54E" w14:textId="684E2617" w:rsidR="00187C95" w:rsidRPr="00924717" w:rsidRDefault="00924717" w:rsidP="00187C95">
      <w:pPr>
        <w:spacing w:after="0" w:line="300" w:lineRule="auto"/>
        <w:rPr>
          <w:rFonts w:ascii="Arial" w:hAnsi="Arial" w:cs="Arial"/>
          <w:b/>
          <w:bCs/>
          <w:sz w:val="32"/>
          <w:szCs w:val="32"/>
        </w:rPr>
      </w:pPr>
      <w:r>
        <w:rPr>
          <w:rFonts w:ascii="Arial" w:hAnsi="Arial" w:cs="Arial"/>
          <w:b/>
          <w:bCs/>
          <w:color w:val="002291"/>
          <w:sz w:val="32"/>
          <w:szCs w:val="32"/>
        </w:rPr>
        <w:br w:type="column"/>
      </w:r>
      <w:r w:rsidR="00187C95" w:rsidRPr="00B626D5">
        <w:rPr>
          <w:rFonts w:ascii="Arial" w:hAnsi="Arial" w:cs="Arial"/>
          <w:b/>
          <w:bCs/>
          <w:color w:val="2F5496" w:themeColor="accent5" w:themeShade="BF"/>
          <w:sz w:val="28"/>
          <w:szCs w:val="28"/>
        </w:rPr>
        <w:lastRenderedPageBreak/>
        <w:t>Supplementary methods</w:t>
      </w:r>
    </w:p>
    <w:p w14:paraId="0EF12E8E" w14:textId="77777777" w:rsidR="00187C95" w:rsidRPr="00924717" w:rsidRDefault="00187C95" w:rsidP="00187C95">
      <w:pPr>
        <w:spacing w:after="0" w:line="300" w:lineRule="auto"/>
        <w:jc w:val="both"/>
        <w:rPr>
          <w:rFonts w:ascii="Arial" w:eastAsiaTheme="minorEastAsia" w:hAnsi="Arial" w:cs="Arial"/>
          <w:b/>
          <w:iCs/>
          <w:sz w:val="22"/>
          <w:szCs w:val="22"/>
        </w:rPr>
      </w:pPr>
    </w:p>
    <w:p w14:paraId="5593C06C" w14:textId="77777777" w:rsidR="00187C95" w:rsidRPr="00B626D5" w:rsidRDefault="00187C95" w:rsidP="00187C95">
      <w:pPr>
        <w:spacing w:after="0" w:line="300" w:lineRule="auto"/>
        <w:jc w:val="both"/>
        <w:rPr>
          <w:rFonts w:ascii="Arial" w:eastAsiaTheme="minorEastAsia" w:hAnsi="Arial" w:cs="Arial"/>
          <w:b/>
          <w:iCs/>
          <w:color w:val="2F5496" w:themeColor="accent5" w:themeShade="BF"/>
          <w:sz w:val="22"/>
          <w:szCs w:val="22"/>
        </w:rPr>
      </w:pPr>
      <w:r w:rsidRPr="00B626D5">
        <w:rPr>
          <w:rFonts w:ascii="Arial" w:eastAsiaTheme="minorEastAsia" w:hAnsi="Arial" w:cs="Arial"/>
          <w:b/>
          <w:iCs/>
          <w:color w:val="2F5496" w:themeColor="accent5" w:themeShade="BF"/>
          <w:sz w:val="22"/>
          <w:szCs w:val="22"/>
        </w:rPr>
        <w:t>Quantification of sildenafil concentration in patient plasma</w:t>
      </w:r>
    </w:p>
    <w:p w14:paraId="2049C9FA" w14:textId="77777777" w:rsidR="00187C95" w:rsidRDefault="00187C95" w:rsidP="00187C95">
      <w:pPr>
        <w:spacing w:after="0" w:line="300" w:lineRule="auto"/>
        <w:jc w:val="both"/>
        <w:rPr>
          <w:rFonts w:ascii="Arial" w:hAnsi="Arial" w:cs="Arial"/>
          <w:sz w:val="22"/>
          <w:szCs w:val="22"/>
        </w:rPr>
      </w:pPr>
      <w:r>
        <w:rPr>
          <w:rFonts w:ascii="Arial" w:eastAsia="Times New Roman" w:hAnsi="Arial" w:cs="Arial"/>
          <w:sz w:val="22"/>
          <w:szCs w:val="22"/>
        </w:rPr>
        <w:t xml:space="preserve">EDTA blood for determination of the sildenafil plasma concentration was drawn in the morning before the first dose and one hour after oral drug application. The EDTA-blood sample was centrifuged at 3000 x </w:t>
      </w:r>
      <w:r>
        <w:rPr>
          <w:rFonts w:ascii="Arial" w:eastAsia="Times New Roman" w:hAnsi="Arial" w:cs="Arial"/>
          <w:i/>
          <w:sz w:val="22"/>
          <w:szCs w:val="22"/>
        </w:rPr>
        <w:t>g</w:t>
      </w:r>
      <w:r>
        <w:rPr>
          <w:rFonts w:ascii="Arial" w:eastAsia="Times New Roman" w:hAnsi="Arial" w:cs="Arial"/>
          <w:sz w:val="22"/>
          <w:szCs w:val="22"/>
        </w:rPr>
        <w:t xml:space="preserve"> for 10 min </w:t>
      </w:r>
      <w:r>
        <w:rPr>
          <w:rFonts w:ascii="Arial" w:hAnsi="Arial" w:cs="Arial"/>
          <w:sz w:val="22"/>
          <w:szCs w:val="22"/>
        </w:rPr>
        <w:t xml:space="preserve">at 4 °C </w:t>
      </w:r>
      <w:r>
        <w:rPr>
          <w:rFonts w:ascii="Arial" w:eastAsia="Times New Roman" w:hAnsi="Arial" w:cs="Arial"/>
          <w:sz w:val="22"/>
          <w:szCs w:val="22"/>
        </w:rPr>
        <w:t xml:space="preserve">and the plasma was aliquoted and frozen at -80 </w:t>
      </w:r>
      <w:r>
        <w:rPr>
          <w:rFonts w:ascii="Arial" w:hAnsi="Arial" w:cs="Arial"/>
          <w:sz w:val="22"/>
          <w:szCs w:val="22"/>
        </w:rPr>
        <w:t>°C</w:t>
      </w:r>
      <w:r>
        <w:rPr>
          <w:rFonts w:ascii="Arial" w:eastAsia="Times New Roman" w:hAnsi="Arial" w:cs="Arial"/>
          <w:sz w:val="22"/>
          <w:szCs w:val="22"/>
        </w:rPr>
        <w:t xml:space="preserve"> until measurement. For mass spectrometric determination of the plasma sildenafil concentration,</w:t>
      </w:r>
      <w:r>
        <w:rPr>
          <w:rFonts w:ascii="Arial" w:hAnsi="Arial" w:cs="Arial"/>
          <w:sz w:val="22"/>
          <w:szCs w:val="22"/>
        </w:rPr>
        <w:t xml:space="preserve"> 100 µl sample was mixed with 400 µl of the internal standard d</w:t>
      </w:r>
      <w:r>
        <w:rPr>
          <w:rFonts w:ascii="Arial" w:hAnsi="Arial" w:cs="Arial"/>
          <w:sz w:val="22"/>
          <w:szCs w:val="22"/>
          <w:vertAlign w:val="subscript"/>
        </w:rPr>
        <w:t>3</w:t>
      </w:r>
      <w:r>
        <w:rPr>
          <w:rFonts w:ascii="Arial" w:hAnsi="Arial" w:cs="Arial"/>
          <w:sz w:val="22"/>
          <w:szCs w:val="22"/>
        </w:rPr>
        <w:t xml:space="preserve">-sildenafil (10 nM in acetonitrile) (CDN Isotopes). Proteins were precipitated by vortexing for 1 min and subsequent storage for 60 min at -20 °C. Supernatants were obtained by centrifugation at 16,000 x </w:t>
      </w:r>
      <w:r>
        <w:rPr>
          <w:rFonts w:ascii="Arial" w:hAnsi="Arial" w:cs="Arial"/>
          <w:i/>
          <w:sz w:val="22"/>
          <w:szCs w:val="22"/>
        </w:rPr>
        <w:t>g</w:t>
      </w:r>
      <w:r>
        <w:rPr>
          <w:rFonts w:ascii="Arial" w:hAnsi="Arial" w:cs="Arial"/>
          <w:sz w:val="22"/>
          <w:szCs w:val="22"/>
        </w:rPr>
        <w:t xml:space="preserve"> at 4 °C for 10 min and subjected to LC-MS/MS sildenafil quantification applying the multiple reaction monitoring (MRM) approach. Chromatographic separation was achieved on a 1290 Infinity II HPLC (Agilent Technologies) equipped with a Poroshell 120 EC-C18 column (3.0 x 150 mm, 2.7 μm; Agilent Technologies) guarded by a pre-column (3.0 x 5 mm, 2.7 μm) of identical material. Water (eluent A) and acetonitrile (eluent B), both acidified with 0.1 % formic acid, were pumped with 0.4 ml/min. Elution of sildenafil and its internal standard was achieved with a 10-min linear gradient from 5 % to 90 % eluent B. Total run-time was 17 min including re-equilibration of the LC system. MS/MS analyses were carried out using an Ultivo triple-quadrupole mass spectrometer (Agilent Technologies) operating in the positive electrospray ionization mode (ESI+). The following ion source parameters were set: sheath gas temperature, 400 °C; sheath gas flow, 12 l/min of nitrogen; nebulizer pressure, 20 psi; drying gas temperature, 100 °C; drying gas flow, 7 l/min of nitrogen; capillary voltage, 3.0 kV; nozzle voltage, 0 kV. The following mass transitions were recorded (fragmentor voltage [FV] and collision energies [CE] in parentheses): sildenafil: </w:t>
      </w:r>
      <w:r>
        <w:rPr>
          <w:rFonts w:ascii="Arial" w:hAnsi="Arial" w:cs="Arial"/>
          <w:i/>
          <w:sz w:val="22"/>
          <w:szCs w:val="22"/>
        </w:rPr>
        <w:t>m/z</w:t>
      </w:r>
      <w:r>
        <w:rPr>
          <w:rFonts w:ascii="Arial" w:hAnsi="Arial" w:cs="Arial"/>
          <w:sz w:val="22"/>
          <w:szCs w:val="22"/>
        </w:rPr>
        <w:t xml:space="preserve"> 475.2 → 58.0 (FV: 220 V, CE: 68 eV, </w:t>
      </w:r>
      <w:r>
        <w:rPr>
          <w:rFonts w:ascii="Arial" w:hAnsi="Arial" w:cs="Arial"/>
          <w:i/>
          <w:sz w:val="22"/>
          <w:szCs w:val="22"/>
        </w:rPr>
        <w:t>quantifier</w:t>
      </w:r>
      <w:r>
        <w:rPr>
          <w:rFonts w:ascii="Arial" w:hAnsi="Arial" w:cs="Arial"/>
          <w:sz w:val="22"/>
          <w:szCs w:val="22"/>
        </w:rPr>
        <w:t xml:space="preserve">), </w:t>
      </w:r>
      <w:r>
        <w:rPr>
          <w:rFonts w:ascii="Arial" w:hAnsi="Arial" w:cs="Arial"/>
          <w:i/>
          <w:sz w:val="22"/>
          <w:szCs w:val="22"/>
        </w:rPr>
        <w:t>m/z</w:t>
      </w:r>
      <w:r>
        <w:rPr>
          <w:rFonts w:ascii="Arial" w:hAnsi="Arial" w:cs="Arial"/>
          <w:sz w:val="22"/>
          <w:szCs w:val="22"/>
        </w:rPr>
        <w:t xml:space="preserve"> 475.2 → 100.0 (FV: 220 V, CE: 28 eV), </w:t>
      </w:r>
      <w:r>
        <w:rPr>
          <w:rFonts w:ascii="Arial" w:hAnsi="Arial" w:cs="Arial"/>
          <w:i/>
          <w:sz w:val="22"/>
          <w:szCs w:val="22"/>
        </w:rPr>
        <w:t>m/z</w:t>
      </w:r>
      <w:r>
        <w:rPr>
          <w:rFonts w:ascii="Arial" w:hAnsi="Arial" w:cs="Arial"/>
          <w:sz w:val="22"/>
          <w:szCs w:val="22"/>
        </w:rPr>
        <w:t xml:space="preserve"> 475.2 → 283.1 (FV: 220 V, CE: 44 eV); d</w:t>
      </w:r>
      <w:r>
        <w:rPr>
          <w:rFonts w:ascii="Arial" w:hAnsi="Arial" w:cs="Arial"/>
          <w:sz w:val="22"/>
          <w:szCs w:val="22"/>
          <w:vertAlign w:val="subscript"/>
        </w:rPr>
        <w:t>3</w:t>
      </w:r>
      <w:r>
        <w:rPr>
          <w:rFonts w:ascii="Arial" w:hAnsi="Arial" w:cs="Arial"/>
          <w:sz w:val="22"/>
          <w:szCs w:val="22"/>
        </w:rPr>
        <w:t xml:space="preserve">-sildenafil: </w:t>
      </w:r>
      <w:r>
        <w:rPr>
          <w:rFonts w:ascii="Arial" w:hAnsi="Arial" w:cs="Arial"/>
          <w:i/>
          <w:sz w:val="22"/>
          <w:szCs w:val="22"/>
        </w:rPr>
        <w:t>m/z</w:t>
      </w:r>
      <w:r>
        <w:rPr>
          <w:rFonts w:ascii="Arial" w:hAnsi="Arial" w:cs="Arial"/>
          <w:sz w:val="22"/>
          <w:szCs w:val="22"/>
        </w:rPr>
        <w:t xml:space="preserve"> 478.2 → 60.9 (FV: 220 V, CE: 68 eV, </w:t>
      </w:r>
      <w:r>
        <w:rPr>
          <w:rFonts w:ascii="Arial" w:hAnsi="Arial" w:cs="Arial"/>
          <w:i/>
          <w:sz w:val="22"/>
          <w:szCs w:val="22"/>
        </w:rPr>
        <w:t>quantifier</w:t>
      </w:r>
      <w:r>
        <w:rPr>
          <w:rFonts w:ascii="Arial" w:hAnsi="Arial" w:cs="Arial"/>
          <w:sz w:val="22"/>
          <w:szCs w:val="22"/>
        </w:rPr>
        <w:t xml:space="preserve">), </w:t>
      </w:r>
      <w:r>
        <w:rPr>
          <w:rFonts w:ascii="Arial" w:hAnsi="Arial" w:cs="Arial"/>
          <w:i/>
          <w:sz w:val="22"/>
          <w:szCs w:val="22"/>
        </w:rPr>
        <w:t>m/z</w:t>
      </w:r>
      <w:r>
        <w:rPr>
          <w:rFonts w:ascii="Arial" w:hAnsi="Arial" w:cs="Arial"/>
          <w:sz w:val="22"/>
          <w:szCs w:val="22"/>
        </w:rPr>
        <w:t xml:space="preserve"> 478.2 → 103.0 (FV: 220 V, CE: 28 eV), </w:t>
      </w:r>
      <w:r>
        <w:rPr>
          <w:rFonts w:ascii="Arial" w:hAnsi="Arial" w:cs="Arial"/>
          <w:i/>
          <w:sz w:val="22"/>
          <w:szCs w:val="22"/>
        </w:rPr>
        <w:t>m/z</w:t>
      </w:r>
      <w:r>
        <w:rPr>
          <w:rFonts w:ascii="Arial" w:hAnsi="Arial" w:cs="Arial"/>
          <w:sz w:val="22"/>
          <w:szCs w:val="22"/>
        </w:rPr>
        <w:t xml:space="preserve"> 478.2 → 283.1 (FV: 220 V, CE: 44 eV). Peak areas were determined with MassHunter Software (Agilent Technologies) and sildenafil was directly quantified </w:t>
      </w:r>
      <w:r>
        <w:rPr>
          <w:rFonts w:ascii="Arial" w:hAnsi="Arial" w:cs="Arial"/>
          <w:i/>
          <w:sz w:val="22"/>
          <w:szCs w:val="22"/>
        </w:rPr>
        <w:t>via</w:t>
      </w:r>
      <w:r>
        <w:rPr>
          <w:rFonts w:ascii="Arial" w:hAnsi="Arial" w:cs="Arial"/>
          <w:sz w:val="22"/>
          <w:szCs w:val="22"/>
        </w:rPr>
        <w:t xml:space="preserve"> its internal standard d</w:t>
      </w:r>
      <w:r>
        <w:rPr>
          <w:rFonts w:ascii="Arial" w:hAnsi="Arial" w:cs="Arial"/>
          <w:sz w:val="22"/>
          <w:szCs w:val="22"/>
          <w:vertAlign w:val="subscript"/>
        </w:rPr>
        <w:t>3</w:t>
      </w:r>
      <w:r>
        <w:rPr>
          <w:rFonts w:ascii="Arial" w:hAnsi="Arial" w:cs="Arial"/>
          <w:sz w:val="22"/>
          <w:szCs w:val="22"/>
        </w:rPr>
        <w:t>-sildenafil that was concentrated to 8 nM in the samples.</w:t>
      </w:r>
    </w:p>
    <w:p w14:paraId="49D62E06" w14:textId="77777777" w:rsidR="00187C95" w:rsidRPr="00B626D5" w:rsidRDefault="00187C95" w:rsidP="00187C95">
      <w:pPr>
        <w:spacing w:after="0" w:line="300" w:lineRule="auto"/>
        <w:jc w:val="both"/>
        <w:rPr>
          <w:rFonts w:ascii="Arial" w:hAnsi="Arial" w:cs="Arial"/>
          <w:color w:val="2F5496" w:themeColor="accent5" w:themeShade="BF"/>
          <w:sz w:val="22"/>
          <w:szCs w:val="22"/>
        </w:rPr>
      </w:pPr>
    </w:p>
    <w:p w14:paraId="38B06A7B" w14:textId="77777777" w:rsidR="00187C95" w:rsidRPr="00B626D5" w:rsidRDefault="00187C95" w:rsidP="00187C95">
      <w:pPr>
        <w:spacing w:after="0" w:line="300" w:lineRule="auto"/>
        <w:jc w:val="both"/>
        <w:rPr>
          <w:rFonts w:ascii="Arial" w:hAnsi="Arial" w:cs="Arial"/>
          <w:b/>
          <w:color w:val="2F5496" w:themeColor="accent5" w:themeShade="BF"/>
          <w:sz w:val="22"/>
          <w:szCs w:val="22"/>
        </w:rPr>
      </w:pPr>
      <w:r w:rsidRPr="00B626D5">
        <w:rPr>
          <w:rFonts w:ascii="Arial" w:hAnsi="Arial" w:cs="Arial"/>
          <w:b/>
          <w:color w:val="2F5496" w:themeColor="accent5" w:themeShade="BF"/>
          <w:sz w:val="22"/>
          <w:szCs w:val="22"/>
        </w:rPr>
        <w:t>Genotyping and heteroplasmy quantification</w:t>
      </w:r>
    </w:p>
    <w:p w14:paraId="62F1C367" w14:textId="77777777" w:rsidR="00187C95" w:rsidRDefault="00187C95" w:rsidP="00187C95">
      <w:pPr>
        <w:spacing w:after="0" w:line="300" w:lineRule="auto"/>
        <w:jc w:val="both"/>
        <w:rPr>
          <w:rFonts w:ascii="Arial" w:hAnsi="Arial" w:cs="Arial"/>
          <w:sz w:val="22"/>
          <w:szCs w:val="22"/>
        </w:rPr>
      </w:pPr>
      <w:r>
        <w:rPr>
          <w:rFonts w:ascii="Arial" w:eastAsia="Times New Roman" w:hAnsi="Arial" w:cs="Arial"/>
          <w:color w:val="000000"/>
          <w:sz w:val="22"/>
          <w:szCs w:val="22"/>
        </w:rPr>
        <w:t>Heteroplasmy levels and mtDNA haplotypes in the whole exome sequencing (WES) datasets were determined using the software MToolBox v.1</w:t>
      </w:r>
      <w:r>
        <w:rPr>
          <w:rFonts w:ascii="Arial" w:eastAsia="Times New Roman" w:hAnsi="Arial" w:cs="Arial"/>
          <w:color w:val="000000"/>
          <w:sz w:val="22"/>
          <w:szCs w:val="22"/>
        </w:rPr>
        <w:fldChar w:fldCharType="begin">
          <w:fldData xml:space="preserve">PEVuZE5vdGU+PENpdGU+PEF1dGhvcj5QaWNhcmRpPC9BdXRob3I+PFllYXI+MjAxMjwvWWVhcj48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==
</w:fldData>
        </w:fldChar>
      </w:r>
      <w:r>
        <w:rPr>
          <w:rFonts w:ascii="Arial" w:eastAsia="Times New Roman" w:hAnsi="Arial" w:cs="Arial"/>
          <w:color w:val="000000"/>
          <w:sz w:val="22"/>
          <w:szCs w:val="22"/>
        </w:rPr>
        <w:instrText xml:space="preserve"> ADDIN EN.CITE </w:instrText>
      </w:r>
      <w:r>
        <w:rPr>
          <w:rFonts w:ascii="Arial" w:eastAsia="Times New Roman" w:hAnsi="Arial" w:cs="Arial"/>
          <w:color w:val="000000"/>
          <w:sz w:val="22"/>
          <w:szCs w:val="22"/>
        </w:rPr>
        <w:fldChar w:fldCharType="begin">
          <w:fldData xml:space="preserve">PEVuZE5vdGU+PENpdGU+PEF1dGhvcj5QaWNhcmRpPC9BdXRob3I+PFllYXI+MjAxMjwvWWVhcj48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==
</w:fldData>
        </w:fldChar>
      </w:r>
      <w:r>
        <w:rPr>
          <w:rFonts w:ascii="Arial" w:eastAsia="Times New Roman" w:hAnsi="Arial" w:cs="Arial"/>
          <w:color w:val="000000"/>
          <w:sz w:val="22"/>
          <w:szCs w:val="22"/>
        </w:rPr>
        <w:instrText xml:space="preserve"> ADDIN EN.CITE.DATA </w:instrText>
      </w:r>
      <w:r>
        <w:rPr>
          <w:rFonts w:ascii="Arial" w:eastAsia="Times New Roman" w:hAnsi="Arial" w:cs="Arial"/>
          <w:color w:val="000000"/>
          <w:sz w:val="22"/>
          <w:szCs w:val="22"/>
        </w:rPr>
      </w:r>
      <w:r>
        <w:rPr>
          <w:rFonts w:ascii="Arial" w:eastAsia="Times New Roman" w:hAnsi="Arial" w:cs="Arial"/>
          <w:color w:val="000000"/>
          <w:sz w:val="22"/>
          <w:szCs w:val="22"/>
        </w:rPr>
        <w:fldChar w:fldCharType="end"/>
      </w:r>
      <w:r>
        <w:rPr>
          <w:rFonts w:ascii="Arial" w:eastAsia="Times New Roman" w:hAnsi="Arial" w:cs="Arial"/>
          <w:color w:val="000000"/>
          <w:sz w:val="22"/>
          <w:szCs w:val="22"/>
        </w:rPr>
      </w:r>
      <w:r>
        <w:rPr>
          <w:rFonts w:ascii="Arial" w:eastAsia="Times New Roman" w:hAnsi="Arial" w:cs="Arial"/>
          <w:color w:val="000000"/>
          <w:sz w:val="22"/>
          <w:szCs w:val="22"/>
        </w:rPr>
        <w:fldChar w:fldCharType="separate"/>
      </w:r>
      <w:r>
        <w:rPr>
          <w:rFonts w:ascii="Arial" w:eastAsia="Times New Roman" w:hAnsi="Arial" w:cs="Arial"/>
          <w:color w:val="000000"/>
          <w:sz w:val="22"/>
          <w:szCs w:val="22"/>
          <w:vertAlign w:val="superscript"/>
        </w:rPr>
        <w:t>1,2</w:t>
      </w:r>
      <w:r>
        <w:rPr>
          <w:rFonts w:ascii="Arial" w:eastAsia="Times New Roman" w:hAnsi="Arial" w:cs="Arial"/>
          <w:color w:val="000000"/>
          <w:sz w:val="22"/>
          <w:szCs w:val="22"/>
        </w:rPr>
        <w:fldChar w:fldCharType="end"/>
      </w:r>
      <w:r>
        <w:rPr>
          <w:rFonts w:ascii="Arial" w:eastAsia="Times New Roman" w:hAnsi="Arial" w:cs="Arial"/>
          <w:color w:val="000000"/>
          <w:sz w:val="22"/>
          <w:szCs w:val="22"/>
        </w:rPr>
        <w:t xml:space="preserve"> Results were visualized in the IGV viewer v2.16</w:t>
      </w:r>
      <w:r>
        <w:rPr>
          <w:rFonts w:ascii="Arial" w:eastAsia="Times New Roman" w:hAnsi="Arial" w:cs="Arial"/>
          <w:color w:val="000000"/>
          <w:sz w:val="22"/>
          <w:szCs w:val="22"/>
        </w:rPr>
        <w:fldChar w:fldCharType="begin"/>
      </w:r>
      <w:r>
        <w:rPr>
          <w:rFonts w:ascii="Arial" w:eastAsia="Times New Roman" w:hAnsi="Arial" w:cs="Arial"/>
          <w:color w:val="000000"/>
          <w:sz w:val="22"/>
          <w:szCs w:val="22"/>
        </w:rPr>
        <w:instrText xml:space="preserve"> ADDIN EN.CITE &lt;EndNote&gt;&lt;Cite&gt;&lt;Author&gt;Robinson&lt;/Author&gt;&lt;Year&gt;2011&lt;/Year&gt;&lt;RecNum&gt;1235&lt;/RecNum&gt;&lt;DisplayText&gt;&lt;style face="superscript"&gt;3&lt;/style&gt;&lt;/DisplayText&gt;&lt;record&gt;&lt;rec-number&gt;1235&lt;/rec-number&gt;&lt;foreign-keys&gt;&lt;key app="EN" db-id="9rre0swecrswetepfz85tawyetvfdeffe0xx" timestamp="1726733320"&gt;1235&lt;/key&gt;&lt;/foreign-keys&gt;&lt;ref-type name="Journal Article"&gt;17&lt;/ref-type&gt;&lt;contributors&gt;&lt;authors&gt;&lt;author&gt;Robinson, J. T.&lt;/author&gt;&lt;author&gt;Thorvaldsdottir, H.&lt;/author&gt;&lt;author&gt;Winckler, W.&lt;/author&gt;&lt;author&gt;Guttman, M.&lt;/author&gt;&lt;author&gt;Lander, E. S.&lt;/author&gt;&lt;author&gt;Getz, G.&lt;/author&gt;&lt;author&gt;Mesirov, J. P.&lt;/author&gt;&lt;/authors&gt;&lt;/contributors&gt;&lt;titles&gt;&lt;title&gt;Integrative genomics viewer&lt;/title&gt;&lt;secondary-title&gt;Nat Biotechnol&lt;/secondary-title&gt;&lt;/titles&gt;&lt;periodical&gt;&lt;full-title&gt;Nat Biotechnol&lt;/full-title&gt;&lt;/periodical&gt;&lt;pages&gt;24-6&lt;/pages&gt;&lt;volume&gt;29&lt;/volume&gt;&lt;number&gt;1&lt;/number&gt;&lt;keywords&gt;&lt;keyword&gt;Chromosome Mapping/methods&lt;/keyword&gt;&lt;keyword&gt;Computational Biology/methods&lt;/keyword&gt;&lt;keyword&gt;*Computer Graphics&lt;/keyword&gt;&lt;keyword&gt;Gene Dosage&lt;/keyword&gt;&lt;keyword&gt;Gene Expression Profiling&lt;/keyword&gt;&lt;keyword&gt;Genomics/*methods&lt;/keyword&gt;&lt;keyword&gt;Glioblastoma/genetics&lt;/keyword&gt;&lt;keyword&gt;Humans&lt;/keyword&gt;&lt;keyword&gt;Information Storage and Retrieval/methods&lt;/keyword&gt;&lt;keyword&gt;Internet&lt;/keyword&gt;&lt;keyword&gt;Neoplasms/genetics&lt;/keyword&gt;&lt;keyword&gt;Oligonucleotide Array Sequence Analysis&lt;/keyword&gt;&lt;keyword&gt;*Online Systems&lt;/keyword&gt;&lt;keyword&gt;Polymorphism, Single Nucleotide&lt;/keyword&gt;&lt;keyword&gt;*Software&lt;/keyword&gt;&lt;/keywords&gt;&lt;dates&gt;&lt;year&gt;2011&lt;/year&gt;&lt;pub-dates&gt;&lt;date&gt;Jan&lt;/date&gt;&lt;/pub-dates&gt;&lt;/dates&gt;&lt;isbn&gt;1546-1696 (Electronic)&amp;#xD;1087-0156 (Print)&amp;#xD;1087-0156 (Linking)&lt;/isbn&gt;&lt;accession-num&gt;21221095&lt;/accession-num&gt;&lt;urls&gt;&lt;related-urls&gt;&lt;url&gt;https://www.ncbi.nlm.nih.gov/pubmed/21221095&lt;/url&gt;&lt;/related-urls&gt;&lt;/urls&gt;&lt;custom2&gt;PMC3346182&lt;/custom2&gt;&lt;electronic-resource-num&gt;10.1038/nbt.1754&lt;/electronic-resource-num&gt;&lt;remote-database-name&gt;Medline&lt;/remote-database-name&gt;&lt;remote-database-provider&gt;NLM&lt;/remote-database-provider&gt;&lt;/record&gt;&lt;/Cite&gt;&lt;/EndNote&gt;</w:instrText>
      </w:r>
      <w:r>
        <w:rPr>
          <w:rFonts w:ascii="Arial" w:eastAsia="Times New Roman" w:hAnsi="Arial" w:cs="Arial"/>
          <w:color w:val="000000"/>
          <w:sz w:val="22"/>
          <w:szCs w:val="22"/>
        </w:rPr>
        <w:fldChar w:fldCharType="separate"/>
      </w:r>
      <w:r>
        <w:rPr>
          <w:rFonts w:ascii="Arial" w:eastAsia="Times New Roman" w:hAnsi="Arial" w:cs="Arial"/>
          <w:color w:val="000000"/>
          <w:sz w:val="22"/>
          <w:szCs w:val="22"/>
          <w:vertAlign w:val="superscript"/>
        </w:rPr>
        <w:t>3</w:t>
      </w:r>
      <w:r>
        <w:rPr>
          <w:rFonts w:ascii="Arial" w:eastAsia="Times New Roman" w:hAnsi="Arial" w:cs="Arial"/>
          <w:color w:val="000000"/>
          <w:sz w:val="22"/>
          <w:szCs w:val="22"/>
        </w:rPr>
        <w:fldChar w:fldCharType="end"/>
      </w:r>
      <w:r>
        <w:rPr>
          <w:rFonts w:ascii="Arial" w:eastAsia="Times New Roman" w:hAnsi="Arial" w:cs="Arial"/>
          <w:color w:val="000000"/>
          <w:sz w:val="22"/>
          <w:szCs w:val="22"/>
        </w:rPr>
        <w:t xml:space="preserve"> </w:t>
      </w:r>
      <w:r w:rsidRPr="00BA1797">
        <w:rPr>
          <w:rFonts w:ascii="Arial" w:eastAsia="Times New Roman" w:hAnsi="Arial" w:cs="Arial"/>
          <w:b/>
          <w:bCs/>
          <w:color w:val="000000"/>
          <w:sz w:val="22"/>
          <w:szCs w:val="22"/>
        </w:rPr>
        <w:t xml:space="preserve">(Figure </w:t>
      </w:r>
      <w:r w:rsidRPr="00BA1797">
        <w:rPr>
          <w:rFonts w:ascii="Arial" w:eastAsia="Times New Roman" w:hAnsi="Arial" w:cs="Arial"/>
          <w:b/>
          <w:bCs/>
          <w:sz w:val="22"/>
          <w:szCs w:val="22"/>
        </w:rPr>
        <w:t>S10</w:t>
      </w:r>
      <w:r w:rsidRPr="00BA1797">
        <w:rPr>
          <w:rFonts w:ascii="Arial" w:eastAsia="Times New Roman" w:hAnsi="Arial" w:cs="Arial"/>
          <w:b/>
          <w:bCs/>
          <w:color w:val="000000"/>
          <w:sz w:val="22"/>
          <w:szCs w:val="22"/>
        </w:rPr>
        <w:t>)</w:t>
      </w:r>
      <w:r w:rsidRPr="00187C95">
        <w:rPr>
          <w:rFonts w:ascii="Arial" w:eastAsia="Times New Roman" w:hAnsi="Arial" w:cs="Arial"/>
          <w:color w:val="000000"/>
          <w:sz w:val="22"/>
          <w:szCs w:val="22"/>
        </w:rPr>
        <w:t>.</w:t>
      </w:r>
      <w:r>
        <w:rPr>
          <w:rFonts w:ascii="Arial" w:eastAsia="Times New Roman" w:hAnsi="Arial" w:cs="Arial"/>
          <w:color w:val="000000"/>
          <w:sz w:val="22"/>
          <w:szCs w:val="22"/>
        </w:rPr>
        <w:t xml:space="preserve"> </w:t>
      </w:r>
      <w:r>
        <w:rPr>
          <w:rFonts w:ascii="Arial" w:hAnsi="Arial" w:cs="Arial"/>
          <w:sz w:val="22"/>
          <w:szCs w:val="22"/>
        </w:rPr>
        <w:t xml:space="preserve">Heteroplasmy levels of the </w:t>
      </w:r>
      <w:r>
        <w:rPr>
          <w:rFonts w:ascii="Arial" w:hAnsi="Arial" w:cs="Arial"/>
          <w:i/>
          <w:iCs/>
          <w:sz w:val="22"/>
          <w:szCs w:val="22"/>
        </w:rPr>
        <w:t>MT-ATP6</w:t>
      </w:r>
      <w:r>
        <w:rPr>
          <w:rFonts w:ascii="Arial" w:hAnsi="Arial" w:cs="Arial"/>
          <w:sz w:val="22"/>
          <w:szCs w:val="22"/>
        </w:rPr>
        <w:t xml:space="preserve"> mutations in fibroblasts, iPSCs, and NPCs were determined using polymerase chain reaction-restriction fragment length polymorphism (PCR-RFLP) analysis, as described before.</w:t>
      </w:r>
      <w:r>
        <w:rPr>
          <w:rFonts w:ascii="Arial" w:hAnsi="Arial" w:cs="Arial"/>
          <w:sz w:val="22"/>
          <w:szCs w:val="22"/>
        </w:rPr>
        <w:fldChar w:fldCharType="begin">
          <w:fldData xml:space="preserve">PEVuZE5vdGU+PENpdGU+PEF1dGhvcj5Mb3Jlbno8L0F1dGhvcj48WWVhcj4yMDE3PC9ZZWFyPjxS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</w:fldData>
        </w:fldChar>
      </w:r>
      <w:r>
        <w:rPr>
          <w:rFonts w:ascii="Arial" w:hAnsi="Arial" w:cs="Arial"/>
          <w:sz w:val="22"/>
          <w:szCs w:val="22"/>
        </w:rPr>
        <w:instrText xml:space="preserve"> ADDIN EN.CITE </w:instrText>
      </w:r>
      <w:r>
        <w:rPr>
          <w:rFonts w:ascii="Arial" w:hAnsi="Arial" w:cs="Arial"/>
          <w:sz w:val="22"/>
          <w:szCs w:val="22"/>
        </w:rPr>
        <w:fldChar w:fldCharType="begin">
          <w:fldData xml:space="preserve">PEVuZE5vdGU+PENpdGU+PEF1dGhvcj5Mb3Jlbno8L0F1dGhvcj48WWVhcj4yMDE3PC9ZZWFyPjxS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</w:fldData>
        </w:fldChar>
      </w:r>
      <w:r>
        <w:rPr>
          <w:rFonts w:ascii="Arial" w:hAnsi="Arial" w:cs="Arial"/>
          <w:sz w:val="22"/>
          <w:szCs w:val="22"/>
        </w:rPr>
        <w:instrText xml:space="preserve"> ADDIN EN.CITE.DATA </w:instrText>
      </w:r>
      <w:r>
        <w:rPr>
          <w:rFonts w:ascii="Arial" w:hAnsi="Arial" w:cs="Arial"/>
          <w:sz w:val="22"/>
          <w:szCs w:val="22"/>
        </w:rPr>
      </w:r>
      <w:r>
        <w:rPr>
          <w:rFonts w:ascii="Arial" w:hAnsi="Arial" w:cs="Arial"/>
          <w:sz w:val="22"/>
          <w:szCs w:val="22"/>
        </w:rPr>
        <w:fldChar w:fldCharType="end"/>
      </w:r>
      <w:r>
        <w:rPr>
          <w:rFonts w:ascii="Arial" w:hAnsi="Arial" w:cs="Arial"/>
          <w:sz w:val="22"/>
          <w:szCs w:val="22"/>
        </w:rPr>
      </w:r>
      <w:r>
        <w:rPr>
          <w:rFonts w:ascii="Arial" w:hAnsi="Arial" w:cs="Arial"/>
          <w:sz w:val="22"/>
          <w:szCs w:val="22"/>
        </w:rPr>
        <w:fldChar w:fldCharType="separate"/>
      </w:r>
      <w:r>
        <w:rPr>
          <w:rFonts w:ascii="Arial" w:hAnsi="Arial" w:cs="Arial"/>
          <w:sz w:val="22"/>
          <w:szCs w:val="22"/>
          <w:vertAlign w:val="superscript"/>
        </w:rPr>
        <w:t>4</w:t>
      </w:r>
      <w:r>
        <w:rPr>
          <w:rFonts w:ascii="Arial" w:hAnsi="Arial" w:cs="Arial"/>
          <w:sz w:val="22"/>
          <w:szCs w:val="22"/>
        </w:rPr>
        <w:fldChar w:fldCharType="end"/>
      </w:r>
      <w:r>
        <w:rPr>
          <w:rFonts w:ascii="Arial" w:hAnsi="Arial" w:cs="Arial"/>
          <w:sz w:val="22"/>
          <w:szCs w:val="22"/>
        </w:rPr>
        <w:t xml:space="preserve"> Genomic DNA was isolated using the Nucleo-Spin Tissue kit (Macherey-Nagel). We used restriction enzyme StuI (NEB, R0187, 10,000 units/ml) for the m.9185T&gt;C mutation (wild-type: 24+90 pb, mutation: 114 pb), HpaII (NEB, R0171, 10,000 units/ml) for m.8993T&gt;C and m.8993T&gt;G (wild type: 25+155 bp; mutant: 180 bp), XbaI (NEB, R0145, 10,000 units/ml) for m.9176 T&gt;G (wild type: 24+155 bp, mutant: 179 bp). The percentage of cleaved versus uncleaved fragments was determined by capillary electrophoresis and laser detection of the FAM-labelled RFLP-fragments using the 3,500 Series Genetic Analyzer (Applied Biosystems, RRID:SCR_021901) and normalized to a standard curve of known degrees of heteroplasmy.</w:t>
      </w:r>
    </w:p>
    <w:p w14:paraId="6FE234A3" w14:textId="77777777" w:rsidR="00187C95" w:rsidRDefault="00187C95" w:rsidP="00187C95">
      <w:pPr>
        <w:spacing w:after="0" w:line="300" w:lineRule="auto"/>
        <w:jc w:val="both"/>
        <w:rPr>
          <w:rFonts w:ascii="Arial" w:eastAsia="Times New Roman" w:hAnsi="Arial" w:cs="Arial"/>
          <w:color w:val="000000"/>
          <w:sz w:val="22"/>
          <w:szCs w:val="22"/>
        </w:rPr>
      </w:pPr>
    </w:p>
    <w:p w14:paraId="540A3279" w14:textId="77777777" w:rsidR="00187C95" w:rsidRPr="00B626D5" w:rsidRDefault="00187C95" w:rsidP="00187C95">
      <w:pPr>
        <w:spacing w:after="0" w:line="300" w:lineRule="auto"/>
        <w:jc w:val="both"/>
        <w:rPr>
          <w:rFonts w:ascii="Arial" w:hAnsi="Arial" w:cs="Arial"/>
          <w:b/>
          <w:bCs/>
          <w:color w:val="2F5496" w:themeColor="accent5" w:themeShade="BF"/>
          <w:sz w:val="22"/>
          <w:szCs w:val="22"/>
        </w:rPr>
      </w:pPr>
      <w:bookmarkStart w:id="0" w:name="_Hlk193726672"/>
      <w:r w:rsidRPr="00B626D5">
        <w:rPr>
          <w:rFonts w:ascii="Arial" w:hAnsi="Arial" w:cs="Arial"/>
          <w:b/>
          <w:bCs/>
          <w:color w:val="2F5496" w:themeColor="accent5" w:themeShade="BF"/>
          <w:sz w:val="22"/>
          <w:szCs w:val="22"/>
        </w:rPr>
        <w:t>Cranial magnetic resonance imaging (cMRI)</w:t>
      </w:r>
    </w:p>
    <w:p w14:paraId="263F1D1B" w14:textId="505E0979" w:rsidR="00187C95" w:rsidRPr="00C519B7" w:rsidRDefault="00187C95" w:rsidP="00187C95">
      <w:pPr>
        <w:spacing w:after="0" w:line="300" w:lineRule="auto"/>
        <w:jc w:val="both"/>
        <w:rPr>
          <w:rFonts w:ascii="Arial" w:hAnsi="Arial" w:cs="Arial"/>
          <w:sz w:val="22"/>
          <w:szCs w:val="22"/>
        </w:rPr>
      </w:pPr>
      <w:r>
        <w:rPr>
          <w:rFonts w:ascii="Arial" w:hAnsi="Arial" w:cs="Arial"/>
          <w:sz w:val="22"/>
          <w:szCs w:val="22"/>
        </w:rPr>
        <w:t xml:space="preserve">cMRI was performed for the six patients with LS carrying </w:t>
      </w:r>
      <w:r>
        <w:rPr>
          <w:rFonts w:ascii="Arial" w:hAnsi="Arial" w:cs="Arial"/>
          <w:i/>
          <w:iCs/>
          <w:sz w:val="22"/>
          <w:szCs w:val="22"/>
        </w:rPr>
        <w:t>MT-ATP6</w:t>
      </w:r>
      <w:r>
        <w:rPr>
          <w:rFonts w:ascii="Arial" w:hAnsi="Arial" w:cs="Arial"/>
          <w:sz w:val="22"/>
          <w:szCs w:val="22"/>
        </w:rPr>
        <w:t>. For Patient 1, imaging showed areas of increased T</w:t>
      </w:r>
      <w:r>
        <w:rPr>
          <w:rFonts w:ascii="Arial" w:hAnsi="Arial" w:cs="Arial"/>
          <w:sz w:val="22"/>
          <w:szCs w:val="22"/>
          <w:vertAlign w:val="subscript"/>
        </w:rPr>
        <w:t>2</w:t>
      </w:r>
      <w:r>
        <w:rPr>
          <w:rFonts w:ascii="Arial" w:hAnsi="Arial" w:cs="Arial"/>
          <w:sz w:val="22"/>
          <w:szCs w:val="22"/>
        </w:rPr>
        <w:t xml:space="preserve">-signal intensity in the </w:t>
      </w:r>
      <w:r>
        <w:rPr>
          <w:rFonts w:ascii="Arial" w:hAnsi="Arial" w:cs="Arial"/>
          <w:i/>
          <w:iCs/>
          <w:sz w:val="22"/>
          <w:szCs w:val="22"/>
        </w:rPr>
        <w:t>Putamen</w:t>
      </w:r>
      <w:r>
        <w:rPr>
          <w:rFonts w:ascii="Arial" w:hAnsi="Arial" w:cs="Arial"/>
          <w:sz w:val="22"/>
          <w:szCs w:val="22"/>
        </w:rPr>
        <w:t xml:space="preserve"> and </w:t>
      </w:r>
      <w:r>
        <w:rPr>
          <w:rFonts w:ascii="Arial" w:hAnsi="Arial" w:cs="Arial"/>
          <w:i/>
          <w:iCs/>
          <w:sz w:val="22"/>
          <w:szCs w:val="22"/>
        </w:rPr>
        <w:t>Nucleus caudatus</w:t>
      </w:r>
      <w:r>
        <w:rPr>
          <w:rFonts w:ascii="Arial" w:hAnsi="Arial" w:cs="Arial"/>
          <w:sz w:val="22"/>
          <w:szCs w:val="22"/>
        </w:rPr>
        <w:t xml:space="preserve"> on both sides </w:t>
      </w:r>
      <w:r w:rsidRPr="00BA1797">
        <w:rPr>
          <w:rFonts w:ascii="Arial" w:hAnsi="Arial" w:cs="Arial"/>
          <w:b/>
          <w:bCs/>
          <w:sz w:val="22"/>
          <w:szCs w:val="22"/>
        </w:rPr>
        <w:t>(Figure 5</w:t>
      </w:r>
      <w:r w:rsidR="00940319">
        <w:rPr>
          <w:rFonts w:ascii="Arial" w:hAnsi="Arial" w:cs="Arial"/>
          <w:b/>
          <w:bCs/>
          <w:sz w:val="22"/>
          <w:szCs w:val="22"/>
        </w:rPr>
        <w:t>g</w:t>
      </w:r>
      <w:r w:rsidR="00924717">
        <w:rPr>
          <w:rFonts w:ascii="Arial" w:hAnsi="Arial" w:cs="Arial"/>
          <w:b/>
          <w:bCs/>
          <w:sz w:val="22"/>
          <w:szCs w:val="22"/>
        </w:rPr>
        <w:t>)</w:t>
      </w:r>
      <w:r>
        <w:rPr>
          <w:rFonts w:ascii="Arial" w:hAnsi="Arial" w:cs="Arial"/>
          <w:sz w:val="22"/>
          <w:szCs w:val="22"/>
        </w:rPr>
        <w:t xml:space="preserve"> and at the perisylvian gray matter </w:t>
      </w:r>
      <w:r w:rsidRPr="00BA1797">
        <w:rPr>
          <w:rFonts w:ascii="Arial" w:hAnsi="Arial" w:cs="Arial"/>
          <w:b/>
          <w:bCs/>
          <w:sz w:val="22"/>
          <w:szCs w:val="22"/>
        </w:rPr>
        <w:t>(Figure S9</w:t>
      </w:r>
      <w:r w:rsidR="00940319">
        <w:rPr>
          <w:rFonts w:ascii="Arial" w:hAnsi="Arial" w:cs="Arial"/>
          <w:b/>
          <w:bCs/>
          <w:sz w:val="22"/>
          <w:szCs w:val="22"/>
        </w:rPr>
        <w:t>h</w:t>
      </w:r>
      <w:r w:rsidRPr="00BA1797">
        <w:rPr>
          <w:rFonts w:ascii="Arial" w:hAnsi="Arial" w:cs="Arial"/>
          <w:b/>
          <w:bCs/>
          <w:sz w:val="22"/>
          <w:szCs w:val="22"/>
        </w:rPr>
        <w:t>)</w:t>
      </w:r>
      <w:r>
        <w:rPr>
          <w:rFonts w:ascii="Arial" w:hAnsi="Arial" w:cs="Arial"/>
          <w:sz w:val="22"/>
          <w:szCs w:val="22"/>
        </w:rPr>
        <w:t xml:space="preserve">. For patient 2, imaging </w:t>
      </w:r>
      <w:r w:rsidR="00DF3257">
        <w:rPr>
          <w:rFonts w:ascii="Arial" w:hAnsi="Arial" w:cs="Arial"/>
          <w:sz w:val="22"/>
          <w:szCs w:val="22"/>
        </w:rPr>
        <w:t xml:space="preserve">showed </w:t>
      </w:r>
      <w:r>
        <w:rPr>
          <w:rFonts w:ascii="Arial" w:hAnsi="Arial" w:cs="Arial"/>
          <w:sz w:val="22"/>
          <w:szCs w:val="22"/>
        </w:rPr>
        <w:t xml:space="preserve">lesional areas in the </w:t>
      </w:r>
      <w:r>
        <w:rPr>
          <w:rFonts w:ascii="Arial" w:hAnsi="Arial" w:cs="Arial"/>
          <w:i/>
          <w:iCs/>
          <w:sz w:val="22"/>
          <w:szCs w:val="22"/>
        </w:rPr>
        <w:t>Putamen</w:t>
      </w:r>
      <w:r>
        <w:rPr>
          <w:rFonts w:ascii="Arial" w:hAnsi="Arial" w:cs="Arial"/>
          <w:sz w:val="22"/>
          <w:szCs w:val="22"/>
        </w:rPr>
        <w:t xml:space="preserve"> and </w:t>
      </w:r>
      <w:r>
        <w:rPr>
          <w:rFonts w:ascii="Arial" w:hAnsi="Arial" w:cs="Arial"/>
          <w:i/>
          <w:iCs/>
          <w:sz w:val="22"/>
          <w:szCs w:val="22"/>
        </w:rPr>
        <w:t>Nucleus caudatus</w:t>
      </w:r>
      <w:r>
        <w:rPr>
          <w:rFonts w:ascii="Arial" w:hAnsi="Arial" w:cs="Arial"/>
          <w:sz w:val="22"/>
          <w:szCs w:val="22"/>
        </w:rPr>
        <w:t xml:space="preserve"> in both T</w:t>
      </w:r>
      <w:r>
        <w:rPr>
          <w:rFonts w:ascii="Arial" w:hAnsi="Arial" w:cs="Arial"/>
          <w:sz w:val="22"/>
          <w:szCs w:val="22"/>
          <w:vertAlign w:val="subscript"/>
        </w:rPr>
        <w:t>2</w:t>
      </w:r>
      <w:r>
        <w:rPr>
          <w:rFonts w:ascii="Arial" w:hAnsi="Arial" w:cs="Arial"/>
          <w:sz w:val="22"/>
          <w:szCs w:val="22"/>
        </w:rPr>
        <w:t xml:space="preserve">-weighted images </w:t>
      </w:r>
      <w:r w:rsidRPr="00BA1797">
        <w:rPr>
          <w:rFonts w:ascii="Arial" w:hAnsi="Arial" w:cs="Arial"/>
          <w:b/>
          <w:bCs/>
          <w:sz w:val="22"/>
          <w:szCs w:val="22"/>
        </w:rPr>
        <w:t>(Figure 5</w:t>
      </w:r>
      <w:r w:rsidR="00940319">
        <w:rPr>
          <w:rFonts w:ascii="Arial" w:hAnsi="Arial" w:cs="Arial"/>
          <w:b/>
          <w:bCs/>
          <w:sz w:val="22"/>
          <w:szCs w:val="22"/>
        </w:rPr>
        <w:t>g</w:t>
      </w:r>
      <w:r w:rsidRPr="00BA1797">
        <w:rPr>
          <w:rFonts w:ascii="Arial" w:hAnsi="Arial" w:cs="Arial"/>
          <w:b/>
          <w:bCs/>
          <w:sz w:val="22"/>
          <w:szCs w:val="22"/>
        </w:rPr>
        <w:t>)</w:t>
      </w:r>
      <w:r>
        <w:rPr>
          <w:rFonts w:ascii="Arial" w:hAnsi="Arial" w:cs="Arial"/>
          <w:sz w:val="22"/>
          <w:szCs w:val="22"/>
        </w:rPr>
        <w:t xml:space="preserve"> and </w:t>
      </w:r>
      <w:r w:rsidRPr="00C519B7">
        <w:rPr>
          <w:rFonts w:ascii="Arial" w:hAnsi="Arial" w:cs="Arial"/>
          <w:sz w:val="22"/>
          <w:szCs w:val="22"/>
        </w:rPr>
        <w:t>Fluid Attenuated Inversion Recovery</w:t>
      </w:r>
      <w:r>
        <w:rPr>
          <w:rFonts w:ascii="Arial" w:hAnsi="Arial" w:cs="Arial"/>
          <w:sz w:val="22"/>
          <w:szCs w:val="22"/>
        </w:rPr>
        <w:t xml:space="preserve"> (FLAIR) images </w:t>
      </w:r>
      <w:r w:rsidRPr="00BA1797">
        <w:rPr>
          <w:rFonts w:ascii="Arial" w:hAnsi="Arial" w:cs="Arial"/>
          <w:b/>
          <w:bCs/>
          <w:sz w:val="22"/>
          <w:szCs w:val="22"/>
        </w:rPr>
        <w:t>(Figure S9</w:t>
      </w:r>
      <w:r w:rsidR="00940319">
        <w:rPr>
          <w:rFonts w:ascii="Arial" w:hAnsi="Arial" w:cs="Arial"/>
          <w:b/>
          <w:bCs/>
          <w:sz w:val="22"/>
          <w:szCs w:val="22"/>
        </w:rPr>
        <w:t>h</w:t>
      </w:r>
      <w:r w:rsidRPr="00BA1797">
        <w:rPr>
          <w:rFonts w:ascii="Arial" w:hAnsi="Arial" w:cs="Arial"/>
          <w:b/>
          <w:bCs/>
          <w:sz w:val="22"/>
          <w:szCs w:val="22"/>
        </w:rPr>
        <w:t>)</w:t>
      </w:r>
      <w:r>
        <w:rPr>
          <w:rFonts w:ascii="Arial" w:hAnsi="Arial" w:cs="Arial"/>
          <w:sz w:val="22"/>
          <w:szCs w:val="22"/>
        </w:rPr>
        <w:t xml:space="preserve">. For patient 3, imaging was carried out </w:t>
      </w:r>
      <w:r w:rsidR="00DF3257">
        <w:rPr>
          <w:rFonts w:ascii="Arial" w:hAnsi="Arial" w:cs="Arial"/>
          <w:sz w:val="22"/>
          <w:szCs w:val="22"/>
        </w:rPr>
        <w:t>in early childhood</w:t>
      </w:r>
      <w:r>
        <w:rPr>
          <w:rFonts w:ascii="Arial" w:hAnsi="Arial" w:cs="Arial"/>
          <w:sz w:val="22"/>
          <w:szCs w:val="22"/>
        </w:rPr>
        <w:t xml:space="preserve"> </w:t>
      </w:r>
      <w:r w:rsidRPr="00BA1797">
        <w:rPr>
          <w:rFonts w:ascii="Arial" w:hAnsi="Arial" w:cs="Arial"/>
          <w:b/>
          <w:bCs/>
          <w:sz w:val="22"/>
          <w:szCs w:val="22"/>
        </w:rPr>
        <w:t>(Figure 5</w:t>
      </w:r>
      <w:r w:rsidR="00940319">
        <w:rPr>
          <w:rFonts w:ascii="Arial" w:hAnsi="Arial" w:cs="Arial"/>
          <w:b/>
          <w:bCs/>
          <w:sz w:val="22"/>
          <w:szCs w:val="22"/>
        </w:rPr>
        <w:t>g</w:t>
      </w:r>
      <w:r w:rsidRPr="00BA1797">
        <w:rPr>
          <w:rFonts w:ascii="Arial" w:hAnsi="Arial" w:cs="Arial"/>
          <w:b/>
          <w:bCs/>
          <w:sz w:val="22"/>
          <w:szCs w:val="22"/>
        </w:rPr>
        <w:t>)</w:t>
      </w:r>
      <w:r>
        <w:rPr>
          <w:rFonts w:ascii="Arial" w:hAnsi="Arial" w:cs="Arial"/>
          <w:b/>
          <w:bCs/>
          <w:sz w:val="22"/>
          <w:szCs w:val="22"/>
        </w:rPr>
        <w:t xml:space="preserve"> </w:t>
      </w:r>
      <w:r>
        <w:rPr>
          <w:rFonts w:ascii="Arial" w:hAnsi="Arial" w:cs="Arial"/>
          <w:sz w:val="22"/>
          <w:szCs w:val="22"/>
        </w:rPr>
        <w:t>and</w:t>
      </w:r>
      <w:r>
        <w:rPr>
          <w:rFonts w:ascii="Arial" w:hAnsi="Arial" w:cs="Arial"/>
          <w:b/>
          <w:bCs/>
          <w:sz w:val="22"/>
          <w:szCs w:val="22"/>
        </w:rPr>
        <w:t xml:space="preserve"> </w:t>
      </w:r>
      <w:r w:rsidR="00DF3257">
        <w:rPr>
          <w:rFonts w:ascii="Arial" w:hAnsi="Arial" w:cs="Arial"/>
          <w:sz w:val="22"/>
          <w:szCs w:val="22"/>
        </w:rPr>
        <w:t>adolescence</w:t>
      </w:r>
      <w:r>
        <w:rPr>
          <w:rFonts w:ascii="Arial" w:hAnsi="Arial" w:cs="Arial"/>
          <w:sz w:val="22"/>
          <w:szCs w:val="22"/>
        </w:rPr>
        <w:t> </w:t>
      </w:r>
      <w:r w:rsidRPr="00BA1797">
        <w:rPr>
          <w:rFonts w:ascii="Arial" w:hAnsi="Arial" w:cs="Arial"/>
          <w:b/>
          <w:bCs/>
          <w:sz w:val="22"/>
          <w:szCs w:val="22"/>
        </w:rPr>
        <w:t>(Figure S9</w:t>
      </w:r>
      <w:r w:rsidR="00940319">
        <w:rPr>
          <w:rFonts w:ascii="Arial" w:hAnsi="Arial" w:cs="Arial"/>
          <w:b/>
          <w:bCs/>
          <w:sz w:val="22"/>
          <w:szCs w:val="22"/>
        </w:rPr>
        <w:t>h</w:t>
      </w:r>
      <w:r w:rsidRPr="00BA1797">
        <w:rPr>
          <w:rFonts w:ascii="Arial" w:hAnsi="Arial" w:cs="Arial"/>
          <w:b/>
          <w:bCs/>
          <w:sz w:val="22"/>
          <w:szCs w:val="22"/>
        </w:rPr>
        <w:t>)</w:t>
      </w:r>
      <w:r>
        <w:rPr>
          <w:rFonts w:ascii="Arial" w:hAnsi="Arial" w:cs="Arial"/>
          <w:sz w:val="22"/>
          <w:szCs w:val="22"/>
        </w:rPr>
        <w:t>. Areas with increased T</w:t>
      </w:r>
      <w:r>
        <w:rPr>
          <w:rFonts w:ascii="Arial" w:hAnsi="Arial" w:cs="Arial"/>
          <w:sz w:val="22"/>
          <w:szCs w:val="22"/>
          <w:vertAlign w:val="subscript"/>
        </w:rPr>
        <w:t>2</w:t>
      </w:r>
      <w:r w:rsidR="00DF3257">
        <w:rPr>
          <w:rFonts w:ascii="Arial" w:hAnsi="Arial" w:cs="Arial"/>
          <w:sz w:val="22"/>
          <w:szCs w:val="22"/>
        </w:rPr>
        <w:t xml:space="preserve">-signal intensity in early childhood </w:t>
      </w:r>
      <w:r>
        <w:rPr>
          <w:rFonts w:ascii="Arial" w:hAnsi="Arial" w:cs="Arial"/>
          <w:sz w:val="22"/>
          <w:szCs w:val="22"/>
        </w:rPr>
        <w:t>(lef</w:t>
      </w:r>
      <w:r w:rsidR="00DF3257">
        <w:rPr>
          <w:rFonts w:ascii="Arial" w:hAnsi="Arial" w:cs="Arial"/>
          <w:sz w:val="22"/>
          <w:szCs w:val="22"/>
        </w:rPr>
        <w:t>t) had spontaneously resolved in adolescence</w:t>
      </w:r>
      <w:r>
        <w:rPr>
          <w:rFonts w:ascii="Arial" w:hAnsi="Arial" w:cs="Arial"/>
          <w:sz w:val="22"/>
          <w:szCs w:val="22"/>
        </w:rPr>
        <w:t xml:space="preserve">. In patient 4, FLAIR imaging </w:t>
      </w:r>
      <w:r w:rsidR="00DF3257">
        <w:rPr>
          <w:rFonts w:ascii="Arial" w:hAnsi="Arial" w:cs="Arial"/>
          <w:sz w:val="22"/>
          <w:szCs w:val="22"/>
        </w:rPr>
        <w:t>showed</w:t>
      </w:r>
      <w:r>
        <w:rPr>
          <w:rFonts w:ascii="Arial" w:hAnsi="Arial" w:cs="Arial"/>
          <w:sz w:val="22"/>
          <w:szCs w:val="22"/>
        </w:rPr>
        <w:t xml:space="preserve"> areas of increased signal </w:t>
      </w:r>
      <w:r>
        <w:rPr>
          <w:rFonts w:ascii="Arial" w:hAnsi="Arial" w:cs="Arial"/>
          <w:sz w:val="22"/>
          <w:szCs w:val="22"/>
        </w:rPr>
        <w:lastRenderedPageBreak/>
        <w:t xml:space="preserve">intensity at the </w:t>
      </w:r>
      <w:r>
        <w:rPr>
          <w:rFonts w:ascii="Arial" w:hAnsi="Arial" w:cs="Arial"/>
          <w:i/>
          <w:iCs/>
          <w:sz w:val="22"/>
          <w:szCs w:val="22"/>
        </w:rPr>
        <w:t>Nuclei caudati</w:t>
      </w:r>
      <w:r>
        <w:rPr>
          <w:rFonts w:ascii="Arial" w:hAnsi="Arial" w:cs="Arial"/>
          <w:sz w:val="22"/>
          <w:szCs w:val="22"/>
        </w:rPr>
        <w:t xml:space="preserve"> on both sides </w:t>
      </w:r>
      <w:r w:rsidRPr="00BA1797">
        <w:rPr>
          <w:rFonts w:ascii="Arial" w:hAnsi="Arial" w:cs="Arial"/>
          <w:b/>
          <w:bCs/>
          <w:sz w:val="22"/>
          <w:szCs w:val="22"/>
        </w:rPr>
        <w:t>(Figure 5</w:t>
      </w:r>
      <w:r w:rsidR="00940319">
        <w:rPr>
          <w:rFonts w:ascii="Arial" w:hAnsi="Arial" w:cs="Arial"/>
          <w:b/>
          <w:bCs/>
          <w:sz w:val="22"/>
          <w:szCs w:val="22"/>
        </w:rPr>
        <w:t>g</w:t>
      </w:r>
      <w:r w:rsidRPr="00BA1797">
        <w:rPr>
          <w:rFonts w:ascii="Arial" w:hAnsi="Arial" w:cs="Arial"/>
          <w:b/>
          <w:bCs/>
          <w:sz w:val="22"/>
          <w:szCs w:val="22"/>
        </w:rPr>
        <w:t>)</w:t>
      </w:r>
      <w:r>
        <w:rPr>
          <w:rFonts w:ascii="Arial" w:hAnsi="Arial" w:cs="Arial"/>
          <w:b/>
          <w:bCs/>
          <w:sz w:val="22"/>
          <w:szCs w:val="22"/>
        </w:rPr>
        <w:t xml:space="preserve"> </w:t>
      </w:r>
      <w:r>
        <w:rPr>
          <w:rFonts w:ascii="Arial" w:hAnsi="Arial" w:cs="Arial"/>
          <w:sz w:val="22"/>
          <w:szCs w:val="22"/>
        </w:rPr>
        <w:t xml:space="preserve">and enlargement of the internal and external liquor spaces due to diffused brain atrophy </w:t>
      </w:r>
      <w:r w:rsidRPr="00BA1797">
        <w:rPr>
          <w:rFonts w:ascii="Arial" w:hAnsi="Arial" w:cs="Arial"/>
          <w:b/>
          <w:bCs/>
          <w:sz w:val="22"/>
          <w:szCs w:val="22"/>
        </w:rPr>
        <w:t>(Figure S9</w:t>
      </w:r>
      <w:r w:rsidR="00940319">
        <w:rPr>
          <w:rFonts w:ascii="Arial" w:hAnsi="Arial" w:cs="Arial"/>
          <w:b/>
          <w:bCs/>
          <w:sz w:val="22"/>
          <w:szCs w:val="22"/>
        </w:rPr>
        <w:t>h</w:t>
      </w:r>
      <w:r w:rsidRPr="00BA1797">
        <w:rPr>
          <w:rFonts w:ascii="Arial" w:hAnsi="Arial" w:cs="Arial"/>
          <w:b/>
          <w:bCs/>
          <w:sz w:val="22"/>
          <w:szCs w:val="22"/>
        </w:rPr>
        <w:t>)</w:t>
      </w:r>
      <w:r>
        <w:rPr>
          <w:rFonts w:ascii="Arial" w:hAnsi="Arial" w:cs="Arial"/>
          <w:sz w:val="22"/>
          <w:szCs w:val="22"/>
        </w:rPr>
        <w:t>. For patient 5, imaging showed T</w:t>
      </w:r>
      <w:r>
        <w:rPr>
          <w:rFonts w:ascii="Arial" w:hAnsi="Arial" w:cs="Arial"/>
          <w:sz w:val="22"/>
          <w:szCs w:val="22"/>
          <w:vertAlign w:val="subscript"/>
        </w:rPr>
        <w:t>2</w:t>
      </w:r>
      <w:r>
        <w:rPr>
          <w:rFonts w:ascii="Arial" w:hAnsi="Arial" w:cs="Arial"/>
          <w:sz w:val="22"/>
          <w:szCs w:val="22"/>
        </w:rPr>
        <w:t xml:space="preserve">-weighted images delayed myelination, enlarged external cerebral spinal fluid spaces, and a general frontal brain atrophy </w:t>
      </w:r>
      <w:r w:rsidRPr="00BA1797">
        <w:rPr>
          <w:rFonts w:ascii="Arial" w:hAnsi="Arial" w:cs="Arial"/>
          <w:b/>
          <w:bCs/>
          <w:sz w:val="22"/>
          <w:szCs w:val="22"/>
        </w:rPr>
        <w:t>(Figure 5</w:t>
      </w:r>
      <w:r w:rsidR="00940319">
        <w:rPr>
          <w:rFonts w:ascii="Arial" w:hAnsi="Arial" w:cs="Arial"/>
          <w:b/>
          <w:bCs/>
          <w:sz w:val="22"/>
          <w:szCs w:val="22"/>
        </w:rPr>
        <w:t>g</w:t>
      </w:r>
      <w:r w:rsidRPr="00BA1797">
        <w:rPr>
          <w:rFonts w:ascii="Arial" w:hAnsi="Arial" w:cs="Arial"/>
          <w:b/>
          <w:bCs/>
          <w:sz w:val="22"/>
          <w:szCs w:val="22"/>
        </w:rPr>
        <w:t>)</w:t>
      </w:r>
      <w:r w:rsidRPr="00207BCB">
        <w:rPr>
          <w:rFonts w:ascii="Arial" w:hAnsi="Arial" w:cs="Arial"/>
          <w:sz w:val="22"/>
          <w:szCs w:val="22"/>
        </w:rPr>
        <w:t>.</w:t>
      </w:r>
      <w:r>
        <w:rPr>
          <w:rFonts w:ascii="Arial" w:hAnsi="Arial" w:cs="Arial"/>
          <w:sz w:val="22"/>
          <w:szCs w:val="22"/>
        </w:rPr>
        <w:t xml:space="preserve"> The T</w:t>
      </w:r>
      <w:r>
        <w:rPr>
          <w:rFonts w:ascii="Arial" w:hAnsi="Arial" w:cs="Arial"/>
          <w:sz w:val="22"/>
          <w:szCs w:val="22"/>
          <w:vertAlign w:val="subscript"/>
        </w:rPr>
        <w:t>2</w:t>
      </w:r>
      <w:r>
        <w:rPr>
          <w:rFonts w:ascii="Arial" w:hAnsi="Arial" w:cs="Arial"/>
          <w:sz w:val="22"/>
          <w:szCs w:val="22"/>
        </w:rPr>
        <w:t xml:space="preserve">-signal intensity in the brain stem of patient 5 affected the </w:t>
      </w:r>
      <w:r>
        <w:rPr>
          <w:rFonts w:ascii="Arial" w:hAnsi="Arial" w:cs="Arial"/>
          <w:i/>
          <w:iCs/>
          <w:sz w:val="22"/>
          <w:szCs w:val="22"/>
        </w:rPr>
        <w:t>Fasciculus longitudinalis</w:t>
      </w:r>
      <w:r>
        <w:rPr>
          <w:rFonts w:ascii="Arial" w:hAnsi="Arial" w:cs="Arial"/>
          <w:sz w:val="22"/>
          <w:szCs w:val="22"/>
        </w:rPr>
        <w:t xml:space="preserve"> and the </w:t>
      </w:r>
      <w:r>
        <w:rPr>
          <w:rFonts w:ascii="Arial" w:hAnsi="Arial" w:cs="Arial"/>
          <w:i/>
          <w:iCs/>
          <w:sz w:val="22"/>
          <w:szCs w:val="22"/>
        </w:rPr>
        <w:t>Substantia nigra</w:t>
      </w:r>
      <w:r>
        <w:rPr>
          <w:rFonts w:ascii="Arial" w:hAnsi="Arial" w:cs="Arial"/>
          <w:sz w:val="22"/>
          <w:szCs w:val="22"/>
        </w:rPr>
        <w:t xml:space="preserve"> </w:t>
      </w:r>
      <w:r w:rsidRPr="00BA1797">
        <w:rPr>
          <w:rFonts w:ascii="Arial" w:hAnsi="Arial" w:cs="Arial"/>
          <w:b/>
          <w:bCs/>
          <w:sz w:val="22"/>
          <w:szCs w:val="22"/>
        </w:rPr>
        <w:t>(Figure S9</w:t>
      </w:r>
      <w:r w:rsidR="00940319">
        <w:rPr>
          <w:rFonts w:ascii="Arial" w:hAnsi="Arial" w:cs="Arial"/>
          <w:b/>
          <w:bCs/>
          <w:sz w:val="22"/>
          <w:szCs w:val="22"/>
        </w:rPr>
        <w:t>h</w:t>
      </w:r>
      <w:r w:rsidRPr="00BA1797">
        <w:rPr>
          <w:rFonts w:ascii="Arial" w:hAnsi="Arial" w:cs="Arial"/>
          <w:b/>
          <w:bCs/>
          <w:sz w:val="22"/>
          <w:szCs w:val="22"/>
        </w:rPr>
        <w:t>)</w:t>
      </w:r>
      <w:r>
        <w:rPr>
          <w:rFonts w:ascii="Arial" w:hAnsi="Arial" w:cs="Arial"/>
          <w:sz w:val="22"/>
          <w:szCs w:val="22"/>
        </w:rPr>
        <w:t>. For patient 6, imaging showed areas of increased T</w:t>
      </w:r>
      <w:r>
        <w:rPr>
          <w:rFonts w:ascii="Arial" w:hAnsi="Arial" w:cs="Arial"/>
          <w:sz w:val="22"/>
          <w:szCs w:val="22"/>
          <w:vertAlign w:val="subscript"/>
        </w:rPr>
        <w:t>2</w:t>
      </w:r>
      <w:r>
        <w:rPr>
          <w:rFonts w:ascii="Arial" w:hAnsi="Arial" w:cs="Arial"/>
          <w:sz w:val="22"/>
          <w:szCs w:val="22"/>
        </w:rPr>
        <w:t xml:space="preserve">-signal intensity in the </w:t>
      </w:r>
      <w:r>
        <w:rPr>
          <w:rFonts w:ascii="Arial" w:hAnsi="Arial" w:cs="Arial"/>
          <w:i/>
          <w:iCs/>
          <w:sz w:val="22"/>
          <w:szCs w:val="22"/>
        </w:rPr>
        <w:t>Putamen, Pallidum</w:t>
      </w:r>
      <w:r>
        <w:rPr>
          <w:rFonts w:ascii="Arial" w:hAnsi="Arial" w:cs="Arial"/>
          <w:sz w:val="22"/>
          <w:szCs w:val="22"/>
        </w:rPr>
        <w:t xml:space="preserve">, and </w:t>
      </w:r>
      <w:r>
        <w:rPr>
          <w:rFonts w:ascii="Arial" w:hAnsi="Arial" w:cs="Arial"/>
          <w:i/>
          <w:iCs/>
          <w:sz w:val="22"/>
          <w:szCs w:val="22"/>
        </w:rPr>
        <w:t>Nucleus caudatus</w:t>
      </w:r>
      <w:r>
        <w:rPr>
          <w:rFonts w:ascii="Arial" w:hAnsi="Arial" w:cs="Arial"/>
          <w:sz w:val="22"/>
          <w:szCs w:val="22"/>
        </w:rPr>
        <w:t xml:space="preserve"> on both sides </w:t>
      </w:r>
      <w:r w:rsidRPr="00BA1797">
        <w:rPr>
          <w:rFonts w:ascii="Arial" w:hAnsi="Arial" w:cs="Arial"/>
          <w:b/>
          <w:bCs/>
          <w:sz w:val="22"/>
          <w:szCs w:val="22"/>
        </w:rPr>
        <w:t>(Figure 5</w:t>
      </w:r>
      <w:r w:rsidR="00940319">
        <w:rPr>
          <w:rFonts w:ascii="Arial" w:hAnsi="Arial" w:cs="Arial"/>
          <w:b/>
          <w:bCs/>
          <w:sz w:val="22"/>
          <w:szCs w:val="22"/>
        </w:rPr>
        <w:t>g</w:t>
      </w:r>
      <w:r w:rsidRPr="00BA1797">
        <w:rPr>
          <w:rFonts w:ascii="Arial" w:hAnsi="Arial" w:cs="Arial"/>
          <w:b/>
          <w:bCs/>
          <w:sz w:val="22"/>
          <w:szCs w:val="22"/>
        </w:rPr>
        <w:t>)</w:t>
      </w:r>
      <w:r>
        <w:rPr>
          <w:rFonts w:ascii="Arial" w:hAnsi="Arial" w:cs="Arial"/>
          <w:b/>
          <w:bCs/>
          <w:sz w:val="22"/>
          <w:szCs w:val="22"/>
        </w:rPr>
        <w:t xml:space="preserve"> </w:t>
      </w:r>
      <w:r>
        <w:rPr>
          <w:rFonts w:ascii="Arial" w:hAnsi="Arial" w:cs="Arial"/>
          <w:sz w:val="22"/>
          <w:szCs w:val="22"/>
        </w:rPr>
        <w:t xml:space="preserve">and in the cortical gray matter </w:t>
      </w:r>
      <w:bookmarkEnd w:id="0"/>
      <w:r w:rsidRPr="00BA1797">
        <w:rPr>
          <w:rFonts w:ascii="Arial" w:hAnsi="Arial" w:cs="Arial"/>
          <w:b/>
          <w:bCs/>
          <w:sz w:val="22"/>
          <w:szCs w:val="22"/>
        </w:rPr>
        <w:t>(Figure S9</w:t>
      </w:r>
      <w:r w:rsidR="00940319">
        <w:rPr>
          <w:rFonts w:ascii="Arial" w:hAnsi="Arial" w:cs="Arial"/>
          <w:b/>
          <w:bCs/>
          <w:sz w:val="22"/>
          <w:szCs w:val="22"/>
        </w:rPr>
        <w:t>h</w:t>
      </w:r>
      <w:r w:rsidRPr="00BA1797">
        <w:rPr>
          <w:rFonts w:ascii="Arial" w:hAnsi="Arial" w:cs="Arial"/>
          <w:b/>
          <w:bCs/>
          <w:sz w:val="22"/>
          <w:szCs w:val="22"/>
        </w:rPr>
        <w:t>)</w:t>
      </w:r>
      <w:r>
        <w:rPr>
          <w:rFonts w:ascii="Arial" w:hAnsi="Arial" w:cs="Arial"/>
          <w:sz w:val="22"/>
          <w:szCs w:val="22"/>
        </w:rPr>
        <w:t>.</w:t>
      </w:r>
    </w:p>
    <w:p w14:paraId="5E4C63C8" w14:textId="77777777" w:rsidR="00187C95" w:rsidRDefault="00187C95" w:rsidP="00187C95">
      <w:pPr>
        <w:spacing w:after="0" w:line="300" w:lineRule="auto"/>
        <w:jc w:val="both"/>
        <w:rPr>
          <w:rFonts w:ascii="Arial" w:hAnsi="Arial" w:cs="Arial"/>
          <w:sz w:val="22"/>
          <w:szCs w:val="22"/>
        </w:rPr>
      </w:pPr>
    </w:p>
    <w:p w14:paraId="339CDABB" w14:textId="77777777" w:rsidR="00187C95" w:rsidRPr="00B626D5" w:rsidRDefault="00187C95" w:rsidP="00187C95">
      <w:pPr>
        <w:spacing w:after="0" w:line="300" w:lineRule="auto"/>
        <w:jc w:val="both"/>
        <w:rPr>
          <w:rFonts w:ascii="Arial" w:hAnsi="Arial" w:cs="Arial"/>
          <w:b/>
          <w:color w:val="2F5496" w:themeColor="accent5" w:themeShade="BF"/>
          <w:sz w:val="22"/>
          <w:szCs w:val="22"/>
        </w:rPr>
      </w:pPr>
      <w:r w:rsidRPr="00B626D5">
        <w:rPr>
          <w:rFonts w:ascii="Arial" w:hAnsi="Arial" w:cs="Arial"/>
          <w:b/>
          <w:color w:val="2F5496" w:themeColor="accent5" w:themeShade="BF"/>
          <w:sz w:val="22"/>
          <w:szCs w:val="22"/>
        </w:rPr>
        <w:t>Toxicity assays</w:t>
      </w:r>
    </w:p>
    <w:p w14:paraId="23800111" w14:textId="77777777" w:rsidR="00187C95" w:rsidRDefault="00187C95" w:rsidP="00187C95">
      <w:pPr>
        <w:spacing w:after="0" w:line="300" w:lineRule="auto"/>
        <w:jc w:val="both"/>
        <w:rPr>
          <w:rFonts w:ascii="Arial" w:hAnsi="Arial" w:cs="Arial"/>
          <w:sz w:val="22"/>
          <w:szCs w:val="22"/>
        </w:rPr>
      </w:pPr>
      <w:r>
        <w:rPr>
          <w:rFonts w:ascii="Arial" w:hAnsi="Arial" w:cs="Arial"/>
          <w:sz w:val="22"/>
          <w:szCs w:val="22"/>
        </w:rPr>
        <w:t>Cell Titer-Glo assay (Promega) was used to determine viability based on cellular ATP concentration. NPCs were isolated using Accutase and seeded onto Geltrex-coated 96-well plates at a density of 1.5 x 10</w:t>
      </w:r>
      <w:r>
        <w:rPr>
          <w:rFonts w:ascii="Arial" w:hAnsi="Arial" w:cs="Arial"/>
          <w:sz w:val="22"/>
          <w:szCs w:val="22"/>
          <w:vertAlign w:val="superscript"/>
        </w:rPr>
        <w:t>5</w:t>
      </w:r>
      <w:r>
        <w:rPr>
          <w:rFonts w:ascii="Arial" w:hAnsi="Arial" w:cs="Arial"/>
          <w:sz w:val="22"/>
          <w:szCs w:val="22"/>
        </w:rPr>
        <w:t xml:space="preserve"> cells/cm</w:t>
      </w:r>
      <w:r>
        <w:rPr>
          <w:rFonts w:ascii="Arial" w:hAnsi="Arial" w:cs="Arial"/>
          <w:sz w:val="22"/>
          <w:szCs w:val="22"/>
          <w:vertAlign w:val="superscript"/>
        </w:rPr>
        <w:t>2</w:t>
      </w:r>
      <w:r>
        <w:rPr>
          <w:rFonts w:ascii="Arial" w:hAnsi="Arial" w:cs="Arial"/>
          <w:sz w:val="22"/>
          <w:szCs w:val="22"/>
        </w:rPr>
        <w:t xml:space="preserve"> and incubated in NPC medium overnight at 37 °C and 5 % CO</w:t>
      </w:r>
      <w:r>
        <w:rPr>
          <w:rFonts w:ascii="Arial" w:hAnsi="Arial" w:cs="Arial"/>
          <w:sz w:val="22"/>
          <w:szCs w:val="22"/>
          <w:vertAlign w:val="subscript"/>
        </w:rPr>
        <w:t>2</w:t>
      </w:r>
      <w:r>
        <w:rPr>
          <w:rFonts w:ascii="Arial" w:hAnsi="Arial" w:cs="Arial"/>
          <w:sz w:val="22"/>
          <w:szCs w:val="22"/>
        </w:rPr>
        <w:t>. The day after, NPCs were treated with DMSO, FCCP+AA or sildenafil dilution series in 100 µl and incubated for 16 h at 37 °C and 5 % CO</w:t>
      </w:r>
      <w:r>
        <w:rPr>
          <w:rFonts w:ascii="Arial" w:hAnsi="Arial" w:cs="Arial"/>
          <w:sz w:val="22"/>
          <w:szCs w:val="22"/>
          <w:vertAlign w:val="subscript"/>
        </w:rPr>
        <w:t>2</w:t>
      </w:r>
      <w:r>
        <w:rPr>
          <w:rFonts w:ascii="Arial" w:hAnsi="Arial" w:cs="Arial"/>
          <w:sz w:val="22"/>
          <w:szCs w:val="22"/>
        </w:rPr>
        <w:t>. One column contained an untreated reference. 50 µl Cell Titer-Glo reagent solution was added to each well and placed on a plate shaker (1 min, 100 rpm) and incubated at ambient temperature for 10 min to ensure cell lysis. 100 µl of the solution was transferred onto a new white wall, white bottom 96-well plate, and luminescence was measured using an EnSight multimode plate reader (Revvity).</w:t>
      </w:r>
    </w:p>
    <w:p w14:paraId="00B5A772" w14:textId="77777777" w:rsidR="00187C95" w:rsidRDefault="00187C95" w:rsidP="00187C95">
      <w:pPr>
        <w:pStyle w:val="Textkrper"/>
        <w:spacing w:after="0" w:line="300" w:lineRule="auto"/>
        <w:jc w:val="both"/>
        <w:rPr>
          <w:rFonts w:ascii="Arial" w:hAnsi="Arial" w:cs="Arial"/>
          <w:bCs/>
          <w:sz w:val="22"/>
          <w:szCs w:val="22"/>
        </w:rPr>
      </w:pPr>
      <w:r>
        <w:rPr>
          <w:rFonts w:ascii="Arial" w:hAnsi="Arial" w:cs="Arial"/>
          <w:bCs/>
          <w:sz w:val="22"/>
          <w:szCs w:val="22"/>
        </w:rPr>
        <w:t>For proliferation, NPCs were seeded in a coated 96-well plate (30,000 cells/well) and incubated at 37 °C and 5 % CO</w:t>
      </w:r>
      <w:r>
        <w:rPr>
          <w:rFonts w:ascii="Arial" w:hAnsi="Arial" w:cs="Arial"/>
          <w:bCs/>
          <w:sz w:val="22"/>
          <w:szCs w:val="22"/>
          <w:vertAlign w:val="subscript"/>
        </w:rPr>
        <w:t>2</w:t>
      </w:r>
      <w:r>
        <w:rPr>
          <w:rFonts w:ascii="Arial" w:hAnsi="Arial" w:cs="Arial"/>
          <w:bCs/>
          <w:sz w:val="22"/>
          <w:szCs w:val="22"/>
        </w:rPr>
        <w:t>. Medium glucose concentration was either 21 mM or 4.5 mM, or glucose was substituted with galactose. With the first medium change, the medium was supplemented with 1 µM sildenafil, 10 µM sildenafil or DMSO (vehicle), respectively, or left without treatment. For toxicity analysis, the medium was additionally supplemented with Incuyte dye red (Sartorius, REF: 4717) to indicate dead cells. Supplemented medium was changed every other day. Over the course of the experiment, the well plates were placed in the Cellcyte X (Cytena) microscope with a 10 x objective. Four pictures of each well were taken every three hours. Pipeline setup and analysis were done with the software CELLCYTE Studio (Cytena). Channels were “enhanced contour” for confluency and “red channel” (600 ms, 9 dB) for toxicity. Autofocus was set to “Classifier-based”. Pictures taken with the “enhanced contour” channel were analyzed with the software-specific protocol “Cell Confluence” with the following settings: 58 a.u. contrast sensitivity, 2 a.u. smoothing, 200 µm</w:t>
      </w:r>
      <w:r>
        <w:rPr>
          <w:rFonts w:ascii="Arial" w:hAnsi="Arial" w:cs="Arial"/>
          <w:bCs/>
          <w:sz w:val="22"/>
          <w:szCs w:val="22"/>
          <w:vertAlign w:val="superscript"/>
        </w:rPr>
        <w:t>2</w:t>
      </w:r>
      <w:r>
        <w:rPr>
          <w:rFonts w:ascii="Arial" w:hAnsi="Arial" w:cs="Arial"/>
          <w:bCs/>
          <w:sz w:val="22"/>
          <w:szCs w:val="22"/>
        </w:rPr>
        <w:t xml:space="preserve"> filled hole size, 100 µm</w:t>
      </w:r>
      <w:r>
        <w:rPr>
          <w:rFonts w:ascii="Arial" w:hAnsi="Arial" w:cs="Arial"/>
          <w:bCs/>
          <w:sz w:val="22"/>
          <w:szCs w:val="22"/>
          <w:vertAlign w:val="superscript"/>
        </w:rPr>
        <w:t>2</w:t>
      </w:r>
      <w:r>
        <w:rPr>
          <w:rFonts w:ascii="Arial" w:hAnsi="Arial" w:cs="Arial"/>
          <w:bCs/>
          <w:sz w:val="22"/>
          <w:szCs w:val="22"/>
        </w:rPr>
        <w:t xml:space="preserve"> min. object size. Pictures taken with “red channel” were analyzed with the software-specific protocol “object count” with the following settings: 30 a.u. contrast sensitivity, 50 a.u. separation sensitivity, 0 µm</w:t>
      </w:r>
      <w:r>
        <w:rPr>
          <w:rFonts w:ascii="Arial" w:hAnsi="Arial" w:cs="Arial"/>
          <w:bCs/>
          <w:sz w:val="22"/>
          <w:szCs w:val="22"/>
          <w:vertAlign w:val="superscript"/>
        </w:rPr>
        <w:t>2</w:t>
      </w:r>
      <w:r>
        <w:rPr>
          <w:rFonts w:ascii="Arial" w:hAnsi="Arial" w:cs="Arial"/>
          <w:bCs/>
          <w:sz w:val="22"/>
          <w:szCs w:val="22"/>
        </w:rPr>
        <w:t xml:space="preserve"> filled hole size, 10 µm</w:t>
      </w:r>
      <w:r>
        <w:rPr>
          <w:rFonts w:ascii="Arial" w:hAnsi="Arial" w:cs="Arial"/>
          <w:bCs/>
          <w:sz w:val="22"/>
          <w:szCs w:val="22"/>
          <w:vertAlign w:val="superscript"/>
        </w:rPr>
        <w:t>2</w:t>
      </w:r>
      <w:r>
        <w:rPr>
          <w:rFonts w:ascii="Arial" w:hAnsi="Arial" w:cs="Arial"/>
          <w:bCs/>
          <w:sz w:val="22"/>
          <w:szCs w:val="22"/>
        </w:rPr>
        <w:t xml:space="preserve"> min object size. Analysis results were exported to Excel and further processed with R studio.</w:t>
      </w:r>
    </w:p>
    <w:p w14:paraId="53E571B7" w14:textId="77777777" w:rsidR="00187C95" w:rsidRDefault="00187C95" w:rsidP="00187C95">
      <w:pPr>
        <w:spacing w:after="0" w:line="300" w:lineRule="auto"/>
        <w:jc w:val="both"/>
        <w:rPr>
          <w:rFonts w:ascii="Arial" w:hAnsi="Arial" w:cs="Arial"/>
          <w:sz w:val="22"/>
          <w:szCs w:val="22"/>
        </w:rPr>
      </w:pPr>
    </w:p>
    <w:p w14:paraId="24486741" w14:textId="77777777" w:rsidR="00187C95" w:rsidRPr="00B626D5" w:rsidRDefault="00187C95" w:rsidP="00187C95">
      <w:pPr>
        <w:spacing w:after="0" w:line="300" w:lineRule="auto"/>
        <w:jc w:val="both"/>
        <w:rPr>
          <w:rFonts w:ascii="Arial" w:hAnsi="Arial" w:cs="Arial"/>
          <w:b/>
          <w:color w:val="2F5496" w:themeColor="accent5" w:themeShade="BF"/>
          <w:sz w:val="22"/>
          <w:szCs w:val="22"/>
        </w:rPr>
      </w:pPr>
      <w:r w:rsidRPr="00B626D5">
        <w:rPr>
          <w:rFonts w:ascii="Arial" w:hAnsi="Arial" w:cs="Arial"/>
          <w:b/>
          <w:color w:val="2F5496" w:themeColor="accent5" w:themeShade="BF"/>
          <w:sz w:val="22"/>
          <w:szCs w:val="22"/>
        </w:rPr>
        <w:t>Analysis of mitochondrial nanostructure</w:t>
      </w:r>
    </w:p>
    <w:p w14:paraId="08ADEB87" w14:textId="77777777" w:rsidR="00187C95" w:rsidRDefault="00187C95" w:rsidP="00187C95">
      <w:pPr>
        <w:spacing w:after="0" w:line="300" w:lineRule="auto"/>
        <w:jc w:val="both"/>
        <w:rPr>
          <w:rFonts w:ascii="Arial" w:hAnsi="Arial" w:cs="Arial"/>
          <w:bCs/>
          <w:sz w:val="22"/>
          <w:szCs w:val="22"/>
        </w:rPr>
      </w:pPr>
      <w:r>
        <w:rPr>
          <w:rFonts w:ascii="Arial" w:hAnsi="Arial" w:cs="Arial"/>
          <w:bCs/>
          <w:sz w:val="22"/>
          <w:szCs w:val="22"/>
        </w:rPr>
        <w:t xml:space="preserve">To examine the impact of sildenafil on the mitochondrial nanostructure, we immunolabeled LS NPCs (ATP6_2) and control NPCs (CTRL_1) for MIC60, a core protein of the mitochondrial contact site and cristae organizing system (MICOS). For immunolabelling of MIC60, cells were fixed with prewarmed (37 °C) 4 % formaldehyde in PBS (137 mM NaCl, 2.68 mM KCl and 10 mM Na2HPO4, pH 7.4) for 5 min at RT. Fixed cells were extracted with 0.5 % (v/v) Triton X-100 in PBS, blocked with 5 % (w/v) BSA in PBS. Afterwards, cells were incubated with diluted primary antibodies against MIC60 (Abcam, Cambridge, UK) in 5 % (w/v) BSA in PBS for 1 h at RT. After washing with PBS, the primary antibodies were detected with secondary goat anti-rabbit antibodies labelled with Abberior STAR RED (Abberior, Göttingen, Germany)- After washing with PBS, the cells were mounted in Mowiol with 0.1 % 1,4-Diazabicyclo[2.2.2]octan (DABCO). Confocal and </w:t>
      </w:r>
      <w:r>
        <w:rPr>
          <w:rFonts w:ascii="Arial" w:hAnsi="Arial" w:cs="Arial"/>
          <w:sz w:val="22"/>
          <w:szCs w:val="22"/>
        </w:rPr>
        <w:t>s</w:t>
      </w:r>
      <w:r w:rsidRPr="00E2100A">
        <w:rPr>
          <w:rFonts w:ascii="Arial" w:hAnsi="Arial" w:cs="Arial"/>
          <w:sz w:val="22"/>
          <w:szCs w:val="22"/>
        </w:rPr>
        <w:t xml:space="preserve">timulated </w:t>
      </w:r>
      <w:r>
        <w:rPr>
          <w:rFonts w:ascii="Arial" w:hAnsi="Arial" w:cs="Arial"/>
          <w:sz w:val="22"/>
          <w:szCs w:val="22"/>
        </w:rPr>
        <w:t>e</w:t>
      </w:r>
      <w:r w:rsidRPr="00E2100A">
        <w:rPr>
          <w:rFonts w:ascii="Arial" w:hAnsi="Arial" w:cs="Arial"/>
          <w:sz w:val="22"/>
          <w:szCs w:val="22"/>
        </w:rPr>
        <w:t xml:space="preserve">mission </w:t>
      </w:r>
      <w:r>
        <w:rPr>
          <w:rFonts w:ascii="Arial" w:hAnsi="Arial" w:cs="Arial"/>
          <w:sz w:val="22"/>
          <w:szCs w:val="22"/>
        </w:rPr>
        <w:t>d</w:t>
      </w:r>
      <w:r w:rsidRPr="00E2100A">
        <w:rPr>
          <w:rFonts w:ascii="Arial" w:hAnsi="Arial" w:cs="Arial"/>
          <w:sz w:val="22"/>
          <w:szCs w:val="22"/>
        </w:rPr>
        <w:t>epletion</w:t>
      </w:r>
      <w:r>
        <w:rPr>
          <w:rFonts w:ascii="Arial" w:hAnsi="Arial" w:cs="Arial"/>
          <w:bCs/>
          <w:sz w:val="22"/>
          <w:szCs w:val="22"/>
        </w:rPr>
        <w:t xml:space="preserve"> (STED) microscopy were performed using an INFINITY </w:t>
      </w:r>
      <w:r w:rsidRPr="004046C4">
        <w:rPr>
          <w:rFonts w:ascii="Arial" w:hAnsi="Arial" w:cs="Arial"/>
          <w:bCs/>
          <w:sz w:val="22"/>
          <w:szCs w:val="22"/>
        </w:rPr>
        <w:t xml:space="preserve">platform (Abberior Instruments, Göttingen, Germany). </w:t>
      </w:r>
      <w:r>
        <w:rPr>
          <w:rFonts w:ascii="Arial" w:hAnsi="Arial" w:cs="Arial"/>
          <w:bCs/>
          <w:sz w:val="22"/>
          <w:szCs w:val="22"/>
        </w:rPr>
        <w:t>The objective was an UPLXAPO60xO, NA: 1.42, oil objective (Olympus, Tokyo, Japan). For STED super-resolution microscopy, Abberior STAR RED was excited at 640 nm and depleted with 775 nm. The fluorescence was collected between 650 nm and 720 nm. Images were recorded with a pixel size of 20 nm and a dwell time of 30 µs per pixel.</w:t>
      </w:r>
    </w:p>
    <w:p w14:paraId="13315564" w14:textId="77777777" w:rsidR="00187C95" w:rsidRDefault="00187C95" w:rsidP="00187C95">
      <w:pPr>
        <w:spacing w:after="0" w:line="300" w:lineRule="auto"/>
        <w:jc w:val="both"/>
        <w:rPr>
          <w:rFonts w:ascii="Arial" w:hAnsi="Arial" w:cs="Arial"/>
          <w:bCs/>
          <w:sz w:val="22"/>
          <w:szCs w:val="22"/>
        </w:rPr>
      </w:pPr>
      <w:r>
        <w:rPr>
          <w:rFonts w:ascii="Arial" w:hAnsi="Arial" w:cs="Arial"/>
          <w:bCs/>
          <w:sz w:val="22"/>
          <w:szCs w:val="22"/>
        </w:rPr>
        <w:lastRenderedPageBreak/>
        <w:t>To detect structural differences between control and LS NPCs, we captured approximately 4000 STED images and trained a neural network classifier on multiple biological replicates to distinguish control NPCs (P[healthy]-score = 1) from LS NPCs (P[healthy]-score = 0). A deep residual neuronal network (ResNet34) was trained with STED data of DMSO-treated LS NPCs (ATP6_2) and control NPCs (CTRL_1) in a supervised setting to distinguish between both conditions. For the training, STED images were percentile normalized and divided into 512 x 512 pixel-sized regions (patches). Every patch was assigned to the class “healthy” when it originated from control NPCs and to the class “ill” when it originated from LS NPCs. Using a mean intensity threshold, patches without a sufficient fluorescence signal were allocated to a third class (“low information”). The final training dataset consisted of equal numbers of patches from three different biological replicates and included in total 75,000 patches of the “healthy, “ill” and “low information” classes in a 0.4:0.4:0.2 ratio. The performance throughout the trainings process was monitored with a validation set of 11,000 patches. For every patch, the model predicts logits values corresponding to the three classes, that are then transformed with softmax function to receive a per class probability. The per-class accuracy computed from a confusion matrix was used as mean validation metric after each epoch and as an indicator for the best checkpoint. The final evaluation of the neuronal network after the training was carried out with a test set of 140,000 patches with a 0.4:0.4:0.2 ratio. The trained model was used to assign a P[healthy] score from zero to one to single STED images. For each STED image with a size of 2048 x 2048 pixels, 49 partially overlapping patches of 512 x 512 pixels were extracted and evaluated with the model. Patches with insufficient fluorescence signal were assigned to the “low information” class and excluded from the evaluation. For the remaining patches a P[healthy]-score was predicted. The P[healthy]-score of the single patches were averaged to assign a P(healthy)-scores to each STED image of 2048 x 2048 pixels. STED images which had a proportion of “low information” patches above 90 % were excluded. After training, the classifier could reliably differentiate the two conditions on images that were not used for the training, indicating alterations of the MIC60 fluorescence signal in LS NPCs.</w:t>
      </w:r>
    </w:p>
    <w:p w14:paraId="66A58B68" w14:textId="77777777" w:rsidR="00187C95" w:rsidRDefault="00187C95" w:rsidP="00187C95">
      <w:pPr>
        <w:spacing w:after="0" w:line="300" w:lineRule="auto"/>
        <w:jc w:val="both"/>
        <w:rPr>
          <w:rFonts w:ascii="Arial" w:hAnsi="Arial" w:cs="Arial"/>
          <w:bCs/>
          <w:sz w:val="22"/>
          <w:szCs w:val="22"/>
        </w:rPr>
      </w:pPr>
      <w:r>
        <w:rPr>
          <w:rFonts w:ascii="Arial" w:hAnsi="Arial" w:cs="Arial"/>
          <w:bCs/>
          <w:sz w:val="22"/>
          <w:szCs w:val="22"/>
        </w:rPr>
        <w:t>To gain further insights, we reviewed a subset of images individually. Confocal microscopy revealed a tubular mitochondrial network in both NPC cultures, with no evident phenotypic alterations in LS NPCs. STED imaging showed a largely uniform distribution of MIC60 clusters along mitochondrial tubules in control NPCs, whereas in LS NPCs, MIC60 appeared to accumulate at the sides of mitochondrial tubules. To investigate this phenotype, we manually analyzed the MIC60 pattern across the mitochondrial tubules in approximately 300 images. A semi-automated MATLAB-based analysis was employed to assess the MIC60 distribution in LS NPCs (ATP6_2) and control NPCs (CTRL_1). After blinding, individual elongated mitochondria were manually analyzed. The mitochondrial centerline was determined by marking discrete points along the mid-axis, which were then fitted to a Bézier curve to approximate the mitochondrial central axis. The fluorescence intensity profile across the mitochondrial transverse axis was measured every 10 nm at a length of 600 nm with its center at the Bézier curve. The profiles were averaged for all selected isolated mitochondrial fragments in a single STED image. A homogeneous MIC60 distribution results in a fluorescence intensity profile with a broad plateau at the central maximum along the transversal mitochondrial axis. MIC60 accumulation at the outer edge of the mitochondria creates a central intensity dip. LS NPCs revealed a clear dip in the distribution of fluorescence intensity. The altered distribution of MIC60 was expressed as a center-to-maximum fluorescence intensity ratio across the transversal mitochondrial axis. In LS mitochondria this ratio was reduced compared to control samples with sildenafil treatment of LS NPCs restoring the fluorescence intensity ratio to healthy levels.</w:t>
      </w:r>
    </w:p>
    <w:p w14:paraId="77E209D1" w14:textId="77777777" w:rsidR="00187C95" w:rsidRDefault="00187C95" w:rsidP="00187C95">
      <w:pPr>
        <w:spacing w:after="0" w:line="300" w:lineRule="auto"/>
        <w:jc w:val="both"/>
        <w:rPr>
          <w:rFonts w:ascii="Arial" w:hAnsi="Arial" w:cs="Arial"/>
          <w:b/>
          <w:sz w:val="22"/>
          <w:szCs w:val="22"/>
        </w:rPr>
      </w:pPr>
    </w:p>
    <w:p w14:paraId="359F8C7D" w14:textId="77777777" w:rsidR="00187C95" w:rsidRPr="00B626D5" w:rsidRDefault="00187C95" w:rsidP="00187C95">
      <w:pPr>
        <w:spacing w:after="0" w:line="300" w:lineRule="auto"/>
        <w:jc w:val="both"/>
        <w:rPr>
          <w:rFonts w:ascii="Arial" w:hAnsi="Arial" w:cs="Arial"/>
          <w:b/>
          <w:bCs/>
          <w:color w:val="2F5496" w:themeColor="accent5" w:themeShade="BF"/>
          <w:sz w:val="22"/>
          <w:szCs w:val="22"/>
        </w:rPr>
      </w:pPr>
      <w:r w:rsidRPr="00B626D5">
        <w:rPr>
          <w:rFonts w:ascii="Arial" w:hAnsi="Arial" w:cs="Arial"/>
          <w:b/>
          <w:bCs/>
          <w:color w:val="2F5496" w:themeColor="accent5" w:themeShade="BF"/>
          <w:sz w:val="22"/>
          <w:szCs w:val="22"/>
        </w:rPr>
        <w:t>Animal experiments</w:t>
      </w:r>
    </w:p>
    <w:p w14:paraId="44DD7119" w14:textId="77777777" w:rsidR="00187C95" w:rsidRDefault="00187C95" w:rsidP="00187C95">
      <w:pPr>
        <w:spacing w:after="0" w:line="300" w:lineRule="auto"/>
        <w:jc w:val="both"/>
        <w:rPr>
          <w:rFonts w:ascii="Arial" w:hAnsi="Arial" w:cs="Arial"/>
          <w:color w:val="000000"/>
          <w:sz w:val="22"/>
          <w:szCs w:val="22"/>
        </w:rPr>
      </w:pPr>
      <w:r>
        <w:rPr>
          <w:rFonts w:ascii="Arial" w:hAnsi="Arial" w:cs="Arial"/>
          <w:color w:val="000000"/>
          <w:sz w:val="22"/>
          <w:szCs w:val="22"/>
        </w:rPr>
        <w:t xml:space="preserve">Germline </w:t>
      </w:r>
      <w:r>
        <w:rPr>
          <w:rFonts w:ascii="Arial" w:hAnsi="Arial" w:cs="Arial"/>
          <w:i/>
          <w:iCs/>
          <w:color w:val="000000"/>
          <w:sz w:val="22"/>
          <w:szCs w:val="22"/>
        </w:rPr>
        <w:t>Ndufs4</w:t>
      </w:r>
      <w:r>
        <w:rPr>
          <w:rFonts w:ascii="Arial" w:hAnsi="Arial" w:cs="Arial"/>
          <w:color w:val="000000"/>
          <w:sz w:val="22"/>
          <w:szCs w:val="22"/>
        </w:rPr>
        <w:t xml:space="preserve"> KO mice were obtained from the University of Washington.</w:t>
      </w:r>
      <w:r>
        <w:rPr>
          <w:rFonts w:ascii="Arial" w:hAnsi="Arial" w:cs="Arial"/>
          <w:color w:val="000000"/>
          <w:sz w:val="22"/>
          <w:szCs w:val="22"/>
        </w:rPr>
        <w:fldChar w:fldCharType="begin">
          <w:fldData xml:space="preserve">PEVuZE5vdGU+PENpdGU+PEF1dGhvcj5LcnVzZTwvQXV0aG9yPjxZZWFyPjIwMDg8L1llYXI+PFJl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</w:fldData>
        </w:fldChar>
      </w:r>
      <w:r>
        <w:rPr>
          <w:rFonts w:ascii="Arial" w:hAnsi="Arial" w:cs="Arial"/>
          <w:color w:val="000000"/>
          <w:sz w:val="22"/>
          <w:szCs w:val="22"/>
        </w:rPr>
        <w:instrText xml:space="preserve"> ADDIN EN.CITE </w:instrText>
      </w:r>
      <w:r>
        <w:rPr>
          <w:rFonts w:ascii="Arial" w:hAnsi="Arial" w:cs="Arial"/>
          <w:color w:val="000000"/>
          <w:sz w:val="22"/>
          <w:szCs w:val="22"/>
        </w:rPr>
        <w:fldChar w:fldCharType="begin">
          <w:fldData xml:space="preserve">PEVuZE5vdGU+PENpdGU+PEF1dGhvcj5LcnVzZTwvQXV0aG9yPjxZZWFyPjIwMDg8L1llYXI+PFJl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</w:fldData>
        </w:fldChar>
      </w:r>
      <w:r>
        <w:rPr>
          <w:rFonts w:ascii="Arial" w:hAnsi="Arial" w:cs="Arial"/>
          <w:color w:val="000000"/>
          <w:sz w:val="22"/>
          <w:szCs w:val="22"/>
        </w:rPr>
        <w:instrText xml:space="preserve"> ADDIN EN.CITE.DATA </w:instrText>
      </w:r>
      <w:r>
        <w:rPr>
          <w:rFonts w:ascii="Arial" w:hAnsi="Arial" w:cs="Arial"/>
          <w:color w:val="000000"/>
          <w:sz w:val="22"/>
          <w:szCs w:val="22"/>
        </w:rPr>
      </w:r>
      <w:r>
        <w:rPr>
          <w:rFonts w:ascii="Arial" w:hAnsi="Arial" w:cs="Arial"/>
          <w:color w:val="000000"/>
          <w:sz w:val="22"/>
          <w:szCs w:val="22"/>
        </w:rPr>
        <w:fldChar w:fldCharType="end"/>
      </w:r>
      <w:r>
        <w:rPr>
          <w:rFonts w:ascii="Arial" w:hAnsi="Arial" w:cs="Arial"/>
          <w:color w:val="000000"/>
          <w:sz w:val="22"/>
          <w:szCs w:val="22"/>
        </w:rPr>
      </w:r>
      <w:r>
        <w:rPr>
          <w:rFonts w:ascii="Arial" w:hAnsi="Arial" w:cs="Arial"/>
          <w:color w:val="000000"/>
          <w:sz w:val="22"/>
          <w:szCs w:val="22"/>
        </w:rPr>
        <w:fldChar w:fldCharType="separate"/>
      </w:r>
      <w:r>
        <w:rPr>
          <w:rFonts w:ascii="Arial" w:hAnsi="Arial" w:cs="Arial"/>
          <w:color w:val="000000"/>
          <w:sz w:val="22"/>
          <w:szCs w:val="22"/>
          <w:vertAlign w:val="superscript"/>
        </w:rPr>
        <w:t>5</w:t>
      </w:r>
      <w:r>
        <w:rPr>
          <w:rFonts w:ascii="Arial" w:hAnsi="Arial" w:cs="Arial"/>
          <w:color w:val="000000"/>
          <w:sz w:val="22"/>
          <w:szCs w:val="22"/>
        </w:rPr>
        <w:fldChar w:fldCharType="end"/>
      </w:r>
      <w:r>
        <w:rPr>
          <w:rFonts w:ascii="Arial" w:hAnsi="Arial" w:cs="Arial"/>
          <w:color w:val="000000"/>
          <w:sz w:val="22"/>
          <w:szCs w:val="22"/>
        </w:rPr>
        <w:t xml:space="preserve"> All mice were on the C57/BL6/J background and were fed the regular diet from Harlan Teklad.</w:t>
      </w:r>
      <w:r>
        <w:rPr>
          <w:rFonts w:ascii="Arial" w:hAnsi="Arial" w:cs="Arial"/>
          <w:color w:val="000000"/>
          <w:sz w:val="22"/>
          <w:szCs w:val="22"/>
        </w:rPr>
        <w:fldChar w:fldCharType="begin">
          <w:fldData xml:space="preserve">PEVuZE5vdGU+PENpdGU+PEF1dGhvcj5LcnVzZTwvQXV0aG9yPjxZZWFyPjIwMDg8L1llYXI+PFJl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</w:fldData>
        </w:fldChar>
      </w:r>
      <w:r>
        <w:rPr>
          <w:rFonts w:ascii="Arial" w:hAnsi="Arial" w:cs="Arial"/>
          <w:color w:val="000000"/>
          <w:sz w:val="22"/>
          <w:szCs w:val="22"/>
        </w:rPr>
        <w:instrText xml:space="preserve"> ADDIN EN.CITE </w:instrText>
      </w:r>
      <w:r>
        <w:rPr>
          <w:rFonts w:ascii="Arial" w:hAnsi="Arial" w:cs="Arial"/>
          <w:color w:val="000000"/>
          <w:sz w:val="22"/>
          <w:szCs w:val="22"/>
        </w:rPr>
        <w:fldChar w:fldCharType="begin">
          <w:fldData xml:space="preserve">PEVuZE5vdGU+PENpdGU+PEF1dGhvcj5LcnVzZTwvQXV0aG9yPjxZZWFyPjIwMDg8L1llYXI+PFJl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</w:fldData>
        </w:fldChar>
      </w:r>
      <w:r>
        <w:rPr>
          <w:rFonts w:ascii="Arial" w:hAnsi="Arial" w:cs="Arial"/>
          <w:color w:val="000000"/>
          <w:sz w:val="22"/>
          <w:szCs w:val="22"/>
        </w:rPr>
        <w:instrText xml:space="preserve"> ADDIN EN.CITE.DATA </w:instrText>
      </w:r>
      <w:r>
        <w:rPr>
          <w:rFonts w:ascii="Arial" w:hAnsi="Arial" w:cs="Arial"/>
          <w:color w:val="000000"/>
          <w:sz w:val="22"/>
          <w:szCs w:val="22"/>
        </w:rPr>
      </w:r>
      <w:r>
        <w:rPr>
          <w:rFonts w:ascii="Arial" w:hAnsi="Arial" w:cs="Arial"/>
          <w:color w:val="000000"/>
          <w:sz w:val="22"/>
          <w:szCs w:val="22"/>
        </w:rPr>
        <w:fldChar w:fldCharType="end"/>
      </w:r>
      <w:r>
        <w:rPr>
          <w:rFonts w:ascii="Arial" w:hAnsi="Arial" w:cs="Arial"/>
          <w:color w:val="000000"/>
          <w:sz w:val="22"/>
          <w:szCs w:val="22"/>
        </w:rPr>
      </w:r>
      <w:r>
        <w:rPr>
          <w:rFonts w:ascii="Arial" w:hAnsi="Arial" w:cs="Arial"/>
          <w:color w:val="000000"/>
          <w:sz w:val="22"/>
          <w:szCs w:val="22"/>
        </w:rPr>
        <w:fldChar w:fldCharType="separate"/>
      </w:r>
      <w:r>
        <w:rPr>
          <w:rFonts w:ascii="Arial" w:hAnsi="Arial" w:cs="Arial"/>
          <w:color w:val="000000"/>
          <w:sz w:val="22"/>
          <w:szCs w:val="22"/>
          <w:vertAlign w:val="superscript"/>
        </w:rPr>
        <w:t>5</w:t>
      </w:r>
      <w:r>
        <w:rPr>
          <w:rFonts w:ascii="Arial" w:hAnsi="Arial" w:cs="Arial"/>
          <w:color w:val="000000"/>
          <w:sz w:val="22"/>
          <w:szCs w:val="22"/>
        </w:rPr>
        <w:fldChar w:fldCharType="end"/>
      </w:r>
      <w:r>
        <w:rPr>
          <w:rFonts w:ascii="Arial" w:hAnsi="Arial" w:cs="Arial"/>
          <w:color w:val="000000"/>
          <w:sz w:val="22"/>
          <w:szCs w:val="22"/>
        </w:rPr>
        <w:t xml:space="preserve"> All animal experiments were approved by the Institutional Animal Care and Use Committee (IACUC). Sildenafil citrate (Sigma) was dissolved in DMSO, then diluted with tap water to obtain the final concentration of 400 mg/L drinking water and given </w:t>
      </w:r>
      <w:r>
        <w:rPr>
          <w:rFonts w:ascii="Arial" w:hAnsi="Arial" w:cs="Arial"/>
          <w:i/>
          <w:iCs/>
          <w:color w:val="000000"/>
          <w:sz w:val="22"/>
          <w:szCs w:val="22"/>
        </w:rPr>
        <w:t>ad libitum</w:t>
      </w:r>
      <w:r>
        <w:rPr>
          <w:rFonts w:ascii="Arial" w:hAnsi="Arial" w:cs="Arial"/>
          <w:color w:val="000000"/>
          <w:sz w:val="22"/>
          <w:szCs w:val="22"/>
        </w:rPr>
        <w:t>.</w:t>
      </w:r>
    </w:p>
    <w:p w14:paraId="7E48B62D" w14:textId="77777777" w:rsidR="00187C95" w:rsidRDefault="00187C95" w:rsidP="00187C95">
      <w:pPr>
        <w:spacing w:after="0" w:line="300" w:lineRule="auto"/>
        <w:jc w:val="both"/>
        <w:rPr>
          <w:rFonts w:ascii="Arial" w:hAnsi="Arial" w:cs="Arial"/>
          <w:bCs/>
          <w:color w:val="000000"/>
          <w:sz w:val="22"/>
          <w:szCs w:val="22"/>
        </w:rPr>
      </w:pPr>
      <w:r>
        <w:rPr>
          <w:rFonts w:ascii="Arial" w:hAnsi="Arial" w:cs="Arial"/>
          <w:bCs/>
          <w:color w:val="000000"/>
          <w:sz w:val="22"/>
          <w:szCs w:val="22"/>
        </w:rPr>
        <w:lastRenderedPageBreak/>
        <w:t>Electrocardiography (ECG) recordings were recorded from conscious mice, using the INDUS Rodent Surgical Monitoring system without anesthesia. Transthoracic echocardiograms to measure ventricular size, wall thickness, and ejection fraction were performed on mice using the Vevo 2700 VisualSonics System (Toronto, ON, Canada). Intraperitoneal injection with 0.1 mg midazolam was applied for anxiolytic muscle relaxant effects, without any anesthetic agent that may cause cardiac suppression. Standard 2D, M-mode, Doppler, Tissue Doppler images were obtained using a 30-MHz linear array transducer, including the parasternal short and long axis. All image analysis was performed by Vevo 2100 analysis software (v.1.5) after rapid image collection. The diastolic function was measured using tissue Doppler imaging of the mitral annulus (E`) and conventional mitral inflow (E wave).</w:t>
      </w:r>
    </w:p>
    <w:p w14:paraId="4681E458" w14:textId="77777777" w:rsidR="00187C95" w:rsidRDefault="00187C95" w:rsidP="00187C95">
      <w:pPr>
        <w:spacing w:after="0" w:line="300" w:lineRule="auto"/>
        <w:jc w:val="both"/>
        <w:rPr>
          <w:rFonts w:ascii="Arial" w:hAnsi="Arial" w:cs="Arial"/>
          <w:color w:val="000000"/>
          <w:sz w:val="22"/>
          <w:szCs w:val="22"/>
        </w:rPr>
      </w:pPr>
      <w:r>
        <w:rPr>
          <w:rFonts w:ascii="Arial" w:hAnsi="Arial" w:cs="Arial"/>
          <w:bCs/>
          <w:color w:val="000000"/>
          <w:sz w:val="22"/>
          <w:szCs w:val="22"/>
        </w:rPr>
        <w:t>Metabolic chamber</w:t>
      </w:r>
      <w:r>
        <w:rPr>
          <w:rFonts w:ascii="Arial" w:hAnsi="Arial" w:cs="Arial"/>
          <w:bCs/>
          <w:sz w:val="22"/>
          <w:szCs w:val="22"/>
        </w:rPr>
        <w:t xml:space="preserve"> by </w:t>
      </w:r>
      <w:r>
        <w:rPr>
          <w:rFonts w:ascii="Arial" w:hAnsi="Arial" w:cs="Arial"/>
          <w:bCs/>
          <w:color w:val="000000"/>
          <w:sz w:val="22"/>
          <w:szCs w:val="22"/>
        </w:rPr>
        <w:t>Promethion (Sable Systems International)</w:t>
      </w:r>
      <w:r>
        <w:rPr>
          <w:rFonts w:ascii="Arial" w:hAnsi="Arial" w:cs="Arial"/>
          <w:b/>
          <w:bCs/>
          <w:color w:val="000000"/>
          <w:sz w:val="22"/>
          <w:szCs w:val="22"/>
        </w:rPr>
        <w:t xml:space="preserve"> </w:t>
      </w:r>
      <w:r>
        <w:rPr>
          <w:rFonts w:ascii="Arial" w:hAnsi="Arial" w:cs="Arial"/>
          <w:color w:val="000000"/>
          <w:sz w:val="22"/>
          <w:szCs w:val="22"/>
        </w:rPr>
        <w:t>was applied to characterize the metabolism of whole-animal energy expenditure.</w:t>
      </w:r>
      <w:r>
        <w:rPr>
          <w:rFonts w:ascii="Arial" w:hAnsi="Arial" w:cs="Arial"/>
          <w:color w:val="000000"/>
          <w:sz w:val="22"/>
          <w:szCs w:val="22"/>
        </w:rPr>
        <w:fldChar w:fldCharType="begin">
          <w:fldData xml:space="preserve">PEVuZE5vdGU+PENpdGU+PEF1dGhvcj5YaWE8L0F1dGhvcj48WWVhcj4yMDI0PC9ZZWFyPjxSZWNO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</w:fldData>
        </w:fldChar>
      </w:r>
      <w:r>
        <w:rPr>
          <w:rFonts w:ascii="Arial" w:hAnsi="Arial" w:cs="Arial"/>
          <w:color w:val="000000"/>
          <w:sz w:val="22"/>
          <w:szCs w:val="22"/>
        </w:rPr>
        <w:instrText xml:space="preserve"> ADDIN EN.CITE </w:instrText>
      </w:r>
      <w:r>
        <w:rPr>
          <w:rFonts w:ascii="Arial" w:hAnsi="Arial" w:cs="Arial"/>
          <w:color w:val="000000"/>
          <w:sz w:val="22"/>
          <w:szCs w:val="22"/>
        </w:rPr>
        <w:fldChar w:fldCharType="begin">
          <w:fldData xml:space="preserve">PEVuZE5vdGU+PENpdGU+PEF1dGhvcj5YaWE8L0F1dGhvcj48WWVhcj4yMDI0PC9ZZWFyPjxSZWNO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</w:fldData>
        </w:fldChar>
      </w:r>
      <w:r>
        <w:rPr>
          <w:rFonts w:ascii="Arial" w:hAnsi="Arial" w:cs="Arial"/>
          <w:color w:val="000000"/>
          <w:sz w:val="22"/>
          <w:szCs w:val="22"/>
        </w:rPr>
        <w:instrText xml:space="preserve"> ADDIN EN.CITE.DATA </w:instrText>
      </w:r>
      <w:r>
        <w:rPr>
          <w:rFonts w:ascii="Arial" w:hAnsi="Arial" w:cs="Arial"/>
          <w:color w:val="000000"/>
          <w:sz w:val="22"/>
          <w:szCs w:val="22"/>
        </w:rPr>
      </w:r>
      <w:r>
        <w:rPr>
          <w:rFonts w:ascii="Arial" w:hAnsi="Arial" w:cs="Arial"/>
          <w:color w:val="000000"/>
          <w:sz w:val="22"/>
          <w:szCs w:val="22"/>
        </w:rPr>
        <w:fldChar w:fldCharType="end"/>
      </w:r>
      <w:r>
        <w:rPr>
          <w:rFonts w:ascii="Arial" w:hAnsi="Arial" w:cs="Arial"/>
          <w:color w:val="000000"/>
          <w:sz w:val="22"/>
          <w:szCs w:val="22"/>
        </w:rPr>
      </w:r>
      <w:r>
        <w:rPr>
          <w:rFonts w:ascii="Arial" w:hAnsi="Arial" w:cs="Arial"/>
          <w:color w:val="000000"/>
          <w:sz w:val="22"/>
          <w:szCs w:val="22"/>
        </w:rPr>
        <w:fldChar w:fldCharType="separate"/>
      </w:r>
      <w:r>
        <w:rPr>
          <w:rFonts w:ascii="Arial" w:hAnsi="Arial" w:cs="Arial"/>
          <w:color w:val="000000"/>
          <w:sz w:val="22"/>
          <w:szCs w:val="22"/>
          <w:vertAlign w:val="superscript"/>
        </w:rPr>
        <w:t>6</w:t>
      </w:r>
      <w:r>
        <w:rPr>
          <w:rFonts w:ascii="Arial" w:hAnsi="Arial" w:cs="Arial"/>
          <w:color w:val="000000"/>
          <w:sz w:val="22"/>
          <w:szCs w:val="22"/>
        </w:rPr>
        <w:fldChar w:fldCharType="end"/>
      </w:r>
      <w:r>
        <w:rPr>
          <w:rFonts w:ascii="Arial" w:hAnsi="Arial" w:cs="Arial"/>
          <w:color w:val="000000"/>
          <w:sz w:val="22"/>
          <w:szCs w:val="22"/>
        </w:rPr>
        <w:t xml:space="preserve"> The 16-cage metabolic chamber system directly measures various parameters over a 72</w:t>
      </w:r>
      <w:r>
        <w:rPr>
          <w:rFonts w:ascii="Cambria Math" w:hAnsi="Cambria Math" w:cs="Cambria Math"/>
          <w:color w:val="000000"/>
          <w:sz w:val="22"/>
          <w:szCs w:val="22"/>
        </w:rPr>
        <w:t>‐</w:t>
      </w:r>
      <w:r>
        <w:rPr>
          <w:rFonts w:ascii="Arial" w:hAnsi="Arial" w:cs="Arial"/>
          <w:color w:val="000000"/>
          <w:sz w:val="22"/>
          <w:szCs w:val="22"/>
        </w:rPr>
        <w:t>hour period, such as heat production, oxygen consumption (VO</w:t>
      </w:r>
      <w:r>
        <w:rPr>
          <w:rFonts w:ascii="Arial" w:hAnsi="Arial" w:cs="Arial"/>
          <w:color w:val="000000"/>
          <w:sz w:val="22"/>
          <w:szCs w:val="22"/>
          <w:vertAlign w:val="subscript"/>
        </w:rPr>
        <w:t>2</w:t>
      </w:r>
      <w:r>
        <w:rPr>
          <w:rFonts w:ascii="Arial" w:hAnsi="Arial" w:cs="Arial"/>
          <w:color w:val="000000"/>
          <w:sz w:val="22"/>
          <w:szCs w:val="22"/>
        </w:rPr>
        <w:t>), CO</w:t>
      </w:r>
      <w:r>
        <w:rPr>
          <w:rFonts w:ascii="Arial" w:hAnsi="Arial" w:cs="Arial"/>
          <w:color w:val="000000"/>
          <w:sz w:val="22"/>
          <w:szCs w:val="22"/>
          <w:vertAlign w:val="subscript"/>
        </w:rPr>
        <w:t>2</w:t>
      </w:r>
      <w:r>
        <w:rPr>
          <w:rFonts w:ascii="Arial" w:hAnsi="Arial" w:cs="Arial"/>
          <w:color w:val="000000"/>
          <w:sz w:val="22"/>
          <w:szCs w:val="22"/>
        </w:rPr>
        <w:t xml:space="preserve"> production, and XY activity movement. The respiratory exchange ratio (RER) is calculated as the ratio of carbon dioxide production (VCO</w:t>
      </w:r>
      <w:r>
        <w:rPr>
          <w:rFonts w:ascii="Arial" w:hAnsi="Arial" w:cs="Arial"/>
          <w:color w:val="000000"/>
          <w:sz w:val="22"/>
          <w:szCs w:val="22"/>
          <w:vertAlign w:val="subscript"/>
        </w:rPr>
        <w:t>2</w:t>
      </w:r>
      <w:r>
        <w:rPr>
          <w:rFonts w:ascii="Arial" w:hAnsi="Arial" w:cs="Arial"/>
          <w:color w:val="000000"/>
          <w:sz w:val="22"/>
          <w:szCs w:val="22"/>
        </w:rPr>
        <w:t xml:space="preserve">) to oxygen consumption. This parameter is useful to estimate the metabolic status. </w:t>
      </w:r>
      <w:r>
        <w:rPr>
          <w:rFonts w:ascii="Arial" w:hAnsi="Arial" w:cs="Arial"/>
          <w:bCs/>
          <w:color w:val="000000"/>
          <w:sz w:val="22"/>
          <w:szCs w:val="22"/>
        </w:rPr>
        <w:t xml:space="preserve">The </w:t>
      </w:r>
      <w:r>
        <w:rPr>
          <w:rFonts w:ascii="Arial" w:hAnsi="Arial" w:cs="Arial"/>
          <w:color w:val="000000"/>
          <w:sz w:val="22"/>
          <w:szCs w:val="22"/>
        </w:rPr>
        <w:t>xy axis detection of animal motion</w:t>
      </w:r>
      <w:r>
        <w:rPr>
          <w:rFonts w:ascii="Arial" w:hAnsi="Arial" w:cs="Arial"/>
          <w:bCs/>
          <w:color w:val="000000"/>
          <w:sz w:val="22"/>
          <w:szCs w:val="22"/>
        </w:rPr>
        <w:t xml:space="preserve"> measure activity during day-time and night-time</w:t>
      </w:r>
      <w:r>
        <w:rPr>
          <w:rFonts w:ascii="Arial" w:hAnsi="Arial" w:cs="Arial"/>
          <w:i/>
          <w:color w:val="000000"/>
          <w:sz w:val="22"/>
          <w:szCs w:val="22"/>
        </w:rPr>
        <w:t>.</w:t>
      </w:r>
      <w:r>
        <w:rPr>
          <w:rFonts w:ascii="Arial" w:hAnsi="Arial" w:cs="Arial"/>
          <w:color w:val="000000"/>
          <w:sz w:val="22"/>
          <w:szCs w:val="22"/>
        </w:rPr>
        <w:t xml:space="preserve"> The formula applied was Heat = 1.232*VCO</w:t>
      </w:r>
      <w:r>
        <w:rPr>
          <w:rFonts w:ascii="Arial" w:hAnsi="Arial" w:cs="Arial"/>
          <w:color w:val="000000"/>
          <w:sz w:val="22"/>
          <w:szCs w:val="22"/>
          <w:vertAlign w:val="subscript"/>
        </w:rPr>
        <w:t>2</w:t>
      </w:r>
      <w:r>
        <w:rPr>
          <w:rFonts w:ascii="Arial" w:hAnsi="Arial" w:cs="Arial"/>
          <w:color w:val="000000"/>
          <w:sz w:val="22"/>
          <w:szCs w:val="22"/>
        </w:rPr>
        <w:t>+3.815*VO</w:t>
      </w:r>
      <w:r>
        <w:rPr>
          <w:rFonts w:ascii="Arial" w:hAnsi="Arial" w:cs="Arial"/>
          <w:color w:val="000000"/>
          <w:sz w:val="22"/>
          <w:szCs w:val="22"/>
          <w:vertAlign w:val="subscript"/>
        </w:rPr>
        <w:t>2</w:t>
      </w:r>
      <w:r>
        <w:rPr>
          <w:rFonts w:ascii="Arial" w:hAnsi="Arial" w:cs="Arial"/>
          <w:color w:val="000000"/>
          <w:sz w:val="22"/>
          <w:szCs w:val="22"/>
        </w:rPr>
        <w:t xml:space="preserve">. </w:t>
      </w:r>
    </w:p>
    <w:p w14:paraId="0021D186" w14:textId="77777777" w:rsidR="00187C95" w:rsidRDefault="00187C95" w:rsidP="00187C95">
      <w:pPr>
        <w:spacing w:after="0" w:line="300" w:lineRule="auto"/>
        <w:jc w:val="both"/>
        <w:rPr>
          <w:rFonts w:ascii="Arial" w:hAnsi="Arial" w:cs="Arial"/>
          <w:b/>
          <w:sz w:val="22"/>
          <w:szCs w:val="22"/>
        </w:rPr>
      </w:pPr>
    </w:p>
    <w:p w14:paraId="2C6FB515" w14:textId="77777777" w:rsidR="00187C95" w:rsidRPr="00B626D5" w:rsidRDefault="00187C95" w:rsidP="00187C95">
      <w:pPr>
        <w:spacing w:after="0" w:line="300" w:lineRule="auto"/>
        <w:jc w:val="both"/>
        <w:rPr>
          <w:rFonts w:ascii="Arial" w:hAnsi="Arial" w:cs="Arial"/>
          <w:b/>
          <w:color w:val="2F5496" w:themeColor="accent5" w:themeShade="BF"/>
          <w:sz w:val="22"/>
          <w:szCs w:val="22"/>
        </w:rPr>
      </w:pPr>
      <w:r w:rsidRPr="00B626D5">
        <w:rPr>
          <w:rFonts w:ascii="Arial" w:hAnsi="Arial" w:cs="Arial"/>
          <w:b/>
          <w:color w:val="2F5496" w:themeColor="accent5" w:themeShade="BF"/>
          <w:sz w:val="22"/>
          <w:szCs w:val="22"/>
        </w:rPr>
        <w:t>Immunostaining</w:t>
      </w:r>
    </w:p>
    <w:p w14:paraId="5482B155" w14:textId="35FFC940" w:rsidR="00187C95" w:rsidRDefault="00187C95" w:rsidP="00187C95">
      <w:pPr>
        <w:spacing w:after="0" w:line="300" w:lineRule="auto"/>
        <w:jc w:val="both"/>
        <w:rPr>
          <w:rFonts w:ascii="Arial" w:hAnsi="Arial" w:cs="Arial"/>
          <w:sz w:val="22"/>
          <w:szCs w:val="22"/>
        </w:rPr>
      </w:pPr>
      <w:r>
        <w:rPr>
          <w:rFonts w:ascii="Arial" w:hAnsi="Arial" w:cs="Arial"/>
          <w:sz w:val="22"/>
          <w:szCs w:val="22"/>
        </w:rPr>
        <w:t xml:space="preserve">We fixed NPCs and neurons grown on Matrigel-coated coverslips with 4 % PFA </w:t>
      </w:r>
      <w:r>
        <w:rPr>
          <w:rFonts w:ascii="Arial" w:hAnsi="Arial" w:cs="Arial"/>
          <w:color w:val="000000"/>
          <w:sz w:val="22"/>
          <w:szCs w:val="22"/>
          <w:lang w:eastAsia="en-GB"/>
        </w:rPr>
        <w:t xml:space="preserve">(Thermo Fisher Scientific) </w:t>
      </w:r>
      <w:r>
        <w:rPr>
          <w:rFonts w:ascii="Arial" w:hAnsi="Arial" w:cs="Arial"/>
          <w:sz w:val="22"/>
          <w:szCs w:val="22"/>
        </w:rPr>
        <w:t xml:space="preserve">in PBS for 20 min at RT and washed two times with PBS. For permeabilization, we incubated the fixed cells with a blocking solution containing 10 % normal donkey serum (DNS) (Merck Millipore) and 1% Triton X-100 (Sigma-Aldrich) in PBS with 0.05 % Tween 20 (Sigma-Aldrich, St. Louis, MO, USA) (PBS-T) for 1 h at RT. We diluted primary antibodies in blocking solution and incubated them overnight at 4 </w:t>
      </w:r>
      <w:r>
        <w:rPr>
          <w:rFonts w:ascii="Arial" w:hAnsi="Arial" w:cs="Arial"/>
          <w:sz w:val="22"/>
          <w:szCs w:val="22"/>
          <w:vertAlign w:val="superscript"/>
        </w:rPr>
        <w:t>o</w:t>
      </w:r>
      <w:r>
        <w:rPr>
          <w:rFonts w:ascii="Arial" w:hAnsi="Arial" w:cs="Arial"/>
          <w:sz w:val="22"/>
          <w:szCs w:val="22"/>
        </w:rPr>
        <w:t xml:space="preserve">C on a shaker. Next, the primary antibody was removed, and the wells were rinsed three times with PBS. Corresponding secondary antibodies (all Alexa Fluor, 1:2000, Thermo Fisher Scientific) together with 1:2500 Hoechst 33342 (Thermo Fisher Scientific) were diluted in blocking solution and added to the wells for 1 h at RT on a shaker. Finally, the staining solution was removed, and the wells were rinsed with PBS three times following mounting of the coverslips on microscopic slides. Details on the primary and secondary antibodies used are reported in </w:t>
      </w:r>
      <w:r w:rsidR="00924717">
        <w:rPr>
          <w:rFonts w:ascii="Arial" w:hAnsi="Arial" w:cs="Arial"/>
          <w:b/>
          <w:bCs/>
          <w:sz w:val="22"/>
          <w:szCs w:val="22"/>
        </w:rPr>
        <w:t>R</w:t>
      </w:r>
      <w:r w:rsidR="00924717" w:rsidRPr="003B32A3">
        <w:rPr>
          <w:rFonts w:ascii="Arial" w:hAnsi="Arial" w:cs="Arial"/>
          <w:b/>
          <w:bCs/>
          <w:sz w:val="22"/>
          <w:szCs w:val="22"/>
        </w:rPr>
        <w:t xml:space="preserve">esources </w:t>
      </w:r>
      <w:r w:rsidR="00924717">
        <w:rPr>
          <w:rFonts w:ascii="Arial" w:hAnsi="Arial" w:cs="Arial"/>
          <w:b/>
          <w:bCs/>
          <w:sz w:val="22"/>
          <w:szCs w:val="22"/>
        </w:rPr>
        <w:t>T</w:t>
      </w:r>
      <w:r w:rsidR="00924717" w:rsidRPr="003B32A3">
        <w:rPr>
          <w:rFonts w:ascii="Arial" w:hAnsi="Arial" w:cs="Arial"/>
          <w:b/>
          <w:bCs/>
          <w:sz w:val="22"/>
          <w:szCs w:val="22"/>
        </w:rPr>
        <w:t>able</w:t>
      </w:r>
      <w:r>
        <w:rPr>
          <w:rFonts w:ascii="Arial" w:hAnsi="Arial" w:cs="Arial"/>
          <w:sz w:val="22"/>
          <w:szCs w:val="22"/>
        </w:rPr>
        <w:t xml:space="preserve">. We acquired the images of 2D cultures using the fluorescence microscope ZEISS Axio Observer Apotome 3 (Zeiss) in combination with the ZEN Microscopy Software (Zeiss) and further processed with ImageJ. </w:t>
      </w:r>
    </w:p>
    <w:p w14:paraId="34D9F5C7" w14:textId="30D87D6F" w:rsidR="00187C95" w:rsidRDefault="00187C95" w:rsidP="00187C95">
      <w:pPr>
        <w:spacing w:after="0" w:line="300" w:lineRule="auto"/>
        <w:jc w:val="both"/>
        <w:rPr>
          <w:rFonts w:ascii="Arial" w:hAnsi="Arial" w:cs="Arial"/>
          <w:sz w:val="22"/>
          <w:szCs w:val="22"/>
        </w:rPr>
      </w:pPr>
      <w:r>
        <w:rPr>
          <w:rFonts w:ascii="Arial" w:hAnsi="Arial" w:cs="Arial"/>
          <w:sz w:val="22"/>
          <w:szCs w:val="22"/>
        </w:rPr>
        <w:t>For staining cortical brain organoids, we used</w:t>
      </w:r>
      <w:r>
        <w:rPr>
          <w:rFonts w:ascii="Arial" w:hAnsi="Arial" w:cs="Arial"/>
          <w:color w:val="000000"/>
          <w:sz w:val="22"/>
          <w:szCs w:val="22"/>
          <w:lang w:eastAsia="en-GB"/>
        </w:rPr>
        <w:t xml:space="preserve"> 4 % PFA (Thermo Fisher Scientific) in PBS for 1 h at RT and sliced them using the Vibratome Microm HM 650 V (Thermo Fisher Scientific). The samples were placed in a 3 % LB agar (Sigma) solution in PBS and put in a cool place until the agar was solidified. The agar shape was freed from its mould and attached on the carrier plate of the vibratome and placed in cold PBS. The cutting procedure was performed at an amplitude of 1.0 mm, a frequency of 60 Hz and a velocity of 13 mm/s. The organoids were sliced with a thickness of 100 μm and gently transferred to SuperFrost Plus glass slides (VWR) for staining. Blocking was carried out for 1 h at RT with a blocking solution containing 1 x PBS, 10 % donkey serum (Sigma Aldrich), 0.1 % Tween-20 (Sigma), and 1 % Triton-X (Merck). Primary antibodies were dissolved in blocking solution and applied on the slides and incubated at 4 °C overnight. The next day, the slides were rinsed three times for 10 min in 1 x PBS and then exposed to secondary antibodies in blocking solution at a dilution of 1:300 counterstained with 1:2500 Hoechst 3342 (Invitrogen). The slides were incubated for 1 h at RT protected from light and subsequently rinsed three times for 10 min with 1 x PBS. Finally, coverslips were mounted using Pro-Long Glass Antifade Mountant (Invitrogen) on microscopic slides. </w:t>
      </w:r>
      <w:r>
        <w:rPr>
          <w:rFonts w:ascii="Arial" w:hAnsi="Arial" w:cs="Arial"/>
          <w:sz w:val="22"/>
          <w:szCs w:val="22"/>
        </w:rPr>
        <w:t>Details on the primary and secondary</w:t>
      </w:r>
      <w:r w:rsidR="00B626D5">
        <w:rPr>
          <w:rFonts w:ascii="Arial" w:hAnsi="Arial" w:cs="Arial"/>
          <w:sz w:val="22"/>
          <w:szCs w:val="22"/>
        </w:rPr>
        <w:t xml:space="preserve"> antibodies</w:t>
      </w:r>
      <w:r>
        <w:rPr>
          <w:rFonts w:ascii="Arial" w:hAnsi="Arial" w:cs="Arial"/>
          <w:sz w:val="22"/>
          <w:szCs w:val="22"/>
        </w:rPr>
        <w:t xml:space="preserve"> used are reported in </w:t>
      </w:r>
      <w:r w:rsidR="00924717">
        <w:rPr>
          <w:rFonts w:ascii="Arial" w:hAnsi="Arial" w:cs="Arial"/>
          <w:b/>
          <w:bCs/>
          <w:sz w:val="22"/>
          <w:szCs w:val="22"/>
        </w:rPr>
        <w:t>R</w:t>
      </w:r>
      <w:r w:rsidR="00924717" w:rsidRPr="003B32A3">
        <w:rPr>
          <w:rFonts w:ascii="Arial" w:hAnsi="Arial" w:cs="Arial"/>
          <w:b/>
          <w:bCs/>
          <w:sz w:val="22"/>
          <w:szCs w:val="22"/>
        </w:rPr>
        <w:t xml:space="preserve">esources </w:t>
      </w:r>
      <w:r w:rsidR="00924717">
        <w:rPr>
          <w:rFonts w:ascii="Arial" w:hAnsi="Arial" w:cs="Arial"/>
          <w:b/>
          <w:bCs/>
          <w:sz w:val="22"/>
          <w:szCs w:val="22"/>
        </w:rPr>
        <w:t>T</w:t>
      </w:r>
      <w:r w:rsidR="00924717" w:rsidRPr="003B32A3">
        <w:rPr>
          <w:rFonts w:ascii="Arial" w:hAnsi="Arial" w:cs="Arial"/>
          <w:b/>
          <w:bCs/>
          <w:sz w:val="22"/>
          <w:szCs w:val="22"/>
        </w:rPr>
        <w:t>able</w:t>
      </w:r>
      <w:r w:rsidRPr="00924717">
        <w:rPr>
          <w:rFonts w:ascii="Arial" w:hAnsi="Arial" w:cs="Arial"/>
          <w:sz w:val="22"/>
          <w:szCs w:val="22"/>
        </w:rPr>
        <w:t>.</w:t>
      </w:r>
      <w:r>
        <w:rPr>
          <w:rFonts w:ascii="Arial" w:hAnsi="Arial" w:cs="Arial"/>
          <w:b/>
          <w:bCs/>
          <w:sz w:val="22"/>
          <w:szCs w:val="22"/>
        </w:rPr>
        <w:t xml:space="preserve"> </w:t>
      </w:r>
      <w:r>
        <w:rPr>
          <w:rFonts w:ascii="Arial" w:hAnsi="Arial" w:cs="Arial"/>
          <w:color w:val="000000"/>
          <w:sz w:val="22"/>
          <w:szCs w:val="22"/>
          <w:lang w:eastAsia="en-GB"/>
        </w:rPr>
        <w:t xml:space="preserve">Images of brain organoids were acquired using the Eclipse 90i upright widefield microscope (Nikon Microscope solutions) equipped with the imaging software NIS-Elements Advanced Research 3.2 (Nikon). Large images (7 x 7 stitches) were taken with a dry 20 x objective (Plan Apo VC 20 x / 0.75 air DIC N2 ∞/0.17 WD 1.0, Nikon </w:t>
      </w:r>
      <w:r>
        <w:rPr>
          <w:rFonts w:ascii="Arial" w:hAnsi="Arial" w:cs="Arial"/>
          <w:color w:val="000000"/>
          <w:sz w:val="22"/>
          <w:szCs w:val="22"/>
          <w:lang w:eastAsia="en-GB"/>
        </w:rPr>
        <w:lastRenderedPageBreak/>
        <w:t>Microscope Solutions) and three different filter channels (DAPI, FITC, TRITC). Specific structures of interest within the slices were imaged with the Confocal laser scanning microscope C1 (Nikon Microscope Solutions) and a dry 20 x objective (Plan Apo VC 20 x / 0.75 air DIC N2 ∞/0.17 WD 1.0, Nikon Microscope Solutions). Images were taken using the imaging software EZ-C1 Silver Version 3.91 at z-stack settings (1.1 μm step size, 10-30 steps).</w:t>
      </w:r>
    </w:p>
    <w:p w14:paraId="28B69C5A" w14:textId="77777777" w:rsidR="00187C95" w:rsidRDefault="00187C95" w:rsidP="00187C95">
      <w:pPr>
        <w:spacing w:after="0" w:line="300" w:lineRule="auto"/>
        <w:jc w:val="both"/>
        <w:rPr>
          <w:sz w:val="22"/>
          <w:szCs w:val="22"/>
          <w:lang w:eastAsia="en-GB"/>
        </w:rPr>
      </w:pPr>
    </w:p>
    <w:p w14:paraId="0098DFFF" w14:textId="77777777" w:rsidR="00187C95" w:rsidRPr="0088792C" w:rsidRDefault="00187C95" w:rsidP="00187C95">
      <w:pPr>
        <w:spacing w:after="0" w:line="300" w:lineRule="auto"/>
        <w:jc w:val="both"/>
        <w:rPr>
          <w:color w:val="2F5496" w:themeColor="accent5" w:themeShade="BF"/>
          <w:lang w:val="fr-FR" w:eastAsia="en-GB"/>
        </w:rPr>
      </w:pPr>
      <w:r w:rsidRPr="0088792C">
        <w:rPr>
          <w:rFonts w:ascii="Arial" w:hAnsi="Arial" w:cs="Arial"/>
          <w:b/>
          <w:bCs/>
          <w:color w:val="2F5496" w:themeColor="accent5" w:themeShade="BF"/>
          <w:sz w:val="22"/>
          <w:szCs w:val="22"/>
          <w:lang w:val="fr-FR" w:eastAsia="en-GB"/>
        </w:rPr>
        <w:t>Quantitative polymerase chain reaction (qPCR)</w:t>
      </w:r>
    </w:p>
    <w:p w14:paraId="03D5EF11" w14:textId="7C50D55A" w:rsidR="00187C95" w:rsidRDefault="00187C95" w:rsidP="00187C95">
      <w:pPr>
        <w:spacing w:after="0" w:line="300" w:lineRule="auto"/>
        <w:jc w:val="both"/>
        <w:rPr>
          <w:rFonts w:ascii="Arial" w:hAnsi="Arial" w:cs="Arial"/>
          <w:color w:val="000000"/>
          <w:sz w:val="22"/>
          <w:szCs w:val="20"/>
          <w:lang w:eastAsia="en-GB"/>
        </w:rPr>
      </w:pPr>
      <w:r>
        <w:rPr>
          <w:rFonts w:ascii="Arial" w:hAnsi="Arial" w:cs="Arial"/>
          <w:color w:val="000000"/>
          <w:sz w:val="22"/>
          <w:szCs w:val="20"/>
          <w:lang w:eastAsia="en-GB"/>
        </w:rPr>
        <w:t>Isolated total RNA was transcribed into complementary DNA (cDNA). Into a nuclease-free microcentrifuge tube, 1 μl of oligo d(T)</w:t>
      </w:r>
      <w:r>
        <w:rPr>
          <w:rFonts w:ascii="Arial" w:hAnsi="Arial" w:cs="Arial"/>
          <w:color w:val="000000"/>
          <w:sz w:val="22"/>
          <w:szCs w:val="20"/>
          <w:vertAlign w:val="subscript"/>
          <w:lang w:eastAsia="en-GB"/>
        </w:rPr>
        <w:t>18</w:t>
      </w:r>
      <w:r>
        <w:rPr>
          <w:rFonts w:ascii="Arial" w:hAnsi="Arial" w:cs="Arial"/>
          <w:color w:val="000000"/>
          <w:sz w:val="22"/>
          <w:szCs w:val="20"/>
          <w:lang w:eastAsia="en-GB"/>
        </w:rPr>
        <w:t xml:space="preserve"> primers (Thermo Fisher Scientific), 1 μl of 10 mM dNTP mix (Thermo Fisher Scientific) and the respective volume of RNA solution that contained 1 μg RNA were filled up to 12 μl with RNase-free, distilled water. In the Mastercycler X50s (Eppendorf), the mixture was heated to 65 °C for 5 min and then quickly chilled on ice. 4 μl of 5 x First-Strand Buffer, 2 μl of 0.1M DTT and 1 μl of RNaseOUT (Invitrogen) were added to the tube, gently mixed and incubated at 37 °C for 2 min. 1 μl (200 units) of Moloney Murine Leukemia Virus Reverse Transcriptase (M-MLV RT) was added to the reaction tube and mixed. The reaction mixture was incubated for 50 min at 37 °C, and at last inactivated by heating at 70 °C for 15 min. For the qPCR reaction, the synthesized cDNA was mixed with 10 µM primer mix (primers designed with Integrated DNA technologies, see Tab. X) and SYBR</w:t>
      </w:r>
      <w:r>
        <w:rPr>
          <w:rFonts w:ascii="Arial" w:hAnsi="Arial" w:cs="Arial"/>
          <w:color w:val="000000"/>
          <w:sz w:val="22"/>
          <w:szCs w:val="20"/>
          <w:vertAlign w:val="superscript"/>
          <w:lang w:eastAsia="en-GB"/>
        </w:rPr>
        <w:t>TM</w:t>
      </w:r>
      <w:r>
        <w:rPr>
          <w:rFonts w:ascii="Arial" w:hAnsi="Arial" w:cs="Arial"/>
          <w:color w:val="000000"/>
          <w:sz w:val="22"/>
          <w:szCs w:val="20"/>
          <w:lang w:eastAsia="en-GB"/>
        </w:rPr>
        <w:t xml:space="preserve"> Green PCR Master Mix (Applied Biosystems) diluted in water in a 96-well plate. The plate was transferred to CFX96™ Real-Time System qPCR machine (Bio-Rad) and the following program was started using CFX96 software: 2 min at 50 °C, 10 min at 95 °C, 39 x (15 s at 95 °C, 30 s at 62 °C, 30 s at 72 °C), 15 min at 95 °C, 5 s at 62 °C, and 50 s at 95 °C. To check the quality of the qPCR products, melting curves were assessed first. The obtained CT values were analyzed using the 2</w:t>
      </w:r>
      <w:r>
        <w:rPr>
          <w:rFonts w:ascii="Arial" w:hAnsi="Arial" w:cs="Arial"/>
          <w:color w:val="000000"/>
          <w:sz w:val="22"/>
          <w:szCs w:val="20"/>
          <w:vertAlign w:val="superscript"/>
          <w:lang w:eastAsia="en-GB"/>
        </w:rPr>
        <w:t>-ΔΔCT</w:t>
      </w:r>
      <w:r>
        <w:rPr>
          <w:rFonts w:ascii="Arial" w:hAnsi="Arial" w:cs="Arial"/>
          <w:color w:val="000000"/>
          <w:sz w:val="22"/>
          <w:szCs w:val="20"/>
          <w:lang w:eastAsia="en-GB"/>
        </w:rPr>
        <w:t xml:space="preserve"> method. For this, the CT values of the genes of interest were subtracted from the CT values of the housekeeping genes </w:t>
      </w:r>
      <w:r>
        <w:rPr>
          <w:rFonts w:ascii="Arial" w:hAnsi="Arial" w:cs="Arial"/>
          <w:i/>
          <w:iCs/>
          <w:color w:val="000000"/>
          <w:sz w:val="22"/>
          <w:szCs w:val="20"/>
          <w:lang w:eastAsia="en-GB"/>
        </w:rPr>
        <w:t>GAPDH</w:t>
      </w:r>
      <w:r>
        <w:rPr>
          <w:rFonts w:ascii="Arial" w:hAnsi="Arial" w:cs="Arial"/>
          <w:color w:val="000000"/>
          <w:sz w:val="22"/>
          <w:szCs w:val="20"/>
          <w:lang w:eastAsia="en-GB"/>
        </w:rPr>
        <w:t xml:space="preserve"> and </w:t>
      </w:r>
      <w:r>
        <w:rPr>
          <w:rFonts w:ascii="Arial" w:hAnsi="Arial" w:cs="Arial"/>
          <w:i/>
          <w:iCs/>
          <w:color w:val="000000"/>
          <w:sz w:val="22"/>
          <w:szCs w:val="20"/>
          <w:lang w:eastAsia="en-GB"/>
        </w:rPr>
        <w:t>OAZ1</w:t>
      </w:r>
      <w:r>
        <w:rPr>
          <w:rFonts w:ascii="Arial" w:hAnsi="Arial" w:cs="Arial"/>
          <w:color w:val="000000"/>
          <w:sz w:val="22"/>
          <w:szCs w:val="20"/>
          <w:lang w:eastAsia="en-GB"/>
        </w:rPr>
        <w:t xml:space="preserve">. Primer sequences are reported in </w:t>
      </w:r>
      <w:r w:rsidR="00924717">
        <w:rPr>
          <w:rFonts w:ascii="Arial" w:hAnsi="Arial" w:cs="Arial"/>
          <w:b/>
          <w:bCs/>
          <w:sz w:val="22"/>
          <w:szCs w:val="22"/>
        </w:rPr>
        <w:t>R</w:t>
      </w:r>
      <w:r w:rsidR="00924717" w:rsidRPr="003B32A3">
        <w:rPr>
          <w:rFonts w:ascii="Arial" w:hAnsi="Arial" w:cs="Arial"/>
          <w:b/>
          <w:bCs/>
          <w:sz w:val="22"/>
          <w:szCs w:val="22"/>
        </w:rPr>
        <w:t xml:space="preserve">esources </w:t>
      </w:r>
      <w:r w:rsidR="00924717">
        <w:rPr>
          <w:rFonts w:ascii="Arial" w:hAnsi="Arial" w:cs="Arial"/>
          <w:b/>
          <w:bCs/>
          <w:sz w:val="22"/>
          <w:szCs w:val="22"/>
        </w:rPr>
        <w:t>T</w:t>
      </w:r>
      <w:r w:rsidR="00924717" w:rsidRPr="003B32A3">
        <w:rPr>
          <w:rFonts w:ascii="Arial" w:hAnsi="Arial" w:cs="Arial"/>
          <w:b/>
          <w:bCs/>
          <w:sz w:val="22"/>
          <w:szCs w:val="22"/>
        </w:rPr>
        <w:t>able</w:t>
      </w:r>
      <w:r>
        <w:rPr>
          <w:rFonts w:ascii="Arial" w:hAnsi="Arial" w:cs="Arial"/>
          <w:color w:val="000000"/>
          <w:sz w:val="22"/>
          <w:szCs w:val="20"/>
          <w:lang w:eastAsia="en-GB"/>
        </w:rPr>
        <w:t>.</w:t>
      </w:r>
    </w:p>
    <w:p w14:paraId="4140FFD9" w14:textId="77777777" w:rsidR="00187C95" w:rsidRPr="00D16BD2" w:rsidRDefault="00187C95" w:rsidP="00187C95">
      <w:pPr>
        <w:spacing w:after="0" w:line="300" w:lineRule="auto"/>
        <w:jc w:val="both"/>
        <w:rPr>
          <w:rFonts w:ascii="Arial" w:hAnsi="Arial" w:cs="Arial"/>
          <w:b/>
          <w:bCs/>
          <w:color w:val="2F5496" w:themeColor="accent5" w:themeShade="BF"/>
          <w:sz w:val="22"/>
          <w:szCs w:val="22"/>
          <w:lang w:eastAsia="it-IT"/>
        </w:rPr>
      </w:pPr>
      <w:r>
        <w:rPr>
          <w:rFonts w:ascii="Arial" w:hAnsi="Arial" w:cs="Arial"/>
          <w:b/>
          <w:bCs/>
          <w:sz w:val="22"/>
          <w:szCs w:val="22"/>
          <w:lang w:eastAsia="it-IT"/>
        </w:rPr>
        <w:br/>
      </w:r>
      <w:r w:rsidRPr="00D16BD2">
        <w:rPr>
          <w:rFonts w:ascii="Arial" w:hAnsi="Arial" w:cs="Arial"/>
          <w:b/>
          <w:bCs/>
          <w:color w:val="2F5496" w:themeColor="accent5" w:themeShade="BF"/>
          <w:sz w:val="22"/>
          <w:szCs w:val="22"/>
          <w:lang w:eastAsia="it-IT"/>
        </w:rPr>
        <w:t xml:space="preserve">Immunoblot analysis </w:t>
      </w:r>
    </w:p>
    <w:p w14:paraId="75A3EE4B" w14:textId="4415C938" w:rsidR="00187C95" w:rsidRDefault="00BA1797" w:rsidP="00187C95">
      <w:pPr>
        <w:spacing w:after="0" w:line="300" w:lineRule="auto"/>
        <w:jc w:val="both"/>
        <w:rPr>
          <w:rFonts w:ascii="Arial" w:hAnsi="Arial" w:cs="Arial"/>
          <w:sz w:val="22"/>
          <w:szCs w:val="22"/>
          <w:lang w:eastAsia="it-IT"/>
        </w:rPr>
      </w:pPr>
      <w:r>
        <w:rPr>
          <w:rFonts w:ascii="Arial" w:hAnsi="Arial" w:cs="Arial"/>
          <w:sz w:val="22"/>
          <w:szCs w:val="22"/>
          <w:lang w:eastAsia="it-IT"/>
        </w:rPr>
        <w:t>Pooled cells (at least 1.</w:t>
      </w:r>
      <w:r w:rsidR="00187C95">
        <w:rPr>
          <w:rFonts w:ascii="Arial" w:hAnsi="Arial" w:cs="Arial"/>
          <w:sz w:val="22"/>
          <w:szCs w:val="22"/>
          <w:lang w:eastAsia="it-IT"/>
        </w:rPr>
        <w:t>5 x 10</w:t>
      </w:r>
      <w:r w:rsidR="00187C95">
        <w:rPr>
          <w:rFonts w:ascii="Arial" w:hAnsi="Arial" w:cs="Arial"/>
          <w:sz w:val="22"/>
          <w:szCs w:val="22"/>
          <w:vertAlign w:val="superscript"/>
          <w:lang w:eastAsia="it-IT"/>
        </w:rPr>
        <w:t xml:space="preserve">6 </w:t>
      </w:r>
      <w:r w:rsidR="00187C95">
        <w:rPr>
          <w:rFonts w:ascii="Arial" w:hAnsi="Arial" w:cs="Arial"/>
          <w:sz w:val="22"/>
          <w:szCs w:val="22"/>
          <w:lang w:eastAsia="it-IT"/>
        </w:rPr>
        <w:t xml:space="preserve">NPCs) were homogenized in RIPA buffer (150 mM NaCl, 5 mM EDTA pH 8, 50 mM Tris pH 8, 1 % NP- 40, 0.5 % sodium deoxycholate (DOC), 0.1 % sodium dodecyl sulfate (SDS)) in the presence of protease and phosphatase inhibitors. Samples were sonicated in an ultrasonic bath (Branson 1800-E) for 1 min, incubated in ice for 30 min and then centrifuged at 10,000 x g for 15 min at 4 °C. Protein concentration was determined with the Bicinchoninic Acid (BCA) protein assay kit (Thermo Scientific). 30 μg of proteins were run through a 4 % separating /10 % resolving polyacrylamide gel with stain-free technology (Bio-Rad laboratories), to allow detection and quantification. Proteins were then electroblotted onto a PVDF membrane. After 1 h of blocking with 3 % BSA in TBS-Tween at room temperature (RT), the membranes were incubated with the primary antibodies overnight at 4 °C and subsequently probed with HRP-conjugated secondary antibodies for 2 h at RT. Chemiluminescence-based immunostaining (SuperSignal West Pico PLUS Chemiluminescent Substrate, Thermo Scientific) was performed. Images were acquired with the ChemiDoc MP Imaging system. All primary and secondary antibodies used are reported in </w:t>
      </w:r>
      <w:r w:rsidR="00924717">
        <w:rPr>
          <w:rFonts w:ascii="Arial" w:hAnsi="Arial" w:cs="Arial"/>
          <w:b/>
          <w:bCs/>
          <w:sz w:val="22"/>
          <w:szCs w:val="22"/>
        </w:rPr>
        <w:t>R</w:t>
      </w:r>
      <w:r w:rsidR="00924717" w:rsidRPr="003B32A3">
        <w:rPr>
          <w:rFonts w:ascii="Arial" w:hAnsi="Arial" w:cs="Arial"/>
          <w:b/>
          <w:bCs/>
          <w:sz w:val="22"/>
          <w:szCs w:val="22"/>
        </w:rPr>
        <w:t xml:space="preserve">esources </w:t>
      </w:r>
      <w:r w:rsidR="00924717">
        <w:rPr>
          <w:rFonts w:ascii="Arial" w:hAnsi="Arial" w:cs="Arial"/>
          <w:b/>
          <w:bCs/>
          <w:sz w:val="22"/>
          <w:szCs w:val="22"/>
        </w:rPr>
        <w:t>T</w:t>
      </w:r>
      <w:r w:rsidR="00924717" w:rsidRPr="003B32A3">
        <w:rPr>
          <w:rFonts w:ascii="Arial" w:hAnsi="Arial" w:cs="Arial"/>
          <w:b/>
          <w:bCs/>
          <w:sz w:val="22"/>
          <w:szCs w:val="22"/>
        </w:rPr>
        <w:t>able</w:t>
      </w:r>
      <w:r w:rsidR="00187C95">
        <w:rPr>
          <w:rFonts w:ascii="Arial" w:hAnsi="Arial" w:cs="Arial"/>
          <w:sz w:val="22"/>
          <w:szCs w:val="22"/>
          <w:lang w:eastAsia="it-IT"/>
        </w:rPr>
        <w:t xml:space="preserve">. Data analysis and quantification was performed using Image Lab software, 6.1 (Bio-Rad Laboratories). </w:t>
      </w:r>
    </w:p>
    <w:p w14:paraId="2CF9B89F" w14:textId="77777777" w:rsidR="00187C95" w:rsidRDefault="00187C95" w:rsidP="00187C95">
      <w:pPr>
        <w:spacing w:after="0" w:line="300" w:lineRule="auto"/>
        <w:jc w:val="both"/>
        <w:rPr>
          <w:rFonts w:ascii="Arial" w:hAnsi="Arial" w:cs="Arial"/>
          <w:b/>
          <w:bCs/>
          <w:sz w:val="22"/>
          <w:szCs w:val="22"/>
          <w:lang w:eastAsia="it-IT"/>
        </w:rPr>
      </w:pPr>
    </w:p>
    <w:p w14:paraId="032C6B88" w14:textId="77777777" w:rsidR="00187C95" w:rsidRPr="00D16BD2" w:rsidRDefault="00187C95" w:rsidP="00187C95">
      <w:pPr>
        <w:spacing w:after="0" w:line="300" w:lineRule="auto"/>
        <w:jc w:val="both"/>
        <w:rPr>
          <w:rFonts w:ascii="Arial" w:hAnsi="Arial" w:cs="Arial"/>
          <w:b/>
          <w:bCs/>
          <w:color w:val="2F5496" w:themeColor="accent5" w:themeShade="BF"/>
          <w:sz w:val="22"/>
          <w:szCs w:val="22"/>
          <w:lang w:eastAsia="it-IT"/>
        </w:rPr>
      </w:pPr>
      <w:r w:rsidRPr="00D16BD2">
        <w:rPr>
          <w:rFonts w:ascii="Arial" w:hAnsi="Arial" w:cs="Arial"/>
          <w:b/>
          <w:bCs/>
          <w:color w:val="2F5496" w:themeColor="accent5" w:themeShade="BF"/>
          <w:sz w:val="22"/>
          <w:szCs w:val="22"/>
          <w:lang w:eastAsia="it-IT"/>
        </w:rPr>
        <w:t>Computational modeling based on calcium signaling</w:t>
      </w:r>
    </w:p>
    <w:p w14:paraId="5A25E39F" w14:textId="737C8954" w:rsidR="00187C95" w:rsidRDefault="00187C95" w:rsidP="00187C95">
      <w:pPr>
        <w:spacing w:after="0" w:line="300" w:lineRule="auto"/>
        <w:jc w:val="both"/>
        <w:rPr>
          <w:rFonts w:ascii="Arial" w:hAnsi="Arial" w:cs="Arial"/>
          <w:sz w:val="22"/>
          <w:szCs w:val="22"/>
        </w:rPr>
      </w:pPr>
      <w:r>
        <w:rPr>
          <w:rFonts w:ascii="Arial" w:hAnsi="Arial" w:cs="Arial"/>
          <w:sz w:val="22"/>
          <w:szCs w:val="22"/>
        </w:rPr>
        <w:t xml:space="preserve">To determine the effect of impaired calcium signaling on mitochondrial function in LS, we converted the calcium fluorescence traces from cBOS </w:t>
      </w:r>
      <w:r>
        <w:rPr>
          <w:rFonts w:ascii="Arial" w:hAnsi="Arial" w:cs="Arial"/>
          <w:b/>
          <w:bCs/>
          <w:sz w:val="22"/>
          <w:szCs w:val="22"/>
        </w:rPr>
        <w:t>(Figure 4</w:t>
      </w:r>
      <w:r w:rsidR="00940319">
        <w:rPr>
          <w:rFonts w:ascii="Arial" w:hAnsi="Arial" w:cs="Arial"/>
          <w:b/>
          <w:bCs/>
          <w:sz w:val="22"/>
          <w:szCs w:val="22"/>
        </w:rPr>
        <w:t>b</w:t>
      </w:r>
      <w:r>
        <w:rPr>
          <w:rFonts w:ascii="Arial" w:hAnsi="Arial" w:cs="Arial"/>
          <w:b/>
          <w:bCs/>
          <w:sz w:val="22"/>
          <w:szCs w:val="22"/>
        </w:rPr>
        <w:t>)</w:t>
      </w:r>
      <w:r>
        <w:rPr>
          <w:rFonts w:ascii="Arial" w:hAnsi="Arial" w:cs="Arial"/>
          <w:sz w:val="22"/>
          <w:szCs w:val="22"/>
        </w:rPr>
        <w:t xml:space="preserve"> into corresponding cytosolic calcium concentration (</w:t>
      </w:r>
      <m:oMath>
        <m:sSub>
          <m:sSubPr>
            <m:ctrlPr>
              <w:rPr>
                <w:rFonts w:ascii="Cambria Math" w:eastAsia="Cambria Math" w:hAnsi="Cambria Math" w:cs="Cambria Math"/>
                <w:i/>
                <w:sz w:val="22"/>
                <w:szCs w:val="22"/>
              </w:rPr>
            </m:ctrlPr>
          </m:sSubPr>
          <m:e>
            <m:r>
              <w:rPr>
                <w:rFonts w:ascii="Cambria Math" w:hAnsi="Cambria Math" w:cs="Arial"/>
                <w:sz w:val="22"/>
                <w:szCs w:val="22"/>
              </w:rPr>
              <m:t>[</m:t>
            </m:r>
            <m:sSup>
              <m:sSupPr>
                <m:ctrlPr>
                  <w:rPr>
                    <w:rFonts w:ascii="Cambria Math" w:eastAsia="Cambria Math" w:hAnsi="Cambria Math" w:cs="Cambria Math"/>
                    <w:i/>
                    <w:sz w:val="22"/>
                    <w:szCs w:val="22"/>
                  </w:rPr>
                </m:ctrlPr>
              </m:sSupPr>
              <m:e>
                <m:r>
                  <w:rPr>
                    <w:rFonts w:ascii="Cambria Math" w:hAnsi="Cambria Math" w:cs="Arial"/>
                    <w:sz w:val="22"/>
                    <w:szCs w:val="22"/>
                  </w:rPr>
                  <m:t>Ca</m:t>
                </m:r>
              </m:e>
              <m:sup>
                <m:r>
                  <w:rPr>
                    <w:rFonts w:ascii="Cambria Math" w:hAnsi="Cambria Math" w:cs="Arial"/>
                    <w:sz w:val="22"/>
                    <w:szCs w:val="22"/>
                  </w:rPr>
                  <m:t>2+</m:t>
                </m:r>
              </m:sup>
            </m:sSup>
            <m:r>
              <w:rPr>
                <w:rFonts w:ascii="Cambria Math" w:hAnsi="Cambria Math" w:cs="Arial"/>
                <w:sz w:val="22"/>
                <w:szCs w:val="22"/>
              </w:rPr>
              <m:t>]</m:t>
            </m:r>
          </m:e>
          <m:sub>
            <m:r>
              <w:rPr>
                <w:rFonts w:ascii="Cambria Math" w:hAnsi="Cambria Math" w:cs="Arial"/>
                <w:sz w:val="22"/>
                <w:szCs w:val="22"/>
              </w:rPr>
              <m:t>c</m:t>
            </m:r>
          </m:sub>
        </m:sSub>
      </m:oMath>
      <w:r>
        <w:rPr>
          <w:rFonts w:ascii="Arial" w:hAnsi="Arial" w:cs="Arial"/>
          <w:sz w:val="22"/>
          <w:szCs w:val="22"/>
        </w:rPr>
        <w:t>) using the formula developed before</w:t>
      </w:r>
      <w:r>
        <w:rPr>
          <w:rFonts w:ascii="Arial" w:hAnsi="Arial" w:cs="Arial"/>
          <w:sz w:val="22"/>
          <w:szCs w:val="22"/>
        </w:rPr>
        <w:fldChar w:fldCharType="begin"/>
      </w:r>
      <w:r>
        <w:rPr>
          <w:rFonts w:ascii="Arial" w:hAnsi="Arial" w:cs="Arial"/>
          <w:sz w:val="22"/>
          <w:szCs w:val="22"/>
        </w:rPr>
        <w:instrText xml:space="preserve"> ADDIN EN.CITE &lt;EndNote&gt;&lt;Cite&gt;&lt;Author&gt;Maravall&lt;/Author&gt;&lt;Year&gt;2000&lt;/Year&gt;&lt;RecNum&gt;1295&lt;/RecNum&gt;&lt;DisplayText&gt;&lt;style face="superscript"&gt;7&lt;/style&gt;&lt;/DisplayText&gt;&lt;record&gt;&lt;rec-number&gt;1295&lt;/rec-number&gt;&lt;foreign-keys&gt;&lt;key app="EN" db-id="9rre0swecrswetepfz85tawyetvfdeffe0xx" timestamp="1734534940"&gt;1295&lt;/key&gt;&lt;/foreign-keys&gt;&lt;ref-type name="Journal Article"&gt;17&lt;/ref-type&gt;&lt;contributors&gt;&lt;authors&gt;&lt;author&gt;Maravall, M.&lt;/author&gt;&lt;author&gt;Mainen, Z. F.&lt;/author&gt;&lt;author&gt;Sabatini, B. L.&lt;/author&gt;&lt;author&gt;Svoboda, K.&lt;/author&gt;&lt;/authors&gt;&lt;/contributors&gt;&lt;auth-address&gt;Cold Spring Harbor Laboratory, Cold Spring Harbor, New York 11724 USA.&lt;/auth-address&gt;&lt;titles&gt;&lt;title&gt;Estimating intracellular calcium concentrations and buffering without wavelength ratioing&lt;/title&gt;&lt;secondary-title&gt;Biophys J&lt;/secondary-title&gt;&lt;/titles&gt;&lt;periodical&gt;&lt;full-title&gt;Biophys J&lt;/full-title&gt;&lt;/periodical&gt;&lt;pages&gt;2655-67&lt;/pages&gt;&lt;volume&gt;78&lt;/volume&gt;&lt;number&gt;5&lt;/number&gt;&lt;keywords&gt;&lt;keyword&gt;Action Potentials&lt;/keyword&gt;&lt;keyword&gt;Animals&lt;/keyword&gt;&lt;keyword&gt;Biophysical Phenomena&lt;/keyword&gt;&lt;keyword&gt;Biophysics&lt;/keyword&gt;&lt;keyword&gt;Buffers&lt;/keyword&gt;&lt;keyword&gt;Calcium/*analysis/metabolism&lt;/keyword&gt;&lt;keyword&gt;Calcium Signaling&lt;/keyword&gt;&lt;keyword&gt;In Vitro Techniques&lt;/keyword&gt;&lt;keyword&gt;Intracellular Fluid/*chemistry/metabolism&lt;/keyword&gt;&lt;keyword&gt;Models, Biological&lt;/keyword&gt;&lt;keyword&gt;Pyramidal Cells/metabolism&lt;/keyword&gt;&lt;keyword&gt;Rats&lt;/keyword&gt;&lt;/keywords&gt;&lt;dates&gt;&lt;year&gt;2000&lt;/year&gt;&lt;pub-dates&gt;&lt;date&gt;May&lt;/date&gt;&lt;/pub-dates&gt;&lt;/dates&gt;&lt;isbn&gt;0006-3495 (Print)&amp;#xD;1542-0086 (Electronic)&amp;#xD;0006-3495 (Linking)&lt;/isbn&gt;&lt;accession-num&gt;10777761&lt;/accession-num&gt;&lt;urls&gt;&lt;related-urls&gt;&lt;url&gt;https://www.ncbi.nlm.nih.gov/pubmed/10777761&lt;/url&gt;&lt;/related-urls&gt;&lt;/urls&gt;&lt;custom2&gt;PMC1300854&lt;/custom2&gt;&lt;electronic-resource-num&gt;10.1016/S0006-3495(00)76809-3&lt;/electronic-resource-num&gt;&lt;remote-database-name&gt;Medline&lt;/remote-database-name&gt;&lt;remote-database-provider&gt;NLM&lt;/remote-database-provider&gt;&lt;/record&gt;&lt;/Cite&gt;&lt;/EndNote&gt;</w:instrText>
      </w:r>
      <w:r>
        <w:rPr>
          <w:rFonts w:ascii="Arial" w:hAnsi="Arial" w:cs="Arial"/>
          <w:sz w:val="22"/>
          <w:szCs w:val="22"/>
        </w:rPr>
        <w:fldChar w:fldCharType="separate"/>
      </w:r>
      <w:r>
        <w:rPr>
          <w:rFonts w:ascii="Arial" w:hAnsi="Arial" w:cs="Arial"/>
          <w:sz w:val="22"/>
          <w:szCs w:val="22"/>
          <w:vertAlign w:val="superscript"/>
        </w:rPr>
        <w:t>7</w:t>
      </w:r>
      <w:r>
        <w:rPr>
          <w:rFonts w:ascii="Arial" w:hAnsi="Arial" w:cs="Arial"/>
          <w:sz w:val="22"/>
          <w:szCs w:val="22"/>
        </w:rPr>
        <w:fldChar w:fldCharType="end"/>
      </w:r>
      <w:r>
        <w:rPr>
          <w:rFonts w:ascii="Arial" w:hAnsi="Arial" w:cs="Arial"/>
          <w:sz w:val="22"/>
          <w:szCs w:val="22"/>
        </w:rPr>
        <w:t>. That is,</w:t>
      </w:r>
    </w:p>
    <w:p w14:paraId="7A9A32D6" w14:textId="77777777" w:rsidR="00187C95" w:rsidRDefault="00187C95" w:rsidP="00187C95">
      <w:pPr>
        <w:spacing w:after="0" w:line="300" w:lineRule="auto"/>
        <w:jc w:val="both"/>
        <w:rPr>
          <w:rFonts w:ascii="Arial" w:hAnsi="Arial" w:cs="Arial"/>
          <w:sz w:val="22"/>
          <w:szCs w:val="22"/>
        </w:rPr>
      </w:pPr>
      <m:oMath>
        <m:r>
          <w:rPr>
            <w:rFonts w:ascii="Cambria Math" w:hAnsi="Cambria Math" w:cs="Arial"/>
            <w:sz w:val="22"/>
            <w:szCs w:val="22"/>
          </w:rPr>
          <m:t>∆</m:t>
        </m:r>
        <m:sSub>
          <m:sSubPr>
            <m:ctrlPr>
              <w:rPr>
                <w:rFonts w:ascii="Cambria Math" w:eastAsia="Cambria Math" w:hAnsi="Cambria Math" w:cs="Cambria Math"/>
                <w:i/>
                <w:sz w:val="22"/>
                <w:szCs w:val="22"/>
              </w:rPr>
            </m:ctrlPr>
          </m:sSubPr>
          <m:e>
            <m:r>
              <w:rPr>
                <w:rFonts w:ascii="Cambria Math" w:hAnsi="Cambria Math" w:cs="Arial"/>
                <w:sz w:val="22"/>
                <w:szCs w:val="22"/>
              </w:rPr>
              <m:t>[</m:t>
            </m:r>
            <m:sSup>
              <m:sSupPr>
                <m:ctrlPr>
                  <w:rPr>
                    <w:rFonts w:ascii="Cambria Math" w:eastAsia="Cambria Math" w:hAnsi="Cambria Math" w:cs="Cambria Math"/>
                    <w:i/>
                    <w:sz w:val="22"/>
                    <w:szCs w:val="22"/>
                  </w:rPr>
                </m:ctrlPr>
              </m:sSupPr>
              <m:e>
                <m:r>
                  <w:rPr>
                    <w:rFonts w:ascii="Cambria Math" w:hAnsi="Cambria Math" w:cs="Arial"/>
                    <w:sz w:val="22"/>
                    <w:szCs w:val="22"/>
                  </w:rPr>
                  <m:t>Ca</m:t>
                </m:r>
              </m:e>
              <m:sup>
                <m:r>
                  <w:rPr>
                    <w:rFonts w:ascii="Cambria Math" w:hAnsi="Cambria Math" w:cs="Arial"/>
                    <w:sz w:val="22"/>
                    <w:szCs w:val="22"/>
                  </w:rPr>
                  <m:t>2+</m:t>
                </m:r>
              </m:sup>
            </m:sSup>
            <m:r>
              <w:rPr>
                <w:rFonts w:ascii="Cambria Math" w:hAnsi="Cambria Math" w:cs="Arial"/>
                <w:sz w:val="22"/>
                <w:szCs w:val="22"/>
              </w:rPr>
              <m:t>]</m:t>
            </m:r>
          </m:e>
          <m:sub>
            <m:r>
              <w:rPr>
                <w:rFonts w:ascii="Cambria Math" w:hAnsi="Cambria Math" w:cs="Arial"/>
                <w:sz w:val="22"/>
                <w:szCs w:val="22"/>
              </w:rPr>
              <m:t>c</m:t>
            </m:r>
          </m:sub>
        </m:sSub>
        <m:r>
          <w:rPr>
            <w:rFonts w:ascii="Cambria Math" w:hAnsi="Cambria Math" w:cs="Arial"/>
            <w:sz w:val="22"/>
            <w:szCs w:val="22"/>
          </w:rPr>
          <m:t xml:space="preserve">= </m:t>
        </m:r>
        <m:sSub>
          <m:sSubPr>
            <m:ctrlPr>
              <w:rPr>
                <w:rFonts w:ascii="Cambria Math" w:eastAsia="Cambria Math" w:hAnsi="Cambria Math" w:cs="Cambria Math"/>
                <w:i/>
                <w:sz w:val="22"/>
                <w:szCs w:val="22"/>
              </w:rPr>
            </m:ctrlPr>
          </m:sSubPr>
          <m:e>
            <m:r>
              <w:rPr>
                <w:rFonts w:ascii="Cambria Math" w:hAnsi="Cambria Math" w:cs="Arial"/>
                <w:sz w:val="22"/>
                <w:szCs w:val="22"/>
              </w:rPr>
              <m:t>k</m:t>
            </m:r>
          </m:e>
          <m:sub>
            <m:r>
              <w:rPr>
                <w:rFonts w:ascii="Cambria Math" w:hAnsi="Cambria Math" w:cs="Arial"/>
                <w:sz w:val="22"/>
                <w:szCs w:val="22"/>
              </w:rPr>
              <m:t>D</m:t>
            </m:r>
          </m:sub>
        </m:sSub>
        <m:d>
          <m:dPr>
            <m:ctrlPr>
              <w:rPr>
                <w:rFonts w:ascii="Cambria Math" w:eastAsia="Cambria Math" w:hAnsi="Cambria Math" w:cs="Cambria Math"/>
                <w:i/>
                <w:sz w:val="22"/>
                <w:szCs w:val="22"/>
              </w:rPr>
            </m:ctrlPr>
          </m:dPr>
          <m:e>
            <m:f>
              <m:fPr>
                <m:ctrlPr>
                  <w:rPr>
                    <w:rFonts w:ascii="Cambria Math" w:eastAsia="Cambria Math" w:hAnsi="Cambria Math" w:cs="Cambria Math"/>
                    <w:i/>
                    <w:sz w:val="22"/>
                    <w:szCs w:val="22"/>
                  </w:rPr>
                </m:ctrlPr>
              </m:fPr>
              <m:num>
                <m:sSub>
                  <m:sSubPr>
                    <m:ctrlPr>
                      <w:rPr>
                        <w:rFonts w:ascii="Cambria Math" w:eastAsia="Cambria Math" w:hAnsi="Cambria Math" w:cs="Cambria Math"/>
                        <w:i/>
                        <w:sz w:val="22"/>
                        <w:szCs w:val="22"/>
                      </w:rPr>
                    </m:ctrlPr>
                  </m:sSubPr>
                  <m:e>
                    <m:r>
                      <w:rPr>
                        <w:rFonts w:ascii="Cambria Math" w:hAnsi="Cambria Math" w:cs="Arial"/>
                        <w:sz w:val="22"/>
                        <w:szCs w:val="22"/>
                      </w:rPr>
                      <m:t>F</m:t>
                    </m:r>
                  </m:e>
                  <m:sub>
                    <m:r>
                      <w:rPr>
                        <w:rFonts w:ascii="Cambria Math" w:hAnsi="Cambria Math" w:cs="Arial"/>
                        <w:sz w:val="22"/>
                        <w:szCs w:val="22"/>
                      </w:rPr>
                      <m:t>max</m:t>
                    </m:r>
                  </m:sub>
                </m:sSub>
              </m:num>
              <m:den>
                <m:sSub>
                  <m:sSubPr>
                    <m:ctrlPr>
                      <w:rPr>
                        <w:rFonts w:ascii="Cambria Math" w:eastAsia="Cambria Math" w:hAnsi="Cambria Math" w:cs="Cambria Math"/>
                        <w:i/>
                        <w:sz w:val="22"/>
                        <w:szCs w:val="22"/>
                      </w:rPr>
                    </m:ctrlPr>
                  </m:sSubPr>
                  <m:e>
                    <m:r>
                      <w:rPr>
                        <w:rFonts w:ascii="Cambria Math" w:hAnsi="Cambria Math" w:cs="Arial"/>
                        <w:sz w:val="22"/>
                        <w:szCs w:val="22"/>
                      </w:rPr>
                      <m:t>F</m:t>
                    </m:r>
                  </m:e>
                  <m:sub>
                    <m:r>
                      <w:rPr>
                        <w:rFonts w:ascii="Cambria Math" w:hAnsi="Cambria Math" w:cs="Arial"/>
                        <w:sz w:val="22"/>
                        <w:szCs w:val="22"/>
                      </w:rPr>
                      <m:t>0</m:t>
                    </m:r>
                  </m:sub>
                </m:sSub>
              </m:den>
            </m:f>
            <m:d>
              <m:dPr>
                <m:ctrlPr>
                  <w:rPr>
                    <w:rFonts w:ascii="Cambria Math" w:eastAsia="Cambria Math" w:hAnsi="Cambria Math" w:cs="Cambria Math"/>
                    <w:i/>
                    <w:sz w:val="22"/>
                    <w:szCs w:val="22"/>
                  </w:rPr>
                </m:ctrlPr>
              </m:dPr>
              <m:e>
                <m:r>
                  <w:rPr>
                    <w:rFonts w:ascii="Cambria Math" w:hAnsi="Cambria Math" w:cs="Arial"/>
                    <w:sz w:val="22"/>
                    <w:szCs w:val="22"/>
                  </w:rPr>
                  <m:t>1-</m:t>
                </m:r>
                <m:f>
                  <m:fPr>
                    <m:ctrlPr>
                      <w:rPr>
                        <w:rFonts w:ascii="Cambria Math" w:eastAsia="Cambria Math" w:hAnsi="Cambria Math" w:cs="Cambria Math"/>
                        <w:i/>
                        <w:sz w:val="22"/>
                        <w:szCs w:val="22"/>
                      </w:rPr>
                    </m:ctrlPr>
                  </m:fPr>
                  <m:num>
                    <m:r>
                      <w:rPr>
                        <w:rFonts w:ascii="Cambria Math" w:hAnsi="Cambria Math" w:cs="Arial"/>
                        <w:sz w:val="22"/>
                        <w:szCs w:val="22"/>
                      </w:rPr>
                      <m:t>1</m:t>
                    </m:r>
                  </m:num>
                  <m:den>
                    <m:sSub>
                      <m:sSubPr>
                        <m:ctrlPr>
                          <w:rPr>
                            <w:rFonts w:ascii="Cambria Math" w:eastAsia="Cambria Math" w:hAnsi="Cambria Math" w:cs="Cambria Math"/>
                            <w:i/>
                            <w:sz w:val="22"/>
                            <w:szCs w:val="22"/>
                          </w:rPr>
                        </m:ctrlPr>
                      </m:sSubPr>
                      <m:e>
                        <m:r>
                          <w:rPr>
                            <w:rFonts w:ascii="Cambria Math" w:hAnsi="Cambria Math" w:cs="Arial"/>
                            <w:sz w:val="22"/>
                            <w:szCs w:val="22"/>
                          </w:rPr>
                          <m:t>R</m:t>
                        </m:r>
                      </m:e>
                      <m:sub>
                        <m:r>
                          <w:rPr>
                            <w:rFonts w:ascii="Cambria Math" w:hAnsi="Cambria Math" w:cs="Arial"/>
                            <w:sz w:val="22"/>
                            <w:szCs w:val="22"/>
                          </w:rPr>
                          <m:t>F</m:t>
                        </m:r>
                      </m:sub>
                    </m:sSub>
                  </m:den>
                </m:f>
              </m:e>
            </m:d>
            <m:f>
              <m:fPr>
                <m:ctrlPr>
                  <w:rPr>
                    <w:rFonts w:ascii="Cambria Math" w:eastAsia="Cambria Math" w:hAnsi="Cambria Math" w:cs="Cambria Math"/>
                    <w:i/>
                    <w:sz w:val="22"/>
                    <w:szCs w:val="22"/>
                  </w:rPr>
                </m:ctrlPr>
              </m:fPr>
              <m:num>
                <m:r>
                  <w:rPr>
                    <w:rFonts w:ascii="Cambria Math" w:hAnsi="Cambria Math" w:cs="Arial"/>
                    <w:sz w:val="22"/>
                    <w:szCs w:val="22"/>
                  </w:rPr>
                  <m:t>∆F</m:t>
                </m:r>
              </m:num>
              <m:den>
                <m:sSub>
                  <m:sSubPr>
                    <m:ctrlPr>
                      <w:rPr>
                        <w:rFonts w:ascii="Cambria Math" w:eastAsia="Cambria Math" w:hAnsi="Cambria Math" w:cs="Cambria Math"/>
                        <w:i/>
                        <w:sz w:val="22"/>
                        <w:szCs w:val="22"/>
                      </w:rPr>
                    </m:ctrlPr>
                  </m:sSubPr>
                  <m:e>
                    <m:r>
                      <w:rPr>
                        <w:rFonts w:ascii="Cambria Math" w:hAnsi="Cambria Math" w:cs="Arial"/>
                        <w:sz w:val="22"/>
                        <w:szCs w:val="22"/>
                      </w:rPr>
                      <m:t>(∆F</m:t>
                    </m:r>
                  </m:e>
                  <m:sub>
                    <m:r>
                      <w:rPr>
                        <w:rFonts w:ascii="Cambria Math" w:hAnsi="Cambria Math" w:cs="Arial"/>
                        <w:sz w:val="22"/>
                        <w:szCs w:val="22"/>
                      </w:rPr>
                      <m:t>max</m:t>
                    </m:r>
                  </m:sub>
                </m:sSub>
                <m:r>
                  <w:rPr>
                    <w:rFonts w:ascii="Cambria Math" w:hAnsi="Cambria Math" w:cs="Arial"/>
                    <w:sz w:val="22"/>
                    <w:szCs w:val="22"/>
                  </w:rPr>
                  <m:t>-∆F)</m:t>
                </m:r>
                <m:sSub>
                  <m:sSubPr>
                    <m:ctrlPr>
                      <w:rPr>
                        <w:rFonts w:ascii="Cambria Math" w:eastAsia="Cambria Math" w:hAnsi="Cambria Math" w:cs="Cambria Math"/>
                        <w:i/>
                        <w:sz w:val="22"/>
                        <w:szCs w:val="22"/>
                      </w:rPr>
                    </m:ctrlPr>
                  </m:sSubPr>
                  <m:e>
                    <m:r>
                      <w:rPr>
                        <w:rFonts w:ascii="Cambria Math" w:hAnsi="Cambria Math" w:cs="Arial"/>
                        <w:sz w:val="22"/>
                        <w:szCs w:val="22"/>
                      </w:rPr>
                      <m:t>∆F</m:t>
                    </m:r>
                  </m:e>
                  <m:sub>
                    <m:r>
                      <w:rPr>
                        <w:rFonts w:ascii="Cambria Math" w:hAnsi="Cambria Math" w:cs="Arial"/>
                        <w:sz w:val="22"/>
                        <w:szCs w:val="22"/>
                      </w:rPr>
                      <m:t>max</m:t>
                    </m:r>
                  </m:sub>
                </m:sSub>
              </m:den>
            </m:f>
            <m:r>
              <w:rPr>
                <w:rFonts w:ascii="Cambria Math" w:hAnsi="Cambria Math" w:cs="Arial"/>
                <w:sz w:val="22"/>
                <w:szCs w:val="22"/>
              </w:rPr>
              <m:t xml:space="preserve">  </m:t>
            </m:r>
          </m:e>
        </m:d>
      </m:oMath>
      <w:r>
        <w:rPr>
          <w:rFonts w:ascii="Arial" w:hAnsi="Arial" w:cs="Arial"/>
          <w:sz w:val="22"/>
          <w:szCs w:val="22"/>
        </w:rPr>
        <w:t xml:space="preserve">.   </w:t>
      </w:r>
      <w:r w:rsidR="00150362">
        <w:rPr>
          <w:rFonts w:ascii="Arial" w:hAnsi="Arial" w:cs="Arial"/>
          <w:sz w:val="22"/>
          <w:szCs w:val="22"/>
        </w:rPr>
        <w:t>(1)</w:t>
      </w:r>
      <w:r>
        <w:rPr>
          <w:rFonts w:ascii="Arial" w:hAnsi="Arial" w:cs="Arial"/>
          <w:sz w:val="22"/>
          <w:szCs w:val="22"/>
        </w:rPr>
        <w:t xml:space="preserve">                                                                 </w:t>
      </w:r>
    </w:p>
    <w:p w14:paraId="089D380D" w14:textId="77777777" w:rsidR="00150362" w:rsidRDefault="00150362" w:rsidP="00187C95">
      <w:pPr>
        <w:spacing w:after="0" w:line="300" w:lineRule="auto"/>
        <w:jc w:val="both"/>
        <w:rPr>
          <w:rFonts w:ascii="Arial" w:hAnsi="Arial" w:cs="Arial"/>
          <w:sz w:val="22"/>
          <w:szCs w:val="22"/>
        </w:rPr>
      </w:pPr>
    </w:p>
    <w:p w14:paraId="127C0B64" w14:textId="77777777" w:rsidR="00187C95" w:rsidRDefault="00187C95" w:rsidP="00187C95">
      <w:pPr>
        <w:spacing w:after="0" w:line="300" w:lineRule="auto"/>
        <w:jc w:val="both"/>
        <w:rPr>
          <w:rFonts w:ascii="Arial" w:hAnsi="Arial" w:cs="Arial"/>
          <w:b/>
          <w:bCs/>
          <w:sz w:val="22"/>
          <w:szCs w:val="22"/>
        </w:rPr>
      </w:pPr>
      <w:r>
        <w:rPr>
          <w:rFonts w:ascii="Arial" w:hAnsi="Arial" w:cs="Arial"/>
          <w:sz w:val="22"/>
          <w:szCs w:val="22"/>
        </w:rPr>
        <w:t xml:space="preserve">Where </w:t>
      </w:r>
      <m:oMath>
        <m:sSub>
          <m:sSubPr>
            <m:ctrlPr>
              <w:rPr>
                <w:rFonts w:ascii="Cambria Math" w:eastAsia="Cambria Math" w:hAnsi="Cambria Math" w:cs="Cambria Math"/>
                <w:i/>
                <w:sz w:val="22"/>
                <w:szCs w:val="22"/>
              </w:rPr>
            </m:ctrlPr>
          </m:sSubPr>
          <m:e>
            <m:r>
              <w:rPr>
                <w:rFonts w:ascii="Cambria Math" w:hAnsi="Cambria Math" w:cs="Arial"/>
                <w:sz w:val="22"/>
                <w:szCs w:val="22"/>
              </w:rPr>
              <m:t>∆[</m:t>
            </m:r>
            <m:sSup>
              <m:sSupPr>
                <m:ctrlPr>
                  <w:rPr>
                    <w:rFonts w:ascii="Cambria Math" w:eastAsia="Cambria Math" w:hAnsi="Cambria Math" w:cs="Cambria Math"/>
                    <w:i/>
                    <w:sz w:val="22"/>
                    <w:szCs w:val="22"/>
                  </w:rPr>
                </m:ctrlPr>
              </m:sSupPr>
              <m:e>
                <m:r>
                  <w:rPr>
                    <w:rFonts w:ascii="Cambria Math" w:hAnsi="Cambria Math" w:cs="Arial"/>
                    <w:sz w:val="22"/>
                    <w:szCs w:val="22"/>
                  </w:rPr>
                  <m:t>Ca</m:t>
                </m:r>
              </m:e>
              <m:sup>
                <m:r>
                  <w:rPr>
                    <w:rFonts w:ascii="Cambria Math" w:hAnsi="Cambria Math" w:cs="Arial"/>
                    <w:sz w:val="22"/>
                    <w:szCs w:val="22"/>
                  </w:rPr>
                  <m:t>2+</m:t>
                </m:r>
              </m:sup>
            </m:sSup>
            <m:r>
              <w:rPr>
                <w:rFonts w:ascii="Cambria Math" w:hAnsi="Cambria Math" w:cs="Arial"/>
                <w:sz w:val="22"/>
                <w:szCs w:val="22"/>
              </w:rPr>
              <m:t>]</m:t>
            </m:r>
          </m:e>
          <m:sub>
            <m:r>
              <w:rPr>
                <w:rFonts w:ascii="Cambria Math" w:hAnsi="Cambria Math" w:cs="Arial"/>
                <w:sz w:val="22"/>
                <w:szCs w:val="22"/>
              </w:rPr>
              <m:t>c</m:t>
            </m:r>
          </m:sub>
        </m:sSub>
        <m:r>
          <w:rPr>
            <w:rFonts w:ascii="Cambria Math" w:hAnsi="Cambria Math" w:cs="Arial"/>
            <w:sz w:val="22"/>
            <w:szCs w:val="22"/>
          </w:rPr>
          <m:t xml:space="preserve">= </m:t>
        </m:r>
        <m:sSub>
          <m:sSubPr>
            <m:ctrlPr>
              <w:rPr>
                <w:rFonts w:ascii="Cambria Math" w:eastAsia="Cambria Math" w:hAnsi="Cambria Math" w:cs="Cambria Math"/>
                <w:i/>
                <w:sz w:val="22"/>
                <w:szCs w:val="22"/>
              </w:rPr>
            </m:ctrlPr>
          </m:sSubPr>
          <m:e>
            <m:r>
              <w:rPr>
                <w:rFonts w:ascii="Cambria Math" w:hAnsi="Cambria Math" w:cs="Arial"/>
                <w:sz w:val="22"/>
                <w:szCs w:val="22"/>
              </w:rPr>
              <m:t>[</m:t>
            </m:r>
            <m:sSup>
              <m:sSupPr>
                <m:ctrlPr>
                  <w:rPr>
                    <w:rFonts w:ascii="Cambria Math" w:eastAsia="Cambria Math" w:hAnsi="Cambria Math" w:cs="Cambria Math"/>
                    <w:i/>
                    <w:sz w:val="22"/>
                    <w:szCs w:val="22"/>
                  </w:rPr>
                </m:ctrlPr>
              </m:sSupPr>
              <m:e>
                <m:r>
                  <w:rPr>
                    <w:rFonts w:ascii="Cambria Math" w:hAnsi="Cambria Math" w:cs="Arial"/>
                    <w:sz w:val="22"/>
                    <w:szCs w:val="22"/>
                  </w:rPr>
                  <m:t>Ca</m:t>
                </m:r>
              </m:e>
              <m:sup>
                <m:r>
                  <w:rPr>
                    <w:rFonts w:ascii="Cambria Math" w:hAnsi="Cambria Math" w:cs="Arial"/>
                    <w:sz w:val="22"/>
                    <w:szCs w:val="22"/>
                  </w:rPr>
                  <m:t>2+</m:t>
                </m:r>
              </m:sup>
            </m:sSup>
            <m:r>
              <w:rPr>
                <w:rFonts w:ascii="Cambria Math" w:hAnsi="Cambria Math" w:cs="Arial"/>
                <w:sz w:val="22"/>
                <w:szCs w:val="22"/>
              </w:rPr>
              <m:t>]</m:t>
            </m:r>
          </m:e>
          <m:sub>
            <m:r>
              <w:rPr>
                <w:rFonts w:ascii="Cambria Math" w:hAnsi="Cambria Math" w:cs="Arial"/>
                <w:sz w:val="22"/>
                <w:szCs w:val="22"/>
              </w:rPr>
              <m:t>c</m:t>
            </m:r>
          </m:sub>
        </m:sSub>
        <m:r>
          <w:rPr>
            <w:rFonts w:ascii="Cambria Math" w:hAnsi="Cambria Math" w:cs="Arial"/>
            <w:sz w:val="22"/>
            <w:szCs w:val="22"/>
          </w:rPr>
          <m:t xml:space="preserve">- </m:t>
        </m:r>
        <m:sSub>
          <m:sSubPr>
            <m:ctrlPr>
              <w:rPr>
                <w:rFonts w:ascii="Cambria Math" w:eastAsia="Cambria Math" w:hAnsi="Cambria Math" w:cs="Cambria Math"/>
                <w:i/>
                <w:sz w:val="22"/>
                <w:szCs w:val="22"/>
              </w:rPr>
            </m:ctrlPr>
          </m:sSubPr>
          <m:e>
            <m:r>
              <w:rPr>
                <w:rFonts w:ascii="Cambria Math" w:hAnsi="Cambria Math" w:cs="Arial"/>
                <w:sz w:val="22"/>
                <w:szCs w:val="22"/>
              </w:rPr>
              <m:t>[</m:t>
            </m:r>
            <m:sSup>
              <m:sSupPr>
                <m:ctrlPr>
                  <w:rPr>
                    <w:rFonts w:ascii="Cambria Math" w:eastAsia="Cambria Math" w:hAnsi="Cambria Math" w:cs="Cambria Math"/>
                    <w:i/>
                    <w:sz w:val="22"/>
                    <w:szCs w:val="22"/>
                  </w:rPr>
                </m:ctrlPr>
              </m:sSupPr>
              <m:e>
                <m:r>
                  <w:rPr>
                    <w:rFonts w:ascii="Cambria Math" w:hAnsi="Cambria Math" w:cs="Arial"/>
                    <w:sz w:val="22"/>
                    <w:szCs w:val="22"/>
                  </w:rPr>
                  <m:t>Ca</m:t>
                </m:r>
              </m:e>
              <m:sup>
                <m:r>
                  <w:rPr>
                    <w:rFonts w:ascii="Cambria Math" w:hAnsi="Cambria Math" w:cs="Arial"/>
                    <w:sz w:val="22"/>
                    <w:szCs w:val="22"/>
                  </w:rPr>
                  <m:t>2+</m:t>
                </m:r>
              </m:sup>
            </m:sSup>
            <m:r>
              <w:rPr>
                <w:rFonts w:ascii="Cambria Math" w:hAnsi="Cambria Math" w:cs="Arial"/>
                <w:sz w:val="22"/>
                <w:szCs w:val="22"/>
              </w:rPr>
              <m:t>]</m:t>
            </m:r>
          </m:e>
          <m:sub>
            <m:r>
              <w:rPr>
                <w:rFonts w:ascii="Cambria Math" w:hAnsi="Cambria Math" w:cs="Arial"/>
                <w:sz w:val="22"/>
                <w:szCs w:val="22"/>
              </w:rPr>
              <m:t>0</m:t>
            </m:r>
          </m:sub>
        </m:sSub>
      </m:oMath>
      <w:r>
        <w:rPr>
          <w:rFonts w:ascii="Arial" w:hAnsi="Arial" w:cs="Arial"/>
          <w:sz w:val="22"/>
          <w:szCs w:val="22"/>
        </w:rPr>
        <w:t xml:space="preserve"> is the change in </w:t>
      </w:r>
      <m:oMath>
        <m:sSub>
          <m:sSubPr>
            <m:ctrlPr>
              <w:rPr>
                <w:rFonts w:ascii="Cambria Math" w:eastAsia="Cambria Math" w:hAnsi="Cambria Math" w:cs="Cambria Math"/>
                <w:i/>
                <w:sz w:val="22"/>
                <w:szCs w:val="22"/>
              </w:rPr>
            </m:ctrlPr>
          </m:sSubPr>
          <m:e>
            <m:r>
              <w:rPr>
                <w:rFonts w:ascii="Cambria Math" w:hAnsi="Cambria Math" w:cs="Arial"/>
                <w:sz w:val="22"/>
                <w:szCs w:val="22"/>
              </w:rPr>
              <m:t>[</m:t>
            </m:r>
            <m:sSup>
              <m:sSupPr>
                <m:ctrlPr>
                  <w:rPr>
                    <w:rFonts w:ascii="Cambria Math" w:eastAsia="Cambria Math" w:hAnsi="Cambria Math" w:cs="Cambria Math"/>
                    <w:i/>
                    <w:sz w:val="22"/>
                    <w:szCs w:val="22"/>
                  </w:rPr>
                </m:ctrlPr>
              </m:sSupPr>
              <m:e>
                <m:r>
                  <w:rPr>
                    <w:rFonts w:ascii="Cambria Math" w:hAnsi="Cambria Math" w:cs="Arial"/>
                    <w:sz w:val="22"/>
                    <w:szCs w:val="22"/>
                  </w:rPr>
                  <m:t>Ca</m:t>
                </m:r>
              </m:e>
              <m:sup>
                <m:r>
                  <w:rPr>
                    <w:rFonts w:ascii="Cambria Math" w:hAnsi="Cambria Math" w:cs="Arial"/>
                    <w:sz w:val="22"/>
                    <w:szCs w:val="22"/>
                  </w:rPr>
                  <m:t>2+</m:t>
                </m:r>
              </m:sup>
            </m:sSup>
            <m:r>
              <w:rPr>
                <w:rFonts w:ascii="Cambria Math" w:hAnsi="Cambria Math" w:cs="Arial"/>
                <w:sz w:val="22"/>
                <w:szCs w:val="22"/>
              </w:rPr>
              <m:t>]</m:t>
            </m:r>
          </m:e>
          <m:sub>
            <m:r>
              <w:rPr>
                <w:rFonts w:ascii="Cambria Math" w:hAnsi="Cambria Math" w:cs="Arial"/>
                <w:sz w:val="22"/>
                <w:szCs w:val="22"/>
              </w:rPr>
              <m:t>c</m:t>
            </m:r>
          </m:sub>
        </m:sSub>
      </m:oMath>
      <w:r>
        <w:rPr>
          <w:rFonts w:ascii="Arial" w:hAnsi="Arial" w:cs="Arial"/>
          <w:sz w:val="22"/>
          <w:szCs w:val="22"/>
        </w:rPr>
        <w:t xml:space="preserve">, </w:t>
      </w:r>
      <m:oMath>
        <m:sSub>
          <m:sSubPr>
            <m:ctrlPr>
              <w:rPr>
                <w:rFonts w:ascii="Cambria Math" w:eastAsia="Cambria Math" w:hAnsi="Cambria Math" w:cs="Cambria Math"/>
                <w:i/>
                <w:sz w:val="22"/>
                <w:szCs w:val="22"/>
              </w:rPr>
            </m:ctrlPr>
          </m:sSubPr>
          <m:e>
            <m:r>
              <w:rPr>
                <w:rFonts w:ascii="Cambria Math" w:hAnsi="Cambria Math" w:cs="Arial"/>
                <w:sz w:val="22"/>
                <w:szCs w:val="22"/>
              </w:rPr>
              <m:t>[</m:t>
            </m:r>
            <m:sSup>
              <m:sSupPr>
                <m:ctrlPr>
                  <w:rPr>
                    <w:rFonts w:ascii="Cambria Math" w:eastAsia="Cambria Math" w:hAnsi="Cambria Math" w:cs="Cambria Math"/>
                    <w:i/>
                    <w:sz w:val="22"/>
                    <w:szCs w:val="22"/>
                  </w:rPr>
                </m:ctrlPr>
              </m:sSupPr>
              <m:e>
                <m:r>
                  <w:rPr>
                    <w:rFonts w:ascii="Cambria Math" w:hAnsi="Cambria Math" w:cs="Arial"/>
                    <w:sz w:val="22"/>
                    <w:szCs w:val="22"/>
                  </w:rPr>
                  <m:t>Ca</m:t>
                </m:r>
              </m:e>
              <m:sup>
                <m:r>
                  <w:rPr>
                    <w:rFonts w:ascii="Cambria Math" w:hAnsi="Cambria Math" w:cs="Arial"/>
                    <w:sz w:val="22"/>
                    <w:szCs w:val="22"/>
                  </w:rPr>
                  <m:t>2+</m:t>
                </m:r>
              </m:sup>
            </m:sSup>
            <m:r>
              <w:rPr>
                <w:rFonts w:ascii="Cambria Math" w:hAnsi="Cambria Math" w:cs="Arial"/>
                <w:sz w:val="22"/>
                <w:szCs w:val="22"/>
              </w:rPr>
              <m:t>]</m:t>
            </m:r>
          </m:e>
          <m:sub>
            <m:r>
              <w:rPr>
                <w:rFonts w:ascii="Cambria Math" w:hAnsi="Cambria Math" w:cs="Arial"/>
                <w:sz w:val="22"/>
                <w:szCs w:val="22"/>
              </w:rPr>
              <m:t>0</m:t>
            </m:r>
          </m:sub>
        </m:sSub>
      </m:oMath>
      <w:r>
        <w:rPr>
          <w:rFonts w:ascii="Arial" w:hAnsi="Arial" w:cs="Arial"/>
          <w:sz w:val="22"/>
          <w:szCs w:val="22"/>
        </w:rPr>
        <w:t xml:space="preserve"> = 0.1 µM is the baseline cytosolic Ca</w:t>
      </w:r>
      <w:r>
        <w:rPr>
          <w:rFonts w:ascii="Arial" w:hAnsi="Arial" w:cs="Arial"/>
          <w:sz w:val="22"/>
          <w:szCs w:val="22"/>
          <w:vertAlign w:val="superscript"/>
        </w:rPr>
        <w:t>2+</w:t>
      </w:r>
      <w:r>
        <w:rPr>
          <w:rFonts w:ascii="Arial" w:hAnsi="Arial" w:cs="Arial"/>
          <w:sz w:val="22"/>
          <w:szCs w:val="22"/>
        </w:rPr>
        <w:t xml:space="preserve"> concentration, </w:t>
      </w:r>
      <m:oMath>
        <m:sSub>
          <m:sSubPr>
            <m:ctrlPr>
              <w:rPr>
                <w:rFonts w:ascii="Cambria Math" w:eastAsia="Cambria Math" w:hAnsi="Cambria Math" w:cs="Cambria Math"/>
                <w:i/>
                <w:sz w:val="22"/>
                <w:szCs w:val="22"/>
              </w:rPr>
            </m:ctrlPr>
          </m:sSubPr>
          <m:e>
            <m:r>
              <w:rPr>
                <w:rFonts w:ascii="Cambria Math" w:hAnsi="Cambria Math" w:cs="Arial"/>
                <w:sz w:val="22"/>
                <w:szCs w:val="22"/>
              </w:rPr>
              <m:t>k</m:t>
            </m:r>
          </m:e>
          <m:sub>
            <m:r>
              <w:rPr>
                <w:rFonts w:ascii="Cambria Math" w:hAnsi="Cambria Math" w:cs="Arial"/>
                <w:sz w:val="22"/>
                <w:szCs w:val="22"/>
              </w:rPr>
              <m:t>D</m:t>
            </m:r>
          </m:sub>
        </m:sSub>
      </m:oMath>
      <w:r>
        <w:rPr>
          <w:rFonts w:ascii="Arial" w:hAnsi="Arial" w:cs="Arial"/>
          <w:sz w:val="22"/>
          <w:szCs w:val="22"/>
        </w:rPr>
        <w:t xml:space="preserve"> = 0.2 </w:t>
      </w:r>
      <w:r>
        <w:rPr>
          <w:rFonts w:ascii="Symbol" w:eastAsia="Symbol" w:hAnsi="Symbol" w:cs="Symbol"/>
          <w:sz w:val="22"/>
          <w:szCs w:val="22"/>
        </w:rPr>
        <w:t></w:t>
      </w:r>
      <w:r>
        <w:rPr>
          <w:rFonts w:ascii="Arial" w:hAnsi="Arial" w:cs="Arial"/>
          <w:sz w:val="22"/>
          <w:szCs w:val="22"/>
        </w:rPr>
        <w:t xml:space="preserve">M in the dissociation constant for OBG-1, and </w:t>
      </w:r>
      <m:oMath>
        <m:sSub>
          <m:sSubPr>
            <m:ctrlPr>
              <w:rPr>
                <w:rFonts w:ascii="Cambria Math" w:eastAsia="Cambria Math" w:hAnsi="Cambria Math" w:cs="Cambria Math"/>
                <w:i/>
                <w:sz w:val="22"/>
                <w:szCs w:val="22"/>
              </w:rPr>
            </m:ctrlPr>
          </m:sSubPr>
          <m:e>
            <m:r>
              <w:rPr>
                <w:rFonts w:ascii="Cambria Math" w:hAnsi="Cambria Math" w:cs="Arial"/>
                <w:sz w:val="22"/>
                <w:szCs w:val="22"/>
              </w:rPr>
              <m:t>R</m:t>
            </m:r>
          </m:e>
          <m:sub>
            <m:r>
              <w:rPr>
                <w:rFonts w:ascii="Cambria Math" w:hAnsi="Cambria Math" w:cs="Arial"/>
                <w:sz w:val="22"/>
                <w:szCs w:val="22"/>
              </w:rPr>
              <m:t>F</m:t>
            </m:r>
          </m:sub>
        </m:sSub>
        <m:r>
          <w:rPr>
            <w:rFonts w:ascii="Cambria Math" w:hAnsi="Cambria Math" w:cs="Arial"/>
            <w:sz w:val="22"/>
            <w:szCs w:val="22"/>
          </w:rPr>
          <m:t xml:space="preserve">= </m:t>
        </m:r>
        <m:f>
          <m:fPr>
            <m:ctrlPr>
              <w:rPr>
                <w:rFonts w:ascii="Cambria Math" w:eastAsia="Cambria Math" w:hAnsi="Cambria Math" w:cs="Cambria Math"/>
                <w:i/>
                <w:sz w:val="22"/>
                <w:szCs w:val="22"/>
              </w:rPr>
            </m:ctrlPr>
          </m:fPr>
          <m:num>
            <m:sSub>
              <m:sSubPr>
                <m:ctrlPr>
                  <w:rPr>
                    <w:rFonts w:ascii="Cambria Math" w:eastAsia="Cambria Math" w:hAnsi="Cambria Math" w:cs="Cambria Math"/>
                    <w:i/>
                    <w:sz w:val="22"/>
                    <w:szCs w:val="22"/>
                  </w:rPr>
                </m:ctrlPr>
              </m:sSubPr>
              <m:e>
                <m:r>
                  <w:rPr>
                    <w:rFonts w:ascii="Cambria Math" w:hAnsi="Cambria Math" w:cs="Arial"/>
                    <w:sz w:val="22"/>
                    <w:szCs w:val="22"/>
                  </w:rPr>
                  <m:t>F</m:t>
                </m:r>
              </m:e>
              <m:sub>
                <m:r>
                  <w:rPr>
                    <w:rFonts w:ascii="Cambria Math" w:hAnsi="Cambria Math" w:cs="Arial"/>
                    <w:sz w:val="22"/>
                    <w:szCs w:val="22"/>
                  </w:rPr>
                  <m:t>max</m:t>
                </m:r>
              </m:sub>
            </m:sSub>
          </m:num>
          <m:den>
            <m:sSub>
              <m:sSubPr>
                <m:ctrlPr>
                  <w:rPr>
                    <w:rFonts w:ascii="Cambria Math" w:eastAsia="Cambria Math" w:hAnsi="Cambria Math" w:cs="Cambria Math"/>
                    <w:i/>
                    <w:sz w:val="22"/>
                    <w:szCs w:val="22"/>
                  </w:rPr>
                </m:ctrlPr>
              </m:sSubPr>
              <m:e>
                <m:r>
                  <w:rPr>
                    <w:rFonts w:ascii="Cambria Math" w:hAnsi="Cambria Math" w:cs="Arial"/>
                    <w:sz w:val="22"/>
                    <w:szCs w:val="22"/>
                  </w:rPr>
                  <m:t>F</m:t>
                </m:r>
              </m:e>
              <m:sub>
                <m:r>
                  <w:rPr>
                    <w:rFonts w:ascii="Cambria Math" w:hAnsi="Cambria Math" w:cs="Arial"/>
                    <w:sz w:val="22"/>
                    <w:szCs w:val="22"/>
                  </w:rPr>
                  <m:t>min</m:t>
                </m:r>
              </m:sub>
            </m:sSub>
          </m:den>
        </m:f>
      </m:oMath>
      <w:r>
        <w:rPr>
          <w:rFonts w:ascii="Arial" w:hAnsi="Arial" w:cs="Arial"/>
          <w:sz w:val="22"/>
          <w:szCs w:val="22"/>
        </w:rPr>
        <w:t xml:space="preserve">. </w:t>
      </w:r>
      <w:r>
        <w:rPr>
          <w:rFonts w:ascii="Arial" w:hAnsi="Arial" w:cs="Arial"/>
          <w:i/>
          <w:iCs/>
          <w:sz w:val="22"/>
          <w:szCs w:val="22"/>
        </w:rPr>
        <w:t>F</w:t>
      </w:r>
      <w:r>
        <w:rPr>
          <w:rFonts w:ascii="Arial" w:hAnsi="Arial" w:cs="Arial"/>
          <w:i/>
          <w:iCs/>
          <w:sz w:val="22"/>
          <w:szCs w:val="22"/>
          <w:vertAlign w:val="subscript"/>
        </w:rPr>
        <w:t>max</w:t>
      </w:r>
      <w:r>
        <w:rPr>
          <w:rFonts w:ascii="Arial" w:hAnsi="Arial" w:cs="Arial"/>
          <w:sz w:val="22"/>
          <w:szCs w:val="22"/>
        </w:rPr>
        <w:t xml:space="preserve"> and </w:t>
      </w:r>
      <w:r>
        <w:rPr>
          <w:rFonts w:ascii="Arial" w:hAnsi="Arial" w:cs="Arial"/>
          <w:i/>
          <w:iCs/>
          <w:sz w:val="22"/>
          <w:szCs w:val="22"/>
        </w:rPr>
        <w:t>F</w:t>
      </w:r>
      <w:r>
        <w:rPr>
          <w:rFonts w:ascii="Arial" w:hAnsi="Arial" w:cs="Arial"/>
          <w:i/>
          <w:iCs/>
          <w:sz w:val="22"/>
          <w:szCs w:val="22"/>
          <w:vertAlign w:val="subscript"/>
        </w:rPr>
        <w:t>min</w:t>
      </w:r>
      <w:r>
        <w:rPr>
          <w:rFonts w:ascii="Arial" w:hAnsi="Arial" w:cs="Arial"/>
          <w:sz w:val="22"/>
          <w:szCs w:val="22"/>
        </w:rPr>
        <w:t xml:space="preserve"> are the </w:t>
      </w:r>
      <w:r>
        <w:rPr>
          <w:rFonts w:ascii="Arial" w:hAnsi="Arial" w:cs="Arial"/>
          <w:sz w:val="22"/>
          <w:szCs w:val="22"/>
        </w:rPr>
        <w:lastRenderedPageBreak/>
        <w:t xml:space="preserve">maximum and minimum fluorescent values in a trace, respectively. The instantaneous change in fluorescence is </w:t>
      </w:r>
      <m:oMath>
        <m:r>
          <w:rPr>
            <w:rFonts w:ascii="Cambria Math" w:hAnsi="Cambria Math" w:cs="Arial"/>
            <w:sz w:val="22"/>
            <w:szCs w:val="22"/>
          </w:rPr>
          <m:t>∆F=F-</m:t>
        </m:r>
        <m:sSub>
          <m:sSubPr>
            <m:ctrlPr>
              <w:rPr>
                <w:rFonts w:ascii="Cambria Math" w:eastAsia="Cambria Math" w:hAnsi="Cambria Math" w:cs="Cambria Math"/>
                <w:i/>
                <w:sz w:val="22"/>
                <w:szCs w:val="22"/>
              </w:rPr>
            </m:ctrlPr>
          </m:sSubPr>
          <m:e>
            <m:r>
              <w:rPr>
                <w:rFonts w:ascii="Cambria Math" w:hAnsi="Cambria Math" w:cs="Arial"/>
                <w:sz w:val="22"/>
                <w:szCs w:val="22"/>
              </w:rPr>
              <m:t>F</m:t>
            </m:r>
          </m:e>
          <m:sub>
            <m:r>
              <w:rPr>
                <w:rFonts w:ascii="Cambria Math" w:hAnsi="Cambria Math" w:cs="Arial"/>
                <w:sz w:val="22"/>
                <w:szCs w:val="22"/>
              </w:rPr>
              <m:t>0</m:t>
            </m:r>
          </m:sub>
        </m:sSub>
      </m:oMath>
      <w:r>
        <w:rPr>
          <w:rFonts w:ascii="Arial" w:hAnsi="Arial" w:cs="Arial"/>
          <w:sz w:val="22"/>
          <w:szCs w:val="22"/>
        </w:rPr>
        <w:t xml:space="preserve">, where </w:t>
      </w:r>
      <m:oMath>
        <m:sSub>
          <m:sSubPr>
            <m:ctrlPr>
              <w:rPr>
                <w:rFonts w:ascii="Cambria Math" w:eastAsia="Cambria Math" w:hAnsi="Cambria Math" w:cs="Cambria Math"/>
                <w:i/>
                <w:sz w:val="22"/>
                <w:szCs w:val="22"/>
              </w:rPr>
            </m:ctrlPr>
          </m:sSubPr>
          <m:e>
            <m:r>
              <w:rPr>
                <w:rFonts w:ascii="Cambria Math" w:hAnsi="Cambria Math" w:cs="Arial"/>
                <w:sz w:val="22"/>
                <w:szCs w:val="22"/>
              </w:rPr>
              <m:t>F</m:t>
            </m:r>
          </m:e>
          <m:sub>
            <m:r>
              <w:rPr>
                <w:rFonts w:ascii="Cambria Math" w:hAnsi="Cambria Math" w:cs="Arial"/>
                <w:sz w:val="22"/>
                <w:szCs w:val="22"/>
              </w:rPr>
              <m:t>0</m:t>
            </m:r>
          </m:sub>
        </m:sSub>
      </m:oMath>
      <w:r>
        <w:rPr>
          <w:rFonts w:ascii="Arial" w:hAnsi="Arial" w:cs="Arial"/>
          <w:sz w:val="22"/>
          <w:szCs w:val="22"/>
        </w:rPr>
        <w:t xml:space="preserve"> = 0.01 is the baseline fluorescence. Finally, </w:t>
      </w:r>
      <m:oMath>
        <m:sSub>
          <m:sSubPr>
            <m:ctrlPr>
              <w:rPr>
                <w:rFonts w:ascii="Cambria Math" w:eastAsia="Cambria Math" w:hAnsi="Cambria Math" w:cs="Cambria Math"/>
                <w:i/>
                <w:sz w:val="22"/>
                <w:szCs w:val="22"/>
              </w:rPr>
            </m:ctrlPr>
          </m:sSubPr>
          <m:e>
            <m:r>
              <w:rPr>
                <w:rFonts w:ascii="Cambria Math" w:hAnsi="Cambria Math" w:cs="Arial"/>
                <w:sz w:val="22"/>
                <w:szCs w:val="22"/>
              </w:rPr>
              <m:t>∆F</m:t>
            </m:r>
          </m:e>
          <m:sub>
            <m:r>
              <w:rPr>
                <w:rFonts w:ascii="Cambria Math" w:hAnsi="Cambria Math" w:cs="Arial"/>
                <w:sz w:val="22"/>
                <w:szCs w:val="22"/>
              </w:rPr>
              <m:t>max</m:t>
            </m:r>
          </m:sub>
        </m:sSub>
        <m:r>
          <w:rPr>
            <w:rFonts w:ascii="Cambria Math" w:hAnsi="Cambria Math" w:cs="Arial"/>
            <w:sz w:val="22"/>
            <w:szCs w:val="22"/>
          </w:rPr>
          <m:t>=</m:t>
        </m:r>
        <m:sSub>
          <m:sSubPr>
            <m:ctrlPr>
              <w:rPr>
                <w:rFonts w:ascii="Cambria Math" w:eastAsia="Cambria Math" w:hAnsi="Cambria Math" w:cs="Cambria Math"/>
                <w:i/>
                <w:sz w:val="22"/>
                <w:szCs w:val="22"/>
              </w:rPr>
            </m:ctrlPr>
          </m:sSubPr>
          <m:e>
            <m:r>
              <w:rPr>
                <w:rFonts w:ascii="Cambria Math" w:hAnsi="Cambria Math" w:cs="Arial"/>
                <w:sz w:val="22"/>
                <w:szCs w:val="22"/>
              </w:rPr>
              <m:t>F</m:t>
            </m:r>
          </m:e>
          <m:sub>
            <m:r>
              <w:rPr>
                <w:rFonts w:ascii="Cambria Math" w:hAnsi="Cambria Math" w:cs="Arial"/>
                <w:sz w:val="22"/>
                <w:szCs w:val="22"/>
              </w:rPr>
              <m:t>max</m:t>
            </m:r>
          </m:sub>
        </m:sSub>
        <m:r>
          <w:rPr>
            <w:rFonts w:ascii="Cambria Math" w:hAnsi="Cambria Math" w:cs="Arial"/>
            <w:sz w:val="22"/>
            <w:szCs w:val="22"/>
          </w:rPr>
          <m:t>-</m:t>
        </m:r>
        <m:sSub>
          <m:sSubPr>
            <m:ctrlPr>
              <w:rPr>
                <w:rFonts w:ascii="Cambria Math" w:eastAsia="Cambria Math" w:hAnsi="Cambria Math" w:cs="Cambria Math"/>
                <w:i/>
                <w:sz w:val="22"/>
                <w:szCs w:val="22"/>
              </w:rPr>
            </m:ctrlPr>
          </m:sSubPr>
          <m:e>
            <m:r>
              <w:rPr>
                <w:rFonts w:ascii="Cambria Math" w:hAnsi="Cambria Math" w:cs="Arial"/>
                <w:sz w:val="22"/>
                <w:szCs w:val="22"/>
              </w:rPr>
              <m:t>F</m:t>
            </m:r>
          </m:e>
          <m:sub>
            <m:r>
              <w:rPr>
                <w:rFonts w:ascii="Cambria Math" w:hAnsi="Cambria Math" w:cs="Arial"/>
                <w:sz w:val="22"/>
                <w:szCs w:val="22"/>
              </w:rPr>
              <m:t>0</m:t>
            </m:r>
          </m:sub>
        </m:sSub>
      </m:oMath>
      <w:r>
        <w:rPr>
          <w:rFonts w:ascii="Arial" w:hAnsi="Arial" w:cs="Arial"/>
          <w:sz w:val="22"/>
          <w:szCs w:val="22"/>
        </w:rPr>
        <w:t xml:space="preserve"> with </w:t>
      </w:r>
      <w:r>
        <w:rPr>
          <w:rFonts w:ascii="Arial" w:hAnsi="Arial" w:cs="Arial"/>
          <w:i/>
          <w:iCs/>
          <w:sz w:val="22"/>
          <w:szCs w:val="22"/>
        </w:rPr>
        <w:t>F</w:t>
      </w:r>
      <w:r>
        <w:rPr>
          <w:rFonts w:ascii="Arial" w:hAnsi="Arial" w:cs="Arial"/>
          <w:i/>
          <w:iCs/>
          <w:sz w:val="22"/>
          <w:szCs w:val="22"/>
          <w:vertAlign w:val="subscript"/>
        </w:rPr>
        <w:t>max</w:t>
      </w:r>
      <w:r>
        <w:rPr>
          <w:rFonts w:ascii="Arial" w:hAnsi="Arial" w:cs="Arial"/>
          <w:sz w:val="22"/>
          <w:szCs w:val="22"/>
        </w:rPr>
        <w:t xml:space="preserve"> as the maximum fluorescence in the trace.  To match the smaller timestep used in simulating mitochondrial bioenergetics, the time trace was interpolated. The resulting </w:t>
      </w:r>
      <m:oMath>
        <m:sSub>
          <m:sSubPr>
            <m:ctrlPr>
              <w:rPr>
                <w:rFonts w:ascii="Cambria Math" w:eastAsia="Cambria Math" w:hAnsi="Cambria Math" w:cs="Cambria Math"/>
                <w:i/>
                <w:sz w:val="22"/>
                <w:szCs w:val="22"/>
              </w:rPr>
            </m:ctrlPr>
          </m:sSubPr>
          <m:e>
            <m:r>
              <w:rPr>
                <w:rFonts w:ascii="Cambria Math" w:hAnsi="Cambria Math" w:cs="Arial"/>
                <w:sz w:val="22"/>
                <w:szCs w:val="22"/>
              </w:rPr>
              <m:t>[</m:t>
            </m:r>
            <m:sSup>
              <m:sSupPr>
                <m:ctrlPr>
                  <w:rPr>
                    <w:rFonts w:ascii="Cambria Math" w:eastAsia="Cambria Math" w:hAnsi="Cambria Math" w:cs="Cambria Math"/>
                    <w:i/>
                    <w:sz w:val="22"/>
                    <w:szCs w:val="22"/>
                  </w:rPr>
                </m:ctrlPr>
              </m:sSupPr>
              <m:e>
                <m:r>
                  <w:rPr>
                    <w:rFonts w:ascii="Cambria Math" w:hAnsi="Cambria Math" w:cs="Arial"/>
                    <w:sz w:val="22"/>
                    <w:szCs w:val="22"/>
                  </w:rPr>
                  <m:t>Ca</m:t>
                </m:r>
              </m:e>
              <m:sup>
                <m:r>
                  <w:rPr>
                    <w:rFonts w:ascii="Cambria Math" w:hAnsi="Cambria Math" w:cs="Arial"/>
                    <w:sz w:val="22"/>
                    <w:szCs w:val="22"/>
                  </w:rPr>
                  <m:t>2+</m:t>
                </m:r>
              </m:sup>
            </m:sSup>
            <m:r>
              <w:rPr>
                <w:rFonts w:ascii="Cambria Math" w:hAnsi="Cambria Math" w:cs="Arial"/>
                <w:sz w:val="22"/>
                <w:szCs w:val="22"/>
              </w:rPr>
              <m:t>]</m:t>
            </m:r>
          </m:e>
          <m:sub>
            <m:r>
              <w:rPr>
                <w:rFonts w:ascii="Cambria Math" w:hAnsi="Cambria Math" w:cs="Arial"/>
                <w:sz w:val="22"/>
                <w:szCs w:val="22"/>
              </w:rPr>
              <m:t>c</m:t>
            </m:r>
          </m:sub>
        </m:sSub>
      </m:oMath>
      <w:r>
        <w:rPr>
          <w:rFonts w:ascii="Arial" w:hAnsi="Arial" w:cs="Arial"/>
          <w:sz w:val="22"/>
          <w:szCs w:val="22"/>
        </w:rPr>
        <w:t xml:space="preserve"> values as functions of time were fused with the computational model for mitochondrial function discussed below and solved using RK4 method in MATLAB 2023b. Rate equations for mitochondrial Ca</w:t>
      </w:r>
      <w:r>
        <w:rPr>
          <w:rFonts w:ascii="Arial" w:hAnsi="Arial" w:cs="Arial"/>
          <w:sz w:val="22"/>
          <w:szCs w:val="22"/>
          <w:vertAlign w:val="superscript"/>
        </w:rPr>
        <w:t>2+</w:t>
      </w:r>
      <w:r>
        <w:rPr>
          <w:rFonts w:ascii="Arial" w:hAnsi="Arial" w:cs="Arial"/>
          <w:sz w:val="22"/>
          <w:szCs w:val="22"/>
        </w:rPr>
        <w:t xml:space="preserve"> ([Ca</w:t>
      </w:r>
      <w:r>
        <w:rPr>
          <w:rFonts w:ascii="Arial" w:hAnsi="Arial" w:cs="Arial"/>
          <w:sz w:val="22"/>
          <w:szCs w:val="22"/>
          <w:vertAlign w:val="superscript"/>
        </w:rPr>
        <w:t>2+</w:t>
      </w:r>
      <w:r>
        <w:rPr>
          <w:rFonts w:ascii="Arial" w:hAnsi="Arial" w:cs="Arial"/>
          <w:sz w:val="22"/>
          <w:szCs w:val="22"/>
        </w:rPr>
        <w:t>]</w:t>
      </w:r>
      <w:r>
        <w:rPr>
          <w:rFonts w:ascii="Arial" w:hAnsi="Arial" w:cs="Arial"/>
          <w:sz w:val="22"/>
          <w:szCs w:val="22"/>
          <w:vertAlign w:val="subscript"/>
        </w:rPr>
        <w:t>m</w:t>
      </w:r>
      <w:r>
        <w:rPr>
          <w:rFonts w:ascii="Arial" w:hAnsi="Arial" w:cs="Arial"/>
          <w:sz w:val="22"/>
          <w:szCs w:val="22"/>
        </w:rPr>
        <w:t>), NADH ([NADH]</w:t>
      </w:r>
      <w:r>
        <w:rPr>
          <w:rFonts w:ascii="Arial" w:hAnsi="Arial" w:cs="Arial"/>
          <w:sz w:val="22"/>
          <w:szCs w:val="22"/>
          <w:vertAlign w:val="subscript"/>
        </w:rPr>
        <w:t>m</w:t>
      </w:r>
      <w:r>
        <w:rPr>
          <w:rFonts w:ascii="Arial" w:hAnsi="Arial" w:cs="Arial"/>
          <w:sz w:val="22"/>
          <w:szCs w:val="22"/>
        </w:rPr>
        <w:t>), ADP ([ADP]</w:t>
      </w:r>
      <w:r>
        <w:rPr>
          <w:rFonts w:ascii="Arial" w:hAnsi="Arial" w:cs="Arial"/>
          <w:sz w:val="22"/>
          <w:szCs w:val="22"/>
          <w:vertAlign w:val="subscript"/>
        </w:rPr>
        <w:t>m</w:t>
      </w:r>
      <w:r>
        <w:rPr>
          <w:rFonts w:ascii="Arial" w:hAnsi="Arial" w:cs="Arial"/>
          <w:sz w:val="22"/>
          <w:szCs w:val="22"/>
        </w:rPr>
        <w:t>), membrane potential ([Δ</w:t>
      </w:r>
      <w:r>
        <w:rPr>
          <w:rFonts w:ascii="Cambria Math" w:hAnsi="Cambria Math" w:cs="Cambria Math"/>
          <w:sz w:val="22"/>
          <w:szCs w:val="22"/>
        </w:rPr>
        <w:t>𝜓</w:t>
      </w:r>
      <w:r>
        <w:rPr>
          <w:rFonts w:ascii="Arial" w:hAnsi="Arial" w:cs="Arial"/>
          <w:sz w:val="22"/>
          <w:szCs w:val="22"/>
        </w:rPr>
        <w:t>]), and cytosolic ADP ([ADP]</w:t>
      </w:r>
      <w:r>
        <w:rPr>
          <w:rFonts w:ascii="Arial" w:hAnsi="Arial" w:cs="Arial"/>
          <w:sz w:val="22"/>
          <w:szCs w:val="22"/>
          <w:vertAlign w:val="subscript"/>
        </w:rPr>
        <w:t>c</w:t>
      </w:r>
      <w:r>
        <w:rPr>
          <w:rFonts w:ascii="Arial" w:hAnsi="Arial" w:cs="Arial"/>
          <w:sz w:val="22"/>
          <w:szCs w:val="22"/>
        </w:rPr>
        <w:t>) are adopted from</w:t>
      </w:r>
      <w:r>
        <w:rPr>
          <w:rFonts w:ascii="Arial" w:hAnsi="Arial" w:cs="Arial"/>
          <w:sz w:val="22"/>
          <w:szCs w:val="22"/>
        </w:rPr>
        <w:fldChar w:fldCharType="begin">
          <w:fldData xml:space="preserve">PEVuZE5vdGU+PENpdGU+PEF1dGhvcj5Dc29yZGFzPC9BdXRob3I+PFllYXI+MjAxMzwvWWVhcj48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</w:fldData>
        </w:fldChar>
      </w:r>
      <w:r>
        <w:rPr>
          <w:rFonts w:ascii="Arial" w:hAnsi="Arial" w:cs="Arial"/>
          <w:sz w:val="22"/>
          <w:szCs w:val="22"/>
        </w:rPr>
        <w:instrText xml:space="preserve"> ADDIN EN.CITE </w:instrText>
      </w:r>
      <w:r>
        <w:rPr>
          <w:rFonts w:ascii="Arial" w:hAnsi="Arial" w:cs="Arial"/>
          <w:sz w:val="22"/>
          <w:szCs w:val="22"/>
        </w:rPr>
        <w:fldChar w:fldCharType="begin">
          <w:fldData xml:space="preserve">PEVuZE5vdGU+PENpdGU+PEF1dGhvcj5Dc29yZGFzPC9BdXRob3I+PFllYXI+MjAxMzwvWWVhcj48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</w:fldData>
        </w:fldChar>
      </w:r>
      <w:r>
        <w:rPr>
          <w:rFonts w:ascii="Arial" w:hAnsi="Arial" w:cs="Arial"/>
          <w:sz w:val="22"/>
          <w:szCs w:val="22"/>
        </w:rPr>
        <w:instrText xml:space="preserve"> ADDIN EN.CITE.DATA </w:instrText>
      </w:r>
      <w:r>
        <w:rPr>
          <w:rFonts w:ascii="Arial" w:hAnsi="Arial" w:cs="Arial"/>
          <w:sz w:val="22"/>
          <w:szCs w:val="22"/>
        </w:rPr>
      </w:r>
      <w:r>
        <w:rPr>
          <w:rFonts w:ascii="Arial" w:hAnsi="Arial" w:cs="Arial"/>
          <w:sz w:val="22"/>
          <w:szCs w:val="22"/>
        </w:rPr>
        <w:fldChar w:fldCharType="end"/>
      </w:r>
      <w:r>
        <w:rPr>
          <w:rFonts w:ascii="Arial" w:hAnsi="Arial" w:cs="Arial"/>
          <w:sz w:val="22"/>
          <w:szCs w:val="22"/>
        </w:rPr>
      </w:r>
      <w:r>
        <w:rPr>
          <w:rFonts w:ascii="Arial" w:hAnsi="Arial" w:cs="Arial"/>
          <w:sz w:val="22"/>
          <w:szCs w:val="22"/>
        </w:rPr>
        <w:fldChar w:fldCharType="separate"/>
      </w:r>
      <w:r>
        <w:rPr>
          <w:rFonts w:ascii="Arial" w:hAnsi="Arial" w:cs="Arial"/>
          <w:sz w:val="22"/>
          <w:szCs w:val="22"/>
          <w:vertAlign w:val="superscript"/>
        </w:rPr>
        <w:t>8,9</w:t>
      </w:r>
      <w:r>
        <w:rPr>
          <w:rFonts w:ascii="Arial" w:hAnsi="Arial" w:cs="Arial"/>
          <w:sz w:val="22"/>
          <w:szCs w:val="22"/>
        </w:rPr>
        <w:fldChar w:fldCharType="end"/>
      </w:r>
      <w:r>
        <w:rPr>
          <w:rFonts w:ascii="Arial" w:hAnsi="Arial" w:cs="Arial"/>
          <w:sz w:val="22"/>
          <w:szCs w:val="22"/>
        </w:rPr>
        <w:t xml:space="preserve"> and given as:</w:t>
      </w:r>
    </w:p>
    <w:p w14:paraId="3BCDA570" w14:textId="77777777" w:rsidR="00150362" w:rsidRDefault="00DA725F" w:rsidP="00187C95">
      <w:pPr>
        <w:spacing w:after="0" w:line="300" w:lineRule="auto"/>
        <w:jc w:val="both"/>
        <w:rPr>
          <w:rFonts w:ascii="Arial" w:hAnsi="Arial" w:cs="Arial"/>
          <w:sz w:val="22"/>
          <w:szCs w:val="22"/>
        </w:rPr>
      </w:pPr>
      <m:oMath>
        <m:f>
          <m:fPr>
            <m:ctrlPr>
              <w:rPr>
                <w:rFonts w:ascii="Cambria Math" w:eastAsia="Cambria Math" w:hAnsi="Cambria Math" w:cs="Cambria Math"/>
                <w:i/>
                <w:sz w:val="22"/>
                <w:szCs w:val="22"/>
              </w:rPr>
            </m:ctrlPr>
          </m:fPr>
          <m:num>
            <m:r>
              <w:rPr>
                <w:rFonts w:ascii="Cambria Math" w:hAnsi="Cambria Math" w:cs="Arial"/>
                <w:sz w:val="22"/>
                <w:szCs w:val="22"/>
              </w:rPr>
              <m:t>d</m:t>
            </m:r>
            <m:sSub>
              <m:sSubPr>
                <m:ctrlPr>
                  <w:rPr>
                    <w:rFonts w:ascii="Cambria Math" w:eastAsia="Cambria Math" w:hAnsi="Cambria Math" w:cs="Cambria Math"/>
                    <w:i/>
                    <w:sz w:val="22"/>
                    <w:szCs w:val="22"/>
                  </w:rPr>
                </m:ctrlPr>
              </m:sSubPr>
              <m:e>
                <m:r>
                  <w:rPr>
                    <w:rFonts w:ascii="Cambria Math" w:hAnsi="Cambria Math" w:cs="Arial"/>
                    <w:sz w:val="22"/>
                    <w:szCs w:val="22"/>
                  </w:rPr>
                  <m:t>[</m:t>
                </m:r>
                <m:sSup>
                  <m:sSupPr>
                    <m:ctrlPr>
                      <w:rPr>
                        <w:rFonts w:ascii="Cambria Math" w:eastAsia="Cambria Math" w:hAnsi="Cambria Math" w:cs="Cambria Math"/>
                        <w:i/>
                        <w:sz w:val="22"/>
                        <w:szCs w:val="22"/>
                      </w:rPr>
                    </m:ctrlPr>
                  </m:sSupPr>
                  <m:e>
                    <m:r>
                      <w:rPr>
                        <w:rFonts w:ascii="Cambria Math" w:hAnsi="Cambria Math" w:cs="Arial"/>
                        <w:sz w:val="22"/>
                        <w:szCs w:val="22"/>
                      </w:rPr>
                      <m:t>Ca</m:t>
                    </m:r>
                  </m:e>
                  <m:sup>
                    <m:r>
                      <w:rPr>
                        <w:rFonts w:ascii="Cambria Math" w:hAnsi="Cambria Math" w:cs="Arial"/>
                        <w:sz w:val="22"/>
                        <w:szCs w:val="22"/>
                      </w:rPr>
                      <m:t>2+</m:t>
                    </m:r>
                  </m:sup>
                </m:sSup>
                <m:r>
                  <w:rPr>
                    <w:rFonts w:ascii="Cambria Math" w:hAnsi="Cambria Math" w:cs="Arial"/>
                    <w:sz w:val="22"/>
                    <w:szCs w:val="22"/>
                  </w:rPr>
                  <m:t>]</m:t>
                </m:r>
              </m:e>
              <m:sub>
                <m:r>
                  <w:rPr>
                    <w:rFonts w:ascii="Cambria Math" w:hAnsi="Cambria Math" w:cs="Arial"/>
                    <w:sz w:val="22"/>
                    <w:szCs w:val="22"/>
                  </w:rPr>
                  <m:t>m</m:t>
                </m:r>
              </m:sub>
            </m:sSub>
          </m:num>
          <m:den>
            <m:r>
              <w:rPr>
                <w:rFonts w:ascii="Cambria Math" w:hAnsi="Cambria Math" w:cs="Arial"/>
                <w:sz w:val="22"/>
                <w:szCs w:val="22"/>
              </w:rPr>
              <m:t>dt</m:t>
            </m:r>
          </m:den>
        </m:f>
        <m:r>
          <w:rPr>
            <w:rFonts w:ascii="Cambria Math" w:hAnsi="Cambria Math" w:cs="Arial"/>
            <w:sz w:val="22"/>
            <w:szCs w:val="22"/>
          </w:rPr>
          <m:t>=</m:t>
        </m:r>
        <m:sSub>
          <m:sSubPr>
            <m:ctrlPr>
              <w:rPr>
                <w:rFonts w:ascii="Cambria Math" w:eastAsia="Cambria Math" w:hAnsi="Cambria Math" w:cs="Cambria Math"/>
                <w:i/>
                <w:sz w:val="22"/>
                <w:szCs w:val="22"/>
              </w:rPr>
            </m:ctrlPr>
          </m:sSubPr>
          <m:e>
            <m:r>
              <w:rPr>
                <w:rFonts w:ascii="Cambria Math" w:hAnsi="Cambria Math" w:cs="Arial"/>
                <w:sz w:val="22"/>
                <w:szCs w:val="22"/>
              </w:rPr>
              <m:t>f</m:t>
            </m:r>
          </m:e>
          <m:sub>
            <m:r>
              <w:rPr>
                <w:rFonts w:ascii="Cambria Math" w:hAnsi="Cambria Math" w:cs="Arial"/>
                <w:sz w:val="22"/>
                <w:szCs w:val="22"/>
              </w:rPr>
              <m:t>m</m:t>
            </m:r>
          </m:sub>
        </m:sSub>
        <m:r>
          <w:rPr>
            <w:rFonts w:ascii="Cambria Math" w:hAnsi="Cambria Math" w:cs="Arial"/>
            <w:sz w:val="22"/>
            <w:szCs w:val="22"/>
          </w:rPr>
          <m:t>(</m:t>
        </m:r>
        <m:sSub>
          <m:sSubPr>
            <m:ctrlPr>
              <w:rPr>
                <w:rFonts w:ascii="Cambria Math" w:eastAsia="Cambria Math" w:hAnsi="Cambria Math" w:cs="Cambria Math"/>
                <w:i/>
                <w:sz w:val="22"/>
                <w:szCs w:val="22"/>
              </w:rPr>
            </m:ctrlPr>
          </m:sSubPr>
          <m:e>
            <m:r>
              <w:rPr>
                <w:rFonts w:ascii="Cambria Math" w:hAnsi="Cambria Math" w:cs="Arial"/>
                <w:sz w:val="22"/>
                <w:szCs w:val="22"/>
              </w:rPr>
              <m:t>J</m:t>
            </m:r>
          </m:e>
          <m:sub>
            <m:r>
              <w:rPr>
                <w:rFonts w:ascii="Cambria Math" w:hAnsi="Cambria Math" w:cs="Arial"/>
                <w:sz w:val="22"/>
                <w:szCs w:val="22"/>
              </w:rPr>
              <m:t>MCU</m:t>
            </m:r>
          </m:sub>
        </m:sSub>
        <m:r>
          <w:rPr>
            <w:rFonts w:ascii="Cambria Math" w:hAnsi="Cambria Math" w:cs="Arial"/>
            <w:sz w:val="22"/>
            <w:szCs w:val="22"/>
          </w:rPr>
          <m:t xml:space="preserve">- </m:t>
        </m:r>
        <m:sSub>
          <m:sSubPr>
            <m:ctrlPr>
              <w:rPr>
                <w:rFonts w:ascii="Cambria Math" w:eastAsia="Cambria Math" w:hAnsi="Cambria Math" w:cs="Cambria Math"/>
                <w:i/>
                <w:sz w:val="22"/>
                <w:szCs w:val="22"/>
              </w:rPr>
            </m:ctrlPr>
          </m:sSubPr>
          <m:e>
            <m:r>
              <w:rPr>
                <w:rFonts w:ascii="Cambria Math" w:hAnsi="Cambria Math" w:cs="Arial"/>
                <w:sz w:val="22"/>
                <w:szCs w:val="22"/>
              </w:rPr>
              <m:t>J</m:t>
            </m:r>
          </m:e>
          <m:sub>
            <m:r>
              <w:rPr>
                <w:rFonts w:ascii="Cambria Math" w:hAnsi="Cambria Math" w:cs="Arial"/>
                <w:sz w:val="22"/>
                <w:szCs w:val="22"/>
              </w:rPr>
              <m:t>NCX</m:t>
            </m:r>
          </m:sub>
        </m:sSub>
        <m:r>
          <w:rPr>
            <w:rFonts w:ascii="Cambria Math" w:hAnsi="Cambria Math" w:cs="Arial"/>
            <w:sz w:val="22"/>
            <w:szCs w:val="22"/>
          </w:rPr>
          <m:t xml:space="preserve">+ </m:t>
        </m:r>
        <m:sSub>
          <m:sSubPr>
            <m:ctrlPr>
              <w:rPr>
                <w:rFonts w:ascii="Cambria Math" w:eastAsia="Cambria Math" w:hAnsi="Cambria Math" w:cs="Cambria Math"/>
                <w:i/>
                <w:sz w:val="22"/>
                <w:szCs w:val="22"/>
              </w:rPr>
            </m:ctrlPr>
          </m:sSubPr>
          <m:e>
            <m:r>
              <w:rPr>
                <w:rFonts w:ascii="Cambria Math" w:hAnsi="Cambria Math" w:cs="Arial"/>
                <w:sz w:val="22"/>
                <w:szCs w:val="22"/>
              </w:rPr>
              <m:t>J</m:t>
            </m:r>
          </m:e>
          <m:sub>
            <m:r>
              <w:rPr>
                <w:rFonts w:ascii="Cambria Math" w:hAnsi="Cambria Math" w:cs="Arial"/>
                <w:sz w:val="22"/>
                <w:szCs w:val="22"/>
              </w:rPr>
              <m:t>X</m:t>
            </m:r>
          </m:sub>
        </m:sSub>
        <m:r>
          <w:rPr>
            <w:rFonts w:ascii="Cambria Math" w:hAnsi="Cambria Math" w:cs="Arial"/>
            <w:sz w:val="22"/>
            <w:szCs w:val="22"/>
          </w:rPr>
          <m:t>)</m:t>
        </m:r>
      </m:oMath>
      <w:r w:rsidR="00187C95">
        <w:rPr>
          <w:rFonts w:ascii="Arial" w:hAnsi="Arial" w:cs="Arial"/>
          <w:sz w:val="22"/>
          <w:szCs w:val="22"/>
        </w:rPr>
        <w:t>,</w:t>
      </w:r>
      <w:r w:rsidR="00150362">
        <w:rPr>
          <w:rFonts w:ascii="Arial" w:hAnsi="Arial" w:cs="Arial"/>
          <w:sz w:val="22"/>
          <w:szCs w:val="22"/>
        </w:rPr>
        <w:tab/>
      </w:r>
      <w:r w:rsidR="00150362">
        <w:rPr>
          <w:rFonts w:ascii="Arial" w:hAnsi="Arial" w:cs="Arial"/>
          <w:sz w:val="22"/>
          <w:szCs w:val="22"/>
        </w:rPr>
        <w:tab/>
        <w:t>(2)</w:t>
      </w:r>
      <w:r w:rsidR="00187C95">
        <w:rPr>
          <w:rFonts w:ascii="Arial" w:hAnsi="Arial" w:cs="Arial"/>
          <w:sz w:val="22"/>
          <w:szCs w:val="22"/>
        </w:rPr>
        <w:t xml:space="preserve">                                                                                </w:t>
      </w:r>
    </w:p>
    <w:p w14:paraId="5B5096AC" w14:textId="77777777" w:rsidR="00187C95" w:rsidRDefault="00187C95" w:rsidP="00187C95">
      <w:pPr>
        <w:spacing w:after="0" w:line="300" w:lineRule="auto"/>
        <w:jc w:val="both"/>
        <w:rPr>
          <w:rFonts w:ascii="Arial" w:hAnsi="Arial" w:cs="Arial"/>
          <w:sz w:val="22"/>
          <w:szCs w:val="22"/>
        </w:rPr>
      </w:pPr>
      <w:r>
        <w:rPr>
          <w:rFonts w:ascii="Arial" w:hAnsi="Arial" w:cs="Arial"/>
          <w:sz w:val="22"/>
          <w:szCs w:val="22"/>
        </w:rPr>
        <w:t xml:space="preserve">        </w:t>
      </w:r>
    </w:p>
    <w:p w14:paraId="3DB12E49" w14:textId="77777777" w:rsidR="00150362" w:rsidRDefault="00DA725F" w:rsidP="00187C95">
      <w:pPr>
        <w:spacing w:after="0" w:line="300" w:lineRule="auto"/>
        <w:jc w:val="both"/>
        <w:rPr>
          <w:rFonts w:ascii="Arial" w:hAnsi="Arial" w:cs="Arial"/>
          <w:sz w:val="22"/>
          <w:szCs w:val="22"/>
        </w:rPr>
      </w:pPr>
      <m:oMath>
        <m:f>
          <m:fPr>
            <m:ctrlPr>
              <w:rPr>
                <w:rFonts w:ascii="Cambria Math" w:eastAsia="Cambria Math" w:hAnsi="Cambria Math" w:cs="Cambria Math"/>
                <w:i/>
                <w:sz w:val="22"/>
                <w:szCs w:val="22"/>
              </w:rPr>
            </m:ctrlPr>
          </m:fPr>
          <m:num>
            <m:r>
              <w:rPr>
                <w:rFonts w:ascii="Cambria Math" w:hAnsi="Cambria Math" w:cs="Arial"/>
                <w:sz w:val="22"/>
                <w:szCs w:val="22"/>
              </w:rPr>
              <m:t>d</m:t>
            </m:r>
            <m:sSub>
              <m:sSubPr>
                <m:ctrlPr>
                  <w:rPr>
                    <w:rFonts w:ascii="Cambria Math" w:eastAsia="Cambria Math" w:hAnsi="Cambria Math" w:cs="Cambria Math"/>
                    <w:i/>
                    <w:sz w:val="22"/>
                    <w:szCs w:val="22"/>
                  </w:rPr>
                </m:ctrlPr>
              </m:sSubPr>
              <m:e>
                <m:r>
                  <w:rPr>
                    <w:rFonts w:ascii="Cambria Math" w:hAnsi="Cambria Math" w:cs="Arial"/>
                    <w:sz w:val="22"/>
                    <w:szCs w:val="22"/>
                  </w:rPr>
                  <m:t>[NADH]</m:t>
                </m:r>
              </m:e>
              <m:sub>
                <m:r>
                  <w:rPr>
                    <w:rFonts w:ascii="Cambria Math" w:hAnsi="Cambria Math" w:cs="Arial"/>
                    <w:sz w:val="22"/>
                    <w:szCs w:val="22"/>
                  </w:rPr>
                  <m:t>m</m:t>
                </m:r>
              </m:sub>
            </m:sSub>
          </m:num>
          <m:den>
            <m:r>
              <w:rPr>
                <w:rFonts w:ascii="Cambria Math" w:hAnsi="Cambria Math" w:cs="Arial"/>
                <w:sz w:val="22"/>
                <w:szCs w:val="22"/>
              </w:rPr>
              <m:t>dt</m:t>
            </m:r>
          </m:den>
        </m:f>
        <m:r>
          <w:rPr>
            <w:rFonts w:ascii="Cambria Math" w:hAnsi="Cambria Math" w:cs="Arial"/>
            <w:sz w:val="22"/>
            <w:szCs w:val="22"/>
          </w:rPr>
          <m:t xml:space="preserve">= </m:t>
        </m:r>
        <m:sSub>
          <m:sSubPr>
            <m:ctrlPr>
              <w:rPr>
                <w:rFonts w:ascii="Cambria Math" w:eastAsia="Cambria Math" w:hAnsi="Cambria Math" w:cs="Cambria Math"/>
                <w:i/>
                <w:sz w:val="22"/>
                <w:szCs w:val="22"/>
              </w:rPr>
            </m:ctrlPr>
          </m:sSubPr>
          <m:e>
            <m:r>
              <w:rPr>
                <w:rFonts w:ascii="Cambria Math" w:hAnsi="Cambria Math" w:cs="Arial"/>
                <w:sz w:val="22"/>
                <w:szCs w:val="22"/>
              </w:rPr>
              <m:t>J</m:t>
            </m:r>
          </m:e>
          <m:sub>
            <m:r>
              <w:rPr>
                <w:rFonts w:ascii="Cambria Math" w:hAnsi="Cambria Math" w:cs="Arial"/>
                <w:sz w:val="22"/>
                <w:szCs w:val="22"/>
              </w:rPr>
              <m:t>PDH</m:t>
            </m:r>
          </m:sub>
        </m:sSub>
        <m:r>
          <w:rPr>
            <w:rFonts w:ascii="Cambria Math" w:hAnsi="Cambria Math" w:cs="Arial"/>
            <w:sz w:val="22"/>
            <w:szCs w:val="22"/>
          </w:rPr>
          <m:t>+</m:t>
        </m:r>
        <m:sSub>
          <m:sSubPr>
            <m:ctrlPr>
              <w:rPr>
                <w:rFonts w:ascii="Cambria Math" w:eastAsia="Cambria Math" w:hAnsi="Cambria Math" w:cs="Cambria Math"/>
                <w:i/>
                <w:sz w:val="22"/>
                <w:szCs w:val="22"/>
              </w:rPr>
            </m:ctrlPr>
          </m:sSubPr>
          <m:e>
            <m:r>
              <w:rPr>
                <w:rFonts w:ascii="Cambria Math" w:hAnsi="Cambria Math" w:cs="Arial"/>
                <w:sz w:val="22"/>
                <w:szCs w:val="22"/>
              </w:rPr>
              <m:t>J</m:t>
            </m:r>
          </m:e>
          <m:sub>
            <m:r>
              <w:rPr>
                <w:rFonts w:ascii="Cambria Math" w:hAnsi="Cambria Math" w:cs="Arial"/>
                <w:sz w:val="22"/>
                <w:szCs w:val="22"/>
              </w:rPr>
              <m:t>AGC</m:t>
            </m:r>
          </m:sub>
        </m:sSub>
        <m:r>
          <w:rPr>
            <w:rFonts w:ascii="Cambria Math" w:hAnsi="Cambria Math" w:cs="Arial"/>
            <w:sz w:val="22"/>
            <w:szCs w:val="22"/>
          </w:rPr>
          <m:t xml:space="preserve">- </m:t>
        </m:r>
        <m:sSub>
          <m:sSubPr>
            <m:ctrlPr>
              <w:rPr>
                <w:rFonts w:ascii="Cambria Math" w:eastAsia="Cambria Math" w:hAnsi="Cambria Math" w:cs="Cambria Math"/>
                <w:i/>
                <w:sz w:val="22"/>
                <w:szCs w:val="22"/>
              </w:rPr>
            </m:ctrlPr>
          </m:sSubPr>
          <m:e>
            <m:r>
              <w:rPr>
                <w:rFonts w:ascii="Cambria Math" w:hAnsi="Cambria Math" w:cs="Arial"/>
                <w:sz w:val="22"/>
                <w:szCs w:val="22"/>
              </w:rPr>
              <m:t>J</m:t>
            </m:r>
          </m:e>
          <m:sub>
            <m:r>
              <w:rPr>
                <w:rFonts w:ascii="Cambria Math" w:hAnsi="Cambria Math" w:cs="Arial"/>
                <w:sz w:val="22"/>
                <w:szCs w:val="22"/>
              </w:rPr>
              <m:t>o</m:t>
            </m:r>
          </m:sub>
        </m:sSub>
      </m:oMath>
      <w:r w:rsidR="00187C95">
        <w:rPr>
          <w:rFonts w:ascii="Arial" w:hAnsi="Arial" w:cs="Arial"/>
          <w:sz w:val="22"/>
          <w:szCs w:val="22"/>
        </w:rPr>
        <w:t>,</w:t>
      </w:r>
      <w:r w:rsidR="00150362">
        <w:rPr>
          <w:rFonts w:ascii="Arial" w:hAnsi="Arial" w:cs="Arial"/>
          <w:sz w:val="22"/>
          <w:szCs w:val="22"/>
        </w:rPr>
        <w:tab/>
      </w:r>
      <w:r w:rsidR="00150362">
        <w:rPr>
          <w:rFonts w:ascii="Arial" w:hAnsi="Arial" w:cs="Arial"/>
          <w:sz w:val="22"/>
          <w:szCs w:val="22"/>
        </w:rPr>
        <w:tab/>
      </w:r>
      <w:r w:rsidR="00150362">
        <w:rPr>
          <w:rFonts w:ascii="Arial" w:hAnsi="Arial" w:cs="Arial"/>
          <w:sz w:val="22"/>
          <w:szCs w:val="22"/>
        </w:rPr>
        <w:tab/>
        <w:t>(3)</w:t>
      </w:r>
      <w:r w:rsidR="00187C95">
        <w:rPr>
          <w:rFonts w:ascii="Arial" w:hAnsi="Arial" w:cs="Arial"/>
          <w:sz w:val="22"/>
          <w:szCs w:val="22"/>
        </w:rPr>
        <w:t xml:space="preserve">  </w:t>
      </w:r>
    </w:p>
    <w:p w14:paraId="51496C47" w14:textId="77777777" w:rsidR="00187C95" w:rsidRDefault="00187C95" w:rsidP="00187C95">
      <w:pPr>
        <w:spacing w:after="0" w:line="300" w:lineRule="auto"/>
        <w:jc w:val="both"/>
        <w:rPr>
          <w:rFonts w:ascii="Arial" w:hAnsi="Arial" w:cs="Arial"/>
          <w:sz w:val="22"/>
          <w:szCs w:val="22"/>
        </w:rPr>
      </w:pPr>
      <w:r>
        <w:rPr>
          <w:rFonts w:ascii="Arial" w:hAnsi="Arial" w:cs="Arial"/>
          <w:sz w:val="22"/>
          <w:szCs w:val="22"/>
        </w:rPr>
        <w:t xml:space="preserve">                                                                                    </w:t>
      </w:r>
    </w:p>
    <w:p w14:paraId="08CBBDC2" w14:textId="77777777" w:rsidR="00150362" w:rsidRDefault="00DA725F" w:rsidP="00187C95">
      <w:pPr>
        <w:spacing w:after="0" w:line="300" w:lineRule="auto"/>
        <w:jc w:val="both"/>
        <w:rPr>
          <w:rFonts w:ascii="Arial" w:hAnsi="Arial" w:cs="Arial"/>
          <w:sz w:val="22"/>
          <w:szCs w:val="22"/>
        </w:rPr>
      </w:pPr>
      <m:oMath>
        <m:f>
          <m:fPr>
            <m:ctrlPr>
              <w:rPr>
                <w:rFonts w:ascii="Cambria Math" w:eastAsia="Cambria Math" w:hAnsi="Cambria Math" w:cs="Cambria Math"/>
                <w:i/>
                <w:sz w:val="22"/>
                <w:szCs w:val="22"/>
              </w:rPr>
            </m:ctrlPr>
          </m:fPr>
          <m:num>
            <m:sSub>
              <m:sSubPr>
                <m:ctrlPr>
                  <w:rPr>
                    <w:rFonts w:ascii="Cambria Math" w:eastAsia="Cambria Math" w:hAnsi="Cambria Math" w:cs="Cambria Math"/>
                    <w:i/>
                    <w:sz w:val="22"/>
                    <w:szCs w:val="22"/>
                  </w:rPr>
                </m:ctrlPr>
              </m:sSubPr>
              <m:e>
                <m:r>
                  <w:rPr>
                    <w:rFonts w:ascii="Cambria Math" w:hAnsi="Cambria Math" w:cs="Arial"/>
                    <w:sz w:val="22"/>
                    <w:szCs w:val="22"/>
                  </w:rPr>
                  <m:t>d[ADP]</m:t>
                </m:r>
              </m:e>
              <m:sub>
                <m:r>
                  <w:rPr>
                    <w:rFonts w:ascii="Cambria Math" w:hAnsi="Cambria Math" w:cs="Arial"/>
                    <w:sz w:val="22"/>
                    <w:szCs w:val="22"/>
                  </w:rPr>
                  <m:t>m</m:t>
                </m:r>
              </m:sub>
            </m:sSub>
          </m:num>
          <m:den>
            <m:r>
              <w:rPr>
                <w:rFonts w:ascii="Cambria Math" w:hAnsi="Cambria Math" w:cs="Arial"/>
                <w:sz w:val="22"/>
                <w:szCs w:val="22"/>
              </w:rPr>
              <m:t>dt</m:t>
            </m:r>
          </m:den>
        </m:f>
        <m:r>
          <w:rPr>
            <w:rFonts w:ascii="Cambria Math" w:hAnsi="Cambria Math" w:cs="Arial"/>
            <w:sz w:val="22"/>
            <w:szCs w:val="22"/>
          </w:rPr>
          <m:t xml:space="preserve">= </m:t>
        </m:r>
        <m:sSub>
          <m:sSubPr>
            <m:ctrlPr>
              <w:rPr>
                <w:rFonts w:ascii="Cambria Math" w:eastAsia="Cambria Math" w:hAnsi="Cambria Math" w:cs="Cambria Math"/>
                <w:i/>
                <w:sz w:val="22"/>
                <w:szCs w:val="22"/>
              </w:rPr>
            </m:ctrlPr>
          </m:sSubPr>
          <m:e>
            <m:r>
              <w:rPr>
                <w:rFonts w:ascii="Cambria Math" w:hAnsi="Cambria Math" w:cs="Arial"/>
                <w:sz w:val="22"/>
                <w:szCs w:val="22"/>
              </w:rPr>
              <m:t>J</m:t>
            </m:r>
          </m:e>
          <m:sub>
            <m:r>
              <w:rPr>
                <w:rFonts w:ascii="Cambria Math" w:hAnsi="Cambria Math" w:cs="Arial"/>
                <w:sz w:val="22"/>
                <w:szCs w:val="22"/>
              </w:rPr>
              <m:t>ANT</m:t>
            </m:r>
          </m:sub>
        </m:sSub>
        <m:r>
          <w:rPr>
            <w:rFonts w:ascii="Cambria Math" w:hAnsi="Cambria Math" w:cs="Arial"/>
            <w:sz w:val="22"/>
            <w:szCs w:val="22"/>
          </w:rPr>
          <m:t xml:space="preserve">- </m:t>
        </m:r>
        <m:sSub>
          <m:sSubPr>
            <m:ctrlPr>
              <w:rPr>
                <w:rFonts w:ascii="Cambria Math" w:eastAsia="Cambria Math" w:hAnsi="Cambria Math" w:cs="Cambria Math"/>
                <w:i/>
                <w:sz w:val="22"/>
                <w:szCs w:val="22"/>
              </w:rPr>
            </m:ctrlPr>
          </m:sSubPr>
          <m:e>
            <m:r>
              <w:rPr>
                <w:rFonts w:ascii="Cambria Math" w:hAnsi="Cambria Math" w:cs="Arial"/>
                <w:sz w:val="22"/>
                <w:szCs w:val="22"/>
              </w:rPr>
              <m:t>J</m:t>
            </m:r>
          </m:e>
          <m:sub>
            <m:r>
              <w:rPr>
                <w:rFonts w:ascii="Cambria Math" w:hAnsi="Cambria Math" w:cs="Arial"/>
                <w:sz w:val="22"/>
                <w:szCs w:val="22"/>
              </w:rPr>
              <m:t>F1F0</m:t>
            </m:r>
          </m:sub>
        </m:sSub>
      </m:oMath>
      <w:r w:rsidR="00187C95">
        <w:rPr>
          <w:rFonts w:ascii="Arial" w:hAnsi="Arial" w:cs="Arial"/>
          <w:sz w:val="22"/>
          <w:szCs w:val="22"/>
        </w:rPr>
        <w:t>,</w:t>
      </w:r>
      <w:r w:rsidR="00150362">
        <w:rPr>
          <w:rFonts w:ascii="Arial" w:hAnsi="Arial" w:cs="Arial"/>
          <w:sz w:val="22"/>
          <w:szCs w:val="22"/>
        </w:rPr>
        <w:tab/>
      </w:r>
      <w:r w:rsidR="00150362">
        <w:rPr>
          <w:rFonts w:ascii="Arial" w:hAnsi="Arial" w:cs="Arial"/>
          <w:sz w:val="22"/>
          <w:szCs w:val="22"/>
        </w:rPr>
        <w:tab/>
      </w:r>
      <w:r w:rsidR="00150362">
        <w:rPr>
          <w:rFonts w:ascii="Arial" w:hAnsi="Arial" w:cs="Arial"/>
          <w:sz w:val="22"/>
          <w:szCs w:val="22"/>
        </w:rPr>
        <w:tab/>
        <w:t>(4)</w:t>
      </w:r>
      <w:r w:rsidR="00187C95">
        <w:rPr>
          <w:rFonts w:ascii="Arial" w:hAnsi="Arial" w:cs="Arial"/>
          <w:sz w:val="22"/>
          <w:szCs w:val="22"/>
        </w:rPr>
        <w:t xml:space="preserve">  </w:t>
      </w:r>
    </w:p>
    <w:p w14:paraId="0B3B666A" w14:textId="77777777" w:rsidR="00187C95" w:rsidRDefault="00187C95" w:rsidP="00187C95">
      <w:pPr>
        <w:spacing w:after="0" w:line="300" w:lineRule="auto"/>
        <w:jc w:val="both"/>
        <w:rPr>
          <w:rFonts w:ascii="Arial" w:hAnsi="Arial" w:cs="Arial"/>
          <w:sz w:val="22"/>
          <w:szCs w:val="22"/>
        </w:rPr>
      </w:pPr>
      <w:r>
        <w:rPr>
          <w:rFonts w:ascii="Arial" w:hAnsi="Arial" w:cs="Arial"/>
          <w:sz w:val="22"/>
          <w:szCs w:val="22"/>
        </w:rPr>
        <w:t xml:space="preserve">                                                                                             </w:t>
      </w:r>
    </w:p>
    <w:p w14:paraId="00D4A70F" w14:textId="77777777" w:rsidR="00187C95" w:rsidRDefault="00DA725F" w:rsidP="00187C95">
      <w:pPr>
        <w:spacing w:after="0" w:line="300" w:lineRule="auto"/>
        <w:jc w:val="both"/>
        <w:rPr>
          <w:rFonts w:ascii="Arial" w:hAnsi="Arial" w:cs="Arial"/>
          <w:sz w:val="22"/>
          <w:szCs w:val="22"/>
        </w:rPr>
      </w:pPr>
      <m:oMath>
        <m:f>
          <m:fPr>
            <m:ctrlPr>
              <w:rPr>
                <w:rFonts w:ascii="Cambria Math" w:eastAsia="Cambria Math" w:hAnsi="Cambria Math" w:cs="Cambria Math"/>
                <w:i/>
                <w:sz w:val="22"/>
                <w:szCs w:val="22"/>
              </w:rPr>
            </m:ctrlPr>
          </m:fPr>
          <m:num>
            <m:sSub>
              <m:sSubPr>
                <m:ctrlPr>
                  <w:rPr>
                    <w:rFonts w:ascii="Cambria Math" w:eastAsia="Cambria Math" w:hAnsi="Cambria Math" w:cs="Cambria Math"/>
                    <w:i/>
                    <w:sz w:val="22"/>
                    <w:szCs w:val="22"/>
                  </w:rPr>
                </m:ctrlPr>
              </m:sSubPr>
              <m:e>
                <m:r>
                  <w:rPr>
                    <w:rFonts w:ascii="Cambria Math" w:hAnsi="Cambria Math" w:cs="Arial"/>
                    <w:sz w:val="22"/>
                    <w:szCs w:val="22"/>
                  </w:rPr>
                  <m:t>d[ADP]</m:t>
                </m:r>
              </m:e>
              <m:sub>
                <m:r>
                  <w:rPr>
                    <w:rFonts w:ascii="Cambria Math" w:hAnsi="Cambria Math" w:cs="Arial"/>
                    <w:sz w:val="22"/>
                    <w:szCs w:val="22"/>
                  </w:rPr>
                  <m:t>c</m:t>
                </m:r>
              </m:sub>
            </m:sSub>
          </m:num>
          <m:den>
            <m:r>
              <w:rPr>
                <w:rFonts w:ascii="Cambria Math" w:hAnsi="Cambria Math" w:cs="Arial"/>
                <w:sz w:val="22"/>
                <w:szCs w:val="22"/>
              </w:rPr>
              <m:t>dt</m:t>
            </m:r>
          </m:den>
        </m:f>
        <m:r>
          <w:rPr>
            <w:rFonts w:ascii="Cambria Math" w:hAnsi="Cambria Math" w:cs="Arial"/>
            <w:sz w:val="22"/>
            <w:szCs w:val="22"/>
          </w:rPr>
          <m:t xml:space="preserve">= </m:t>
        </m:r>
        <m:sSub>
          <m:sSubPr>
            <m:ctrlPr>
              <w:rPr>
                <w:rFonts w:ascii="Cambria Math" w:eastAsia="Cambria Math" w:hAnsi="Cambria Math" w:cs="Cambria Math"/>
                <w:i/>
                <w:sz w:val="22"/>
                <w:szCs w:val="22"/>
              </w:rPr>
            </m:ctrlPr>
          </m:sSubPr>
          <m:e>
            <m:r>
              <w:rPr>
                <w:rFonts w:ascii="Cambria Math" w:hAnsi="Cambria Math" w:cs="Arial"/>
                <w:sz w:val="22"/>
                <w:szCs w:val="22"/>
              </w:rPr>
              <m:t>J</m:t>
            </m:r>
          </m:e>
          <m:sub>
            <m:r>
              <w:rPr>
                <w:rFonts w:ascii="Cambria Math" w:hAnsi="Cambria Math" w:cs="Arial"/>
                <w:sz w:val="22"/>
                <w:szCs w:val="22"/>
              </w:rPr>
              <m:t>HYD</m:t>
            </m:r>
          </m:sub>
        </m:sSub>
        <m:r>
          <w:rPr>
            <w:rFonts w:ascii="Cambria Math" w:hAnsi="Cambria Math" w:cs="Arial"/>
            <w:sz w:val="22"/>
            <w:szCs w:val="22"/>
          </w:rPr>
          <m:t>- δ</m:t>
        </m:r>
        <m:sSub>
          <m:sSubPr>
            <m:ctrlPr>
              <w:rPr>
                <w:rFonts w:ascii="Cambria Math" w:eastAsia="Cambria Math" w:hAnsi="Cambria Math" w:cs="Cambria Math"/>
                <w:i/>
                <w:sz w:val="22"/>
                <w:szCs w:val="22"/>
              </w:rPr>
            </m:ctrlPr>
          </m:sSubPr>
          <m:e>
            <m:r>
              <w:rPr>
                <w:rFonts w:ascii="Cambria Math" w:hAnsi="Cambria Math" w:cs="Arial"/>
                <w:sz w:val="22"/>
                <w:szCs w:val="22"/>
              </w:rPr>
              <m:t>J</m:t>
            </m:r>
          </m:e>
          <m:sub>
            <m:r>
              <w:rPr>
                <w:rFonts w:ascii="Cambria Math" w:hAnsi="Cambria Math" w:cs="Arial"/>
                <w:sz w:val="22"/>
                <w:szCs w:val="22"/>
              </w:rPr>
              <m:t>ANT</m:t>
            </m:r>
          </m:sub>
        </m:sSub>
      </m:oMath>
      <w:r w:rsidR="00187C95">
        <w:rPr>
          <w:rFonts w:ascii="Arial" w:hAnsi="Arial" w:cs="Arial"/>
          <w:sz w:val="22"/>
          <w:szCs w:val="22"/>
        </w:rPr>
        <w:t xml:space="preserve">, </w:t>
      </w:r>
      <w:r w:rsidR="00150362">
        <w:rPr>
          <w:rFonts w:ascii="Arial" w:hAnsi="Arial" w:cs="Arial"/>
          <w:sz w:val="22"/>
          <w:szCs w:val="22"/>
        </w:rPr>
        <w:tab/>
      </w:r>
      <w:r w:rsidR="00150362">
        <w:rPr>
          <w:rFonts w:ascii="Arial" w:hAnsi="Arial" w:cs="Arial"/>
          <w:sz w:val="22"/>
          <w:szCs w:val="22"/>
        </w:rPr>
        <w:tab/>
      </w:r>
      <w:r w:rsidR="00150362">
        <w:rPr>
          <w:rFonts w:ascii="Arial" w:hAnsi="Arial" w:cs="Arial"/>
          <w:sz w:val="22"/>
          <w:szCs w:val="22"/>
        </w:rPr>
        <w:tab/>
        <w:t>(5)</w:t>
      </w:r>
      <w:r w:rsidR="00187C95">
        <w:rPr>
          <w:rFonts w:ascii="Arial" w:hAnsi="Arial" w:cs="Arial"/>
          <w:sz w:val="22"/>
          <w:szCs w:val="22"/>
        </w:rPr>
        <w:t xml:space="preserve">                                                                                                   </w:t>
      </w:r>
    </w:p>
    <w:p w14:paraId="7919A6EA" w14:textId="77777777" w:rsidR="00187C95" w:rsidRDefault="00DA725F" w:rsidP="00187C95">
      <w:pPr>
        <w:spacing w:after="0" w:line="300" w:lineRule="auto"/>
        <w:jc w:val="both"/>
        <w:rPr>
          <w:rFonts w:ascii="Arial" w:hAnsi="Arial" w:cs="Arial"/>
          <w:sz w:val="22"/>
          <w:szCs w:val="22"/>
        </w:rPr>
      </w:pPr>
      <m:oMath>
        <m:f>
          <m:fPr>
            <m:ctrlPr>
              <w:rPr>
                <w:rFonts w:ascii="Cambria Math" w:eastAsia="Cambria Math" w:hAnsi="Cambria Math" w:cs="Cambria Math"/>
                <w:i/>
                <w:sz w:val="22"/>
                <w:szCs w:val="22"/>
              </w:rPr>
            </m:ctrlPr>
          </m:fPr>
          <m:num>
            <m:r>
              <w:rPr>
                <w:rFonts w:ascii="Cambria Math" w:hAnsi="Cambria Math" w:cs="Arial"/>
                <w:sz w:val="22"/>
                <w:szCs w:val="22"/>
              </w:rPr>
              <m:t>d∆ψ</m:t>
            </m:r>
          </m:num>
          <m:den>
            <m:r>
              <w:rPr>
                <w:rFonts w:ascii="Cambria Math" w:hAnsi="Cambria Math" w:cs="Arial"/>
                <w:sz w:val="22"/>
                <w:szCs w:val="22"/>
              </w:rPr>
              <m:t>dt</m:t>
            </m:r>
          </m:den>
        </m:f>
        <m:r>
          <w:rPr>
            <w:rFonts w:ascii="Cambria Math" w:hAnsi="Cambria Math" w:cs="Arial"/>
            <w:sz w:val="22"/>
            <w:szCs w:val="22"/>
          </w:rPr>
          <m:t>=</m:t>
        </m:r>
        <m:f>
          <m:fPr>
            <m:ctrlPr>
              <w:rPr>
                <w:rFonts w:ascii="Cambria Math" w:eastAsia="Cambria Math" w:hAnsi="Cambria Math" w:cs="Cambria Math"/>
                <w:i/>
                <w:sz w:val="22"/>
                <w:szCs w:val="22"/>
              </w:rPr>
            </m:ctrlPr>
          </m:fPr>
          <m:num>
            <m:r>
              <w:rPr>
                <w:rFonts w:ascii="Cambria Math" w:hAnsi="Cambria Math" w:cs="Arial"/>
                <w:sz w:val="22"/>
                <w:szCs w:val="22"/>
              </w:rPr>
              <m:t>1</m:t>
            </m:r>
          </m:num>
          <m:den>
            <m:sSub>
              <m:sSubPr>
                <m:ctrlPr>
                  <w:rPr>
                    <w:rFonts w:ascii="Cambria Math" w:eastAsia="Cambria Math" w:hAnsi="Cambria Math" w:cs="Cambria Math"/>
                    <w:i/>
                    <w:sz w:val="22"/>
                    <w:szCs w:val="22"/>
                  </w:rPr>
                </m:ctrlPr>
              </m:sSubPr>
              <m:e>
                <m:r>
                  <w:rPr>
                    <w:rFonts w:ascii="Cambria Math" w:hAnsi="Cambria Math" w:cs="Arial"/>
                    <w:sz w:val="22"/>
                    <w:szCs w:val="22"/>
                  </w:rPr>
                  <m:t>c</m:t>
                </m:r>
              </m:e>
              <m:sub>
                <m:r>
                  <w:rPr>
                    <w:rFonts w:ascii="Cambria Math" w:hAnsi="Cambria Math" w:cs="Arial"/>
                    <w:sz w:val="22"/>
                    <w:szCs w:val="22"/>
                  </w:rPr>
                  <m:t>mito</m:t>
                </m:r>
              </m:sub>
            </m:sSub>
          </m:den>
        </m:f>
        <m:r>
          <w:rPr>
            <w:rFonts w:ascii="Cambria Math" w:hAnsi="Cambria Math" w:cs="Arial"/>
            <w:sz w:val="22"/>
            <w:szCs w:val="22"/>
          </w:rPr>
          <m:t>(</m:t>
        </m:r>
        <m:sSub>
          <m:sSubPr>
            <m:ctrlPr>
              <w:rPr>
                <w:rFonts w:ascii="Cambria Math" w:eastAsia="Cambria Math" w:hAnsi="Cambria Math" w:cs="Cambria Math"/>
                <w:i/>
                <w:sz w:val="22"/>
                <w:szCs w:val="22"/>
              </w:rPr>
            </m:ctrlPr>
          </m:sSubPr>
          <m:e>
            <m:r>
              <w:rPr>
                <w:rFonts w:ascii="Cambria Math" w:hAnsi="Cambria Math" w:cs="Arial"/>
                <w:sz w:val="22"/>
                <w:szCs w:val="22"/>
              </w:rPr>
              <m:t>b</m:t>
            </m:r>
          </m:e>
          <m:sub>
            <m:r>
              <w:rPr>
                <w:rFonts w:ascii="Cambria Math" w:hAnsi="Cambria Math" w:cs="Arial"/>
                <w:sz w:val="22"/>
                <w:szCs w:val="22"/>
              </w:rPr>
              <m:t>1</m:t>
            </m:r>
          </m:sub>
        </m:sSub>
        <m:sSub>
          <m:sSubPr>
            <m:ctrlPr>
              <w:rPr>
                <w:rFonts w:ascii="Cambria Math" w:eastAsia="Cambria Math" w:hAnsi="Cambria Math" w:cs="Cambria Math"/>
                <w:i/>
                <w:sz w:val="22"/>
                <w:szCs w:val="22"/>
              </w:rPr>
            </m:ctrlPr>
          </m:sSubPr>
          <m:e>
            <m:r>
              <w:rPr>
                <w:rFonts w:ascii="Cambria Math" w:hAnsi="Cambria Math" w:cs="Arial"/>
                <w:sz w:val="22"/>
                <w:szCs w:val="22"/>
              </w:rPr>
              <m:t>J</m:t>
            </m:r>
          </m:e>
          <m:sub>
            <m:r>
              <w:rPr>
                <w:rFonts w:ascii="Cambria Math" w:hAnsi="Cambria Math" w:cs="Arial"/>
                <w:sz w:val="22"/>
                <w:szCs w:val="22"/>
              </w:rPr>
              <m:t>O</m:t>
            </m:r>
          </m:sub>
        </m:sSub>
        <m:r>
          <w:rPr>
            <w:rFonts w:ascii="Cambria Math" w:hAnsi="Cambria Math" w:cs="Arial"/>
            <w:sz w:val="22"/>
            <w:szCs w:val="22"/>
          </w:rPr>
          <m:t>-</m:t>
        </m:r>
        <m:sSub>
          <m:sSubPr>
            <m:ctrlPr>
              <w:rPr>
                <w:rFonts w:ascii="Cambria Math" w:eastAsia="Cambria Math" w:hAnsi="Cambria Math" w:cs="Cambria Math"/>
                <w:i/>
                <w:sz w:val="22"/>
                <w:szCs w:val="22"/>
              </w:rPr>
            </m:ctrlPr>
          </m:sSubPr>
          <m:e>
            <m:r>
              <w:rPr>
                <w:rFonts w:ascii="Cambria Math" w:hAnsi="Cambria Math" w:cs="Arial"/>
                <w:sz w:val="22"/>
                <w:szCs w:val="22"/>
              </w:rPr>
              <m:t>b</m:t>
            </m:r>
          </m:e>
          <m:sub>
            <m:r>
              <w:rPr>
                <w:rFonts w:ascii="Cambria Math" w:hAnsi="Cambria Math" w:cs="Arial"/>
                <w:sz w:val="22"/>
                <w:szCs w:val="22"/>
              </w:rPr>
              <m:t>2</m:t>
            </m:r>
          </m:sub>
        </m:sSub>
        <m:sSub>
          <m:sSubPr>
            <m:ctrlPr>
              <w:rPr>
                <w:rFonts w:ascii="Cambria Math" w:eastAsia="Cambria Math" w:hAnsi="Cambria Math" w:cs="Cambria Math"/>
                <w:i/>
                <w:sz w:val="22"/>
                <w:szCs w:val="22"/>
              </w:rPr>
            </m:ctrlPr>
          </m:sSubPr>
          <m:e>
            <m:r>
              <w:rPr>
                <w:rFonts w:ascii="Cambria Math" w:hAnsi="Cambria Math" w:cs="Arial"/>
                <w:sz w:val="22"/>
                <w:szCs w:val="22"/>
              </w:rPr>
              <m:t>J</m:t>
            </m:r>
          </m:e>
          <m:sub>
            <m:r>
              <w:rPr>
                <w:rFonts w:ascii="Cambria Math" w:hAnsi="Cambria Math" w:cs="Arial"/>
                <w:sz w:val="22"/>
                <w:szCs w:val="22"/>
              </w:rPr>
              <m:t>F1F0</m:t>
            </m:r>
          </m:sub>
        </m:sSub>
        <m:r>
          <w:rPr>
            <w:rFonts w:ascii="Cambria Math" w:hAnsi="Cambria Math" w:cs="Arial"/>
            <w:sz w:val="22"/>
            <w:szCs w:val="22"/>
          </w:rPr>
          <m:t xml:space="preserve">- </m:t>
        </m:r>
        <m:sSub>
          <m:sSubPr>
            <m:ctrlPr>
              <w:rPr>
                <w:rFonts w:ascii="Cambria Math" w:eastAsia="Cambria Math" w:hAnsi="Cambria Math" w:cs="Cambria Math"/>
                <w:i/>
                <w:sz w:val="22"/>
                <w:szCs w:val="22"/>
              </w:rPr>
            </m:ctrlPr>
          </m:sSubPr>
          <m:e>
            <m:r>
              <w:rPr>
                <w:rFonts w:ascii="Cambria Math" w:hAnsi="Cambria Math" w:cs="Arial"/>
                <w:sz w:val="22"/>
                <w:szCs w:val="22"/>
              </w:rPr>
              <m:t>J</m:t>
            </m:r>
          </m:e>
          <m:sub>
            <m:r>
              <w:rPr>
                <w:rFonts w:ascii="Cambria Math" w:hAnsi="Cambria Math" w:cs="Arial"/>
                <w:sz w:val="22"/>
                <w:szCs w:val="22"/>
              </w:rPr>
              <m:t>ANT</m:t>
            </m:r>
          </m:sub>
        </m:sSub>
        <m:r>
          <w:rPr>
            <w:rFonts w:ascii="Cambria Math" w:hAnsi="Cambria Math" w:cs="Arial"/>
            <w:sz w:val="22"/>
            <w:szCs w:val="22"/>
          </w:rPr>
          <m:t>-</m:t>
        </m:r>
        <m:sSub>
          <m:sSubPr>
            <m:ctrlPr>
              <w:rPr>
                <w:rFonts w:ascii="Cambria Math" w:eastAsia="Cambria Math" w:hAnsi="Cambria Math" w:cs="Cambria Math"/>
                <w:i/>
                <w:sz w:val="22"/>
                <w:szCs w:val="22"/>
              </w:rPr>
            </m:ctrlPr>
          </m:sSubPr>
          <m:e>
            <m:r>
              <w:rPr>
                <w:rFonts w:ascii="Cambria Math" w:hAnsi="Cambria Math" w:cs="Arial"/>
                <w:sz w:val="22"/>
                <w:szCs w:val="22"/>
              </w:rPr>
              <m:t>J</m:t>
            </m:r>
          </m:e>
          <m:sub>
            <m:r>
              <w:rPr>
                <w:rFonts w:ascii="Cambria Math" w:hAnsi="Cambria Math" w:cs="Arial"/>
                <w:sz w:val="22"/>
                <w:szCs w:val="22"/>
              </w:rPr>
              <m:t>H,LEAK</m:t>
            </m:r>
          </m:sub>
        </m:sSub>
        <m:r>
          <w:rPr>
            <w:rFonts w:ascii="Cambria Math" w:hAnsi="Cambria Math" w:cs="Arial"/>
            <w:sz w:val="22"/>
            <w:szCs w:val="22"/>
          </w:rPr>
          <m:t>-</m:t>
        </m:r>
        <m:sSub>
          <m:sSubPr>
            <m:ctrlPr>
              <w:rPr>
                <w:rFonts w:ascii="Cambria Math" w:eastAsia="Cambria Math" w:hAnsi="Cambria Math" w:cs="Cambria Math"/>
                <w:i/>
                <w:sz w:val="22"/>
                <w:szCs w:val="22"/>
              </w:rPr>
            </m:ctrlPr>
          </m:sSubPr>
          <m:e>
            <m:r>
              <w:rPr>
                <w:rFonts w:ascii="Cambria Math" w:hAnsi="Cambria Math" w:cs="Arial"/>
                <w:sz w:val="22"/>
                <w:szCs w:val="22"/>
              </w:rPr>
              <m:t>J</m:t>
            </m:r>
          </m:e>
          <m:sub>
            <m:r>
              <w:rPr>
                <w:rFonts w:ascii="Cambria Math" w:hAnsi="Cambria Math" w:cs="Arial"/>
                <w:sz w:val="22"/>
                <w:szCs w:val="22"/>
              </w:rPr>
              <m:t>NCX</m:t>
            </m:r>
          </m:sub>
        </m:sSub>
        <m:r>
          <w:rPr>
            <w:rFonts w:ascii="Cambria Math" w:hAnsi="Cambria Math" w:cs="Arial"/>
            <w:sz w:val="22"/>
            <w:szCs w:val="22"/>
          </w:rPr>
          <m:t>-</m:t>
        </m:r>
        <m:sSub>
          <m:sSubPr>
            <m:ctrlPr>
              <w:rPr>
                <w:rFonts w:ascii="Cambria Math" w:eastAsia="Cambria Math" w:hAnsi="Cambria Math" w:cs="Cambria Math"/>
                <w:i/>
                <w:sz w:val="22"/>
                <w:szCs w:val="22"/>
              </w:rPr>
            </m:ctrlPr>
          </m:sSubPr>
          <m:e>
            <m:r>
              <w:rPr>
                <w:rFonts w:ascii="Cambria Math" w:hAnsi="Cambria Math" w:cs="Arial"/>
                <w:sz w:val="22"/>
                <w:szCs w:val="22"/>
              </w:rPr>
              <m:t>2J</m:t>
            </m:r>
          </m:e>
          <m:sub>
            <m:r>
              <w:rPr>
                <w:rFonts w:ascii="Cambria Math" w:hAnsi="Cambria Math" w:cs="Arial"/>
                <w:sz w:val="22"/>
                <w:szCs w:val="22"/>
              </w:rPr>
              <m:t>MCU</m:t>
            </m:r>
          </m:sub>
        </m:sSub>
        <m:r>
          <w:rPr>
            <w:rFonts w:ascii="Cambria Math" w:hAnsi="Cambria Math" w:cs="Arial"/>
            <w:sz w:val="22"/>
            <w:szCs w:val="22"/>
          </w:rPr>
          <m:t>-</m:t>
        </m:r>
        <m:sSub>
          <m:sSubPr>
            <m:ctrlPr>
              <w:rPr>
                <w:rFonts w:ascii="Cambria Math" w:eastAsia="Cambria Math" w:hAnsi="Cambria Math" w:cs="Cambria Math"/>
                <w:i/>
                <w:sz w:val="22"/>
                <w:szCs w:val="22"/>
              </w:rPr>
            </m:ctrlPr>
          </m:sSubPr>
          <m:e>
            <m:r>
              <w:rPr>
                <w:rFonts w:ascii="Cambria Math" w:hAnsi="Cambria Math" w:cs="Arial"/>
                <w:sz w:val="22"/>
                <w:szCs w:val="22"/>
              </w:rPr>
              <m:t>2J</m:t>
            </m:r>
          </m:e>
          <m:sub>
            <m:r>
              <w:rPr>
                <w:rFonts w:ascii="Cambria Math" w:hAnsi="Cambria Math" w:cs="Arial"/>
                <w:sz w:val="22"/>
                <w:szCs w:val="22"/>
              </w:rPr>
              <m:t>X</m:t>
            </m:r>
          </m:sub>
        </m:sSub>
        <m:r>
          <w:rPr>
            <w:rFonts w:ascii="Cambria Math" w:hAnsi="Cambria Math" w:cs="Arial"/>
            <w:sz w:val="22"/>
            <w:szCs w:val="22"/>
          </w:rPr>
          <m:t>-</m:t>
        </m:r>
        <m:sSub>
          <m:sSubPr>
            <m:ctrlPr>
              <w:rPr>
                <w:rFonts w:ascii="Cambria Math" w:eastAsia="Cambria Math" w:hAnsi="Cambria Math" w:cs="Cambria Math"/>
                <w:i/>
                <w:sz w:val="22"/>
                <w:szCs w:val="22"/>
              </w:rPr>
            </m:ctrlPr>
          </m:sSubPr>
          <m:e>
            <m:r>
              <w:rPr>
                <w:rFonts w:ascii="Cambria Math" w:hAnsi="Cambria Math" w:cs="Arial"/>
                <w:sz w:val="22"/>
                <w:szCs w:val="22"/>
              </w:rPr>
              <m:t>J</m:t>
            </m:r>
          </m:e>
          <m:sub>
            <m:r>
              <w:rPr>
                <w:rFonts w:ascii="Cambria Math" w:hAnsi="Cambria Math" w:cs="Arial"/>
                <w:sz w:val="22"/>
                <w:szCs w:val="22"/>
              </w:rPr>
              <m:t>AGC</m:t>
            </m:r>
          </m:sub>
        </m:sSub>
        <m:r>
          <w:rPr>
            <w:rFonts w:ascii="Cambria Math" w:hAnsi="Cambria Math" w:cs="Arial"/>
            <w:sz w:val="22"/>
            <w:szCs w:val="22"/>
          </w:rPr>
          <m:t>)</m:t>
        </m:r>
      </m:oMath>
      <w:r w:rsidR="00187C95">
        <w:rPr>
          <w:rFonts w:ascii="Arial" w:hAnsi="Arial" w:cs="Arial"/>
          <w:sz w:val="22"/>
          <w:szCs w:val="22"/>
        </w:rPr>
        <w:t>.</w:t>
      </w:r>
      <w:r w:rsidR="00150362">
        <w:rPr>
          <w:rFonts w:ascii="Arial" w:hAnsi="Arial" w:cs="Arial"/>
          <w:sz w:val="22"/>
          <w:szCs w:val="22"/>
        </w:rPr>
        <w:tab/>
      </w:r>
      <w:r w:rsidR="00150362">
        <w:rPr>
          <w:rFonts w:ascii="Arial" w:hAnsi="Arial" w:cs="Arial"/>
          <w:sz w:val="22"/>
          <w:szCs w:val="22"/>
        </w:rPr>
        <w:tab/>
      </w:r>
      <w:r w:rsidR="00150362">
        <w:rPr>
          <w:rFonts w:ascii="Arial" w:hAnsi="Arial" w:cs="Arial"/>
          <w:sz w:val="22"/>
          <w:szCs w:val="22"/>
        </w:rPr>
        <w:tab/>
      </w:r>
      <w:r w:rsidR="00150362">
        <w:rPr>
          <w:rFonts w:ascii="Arial" w:hAnsi="Arial" w:cs="Arial"/>
          <w:sz w:val="22"/>
          <w:szCs w:val="22"/>
        </w:rPr>
        <w:tab/>
      </w:r>
      <w:r w:rsidR="00187C95">
        <w:rPr>
          <w:rFonts w:ascii="Arial" w:hAnsi="Arial" w:cs="Arial"/>
          <w:sz w:val="22"/>
          <w:szCs w:val="22"/>
        </w:rPr>
        <w:t>(6)</w:t>
      </w:r>
    </w:p>
    <w:p w14:paraId="68254F40" w14:textId="77777777" w:rsidR="00150362" w:rsidRDefault="00150362" w:rsidP="00187C95">
      <w:pPr>
        <w:spacing w:after="0" w:line="300" w:lineRule="auto"/>
        <w:jc w:val="both"/>
        <w:rPr>
          <w:rFonts w:ascii="Arial" w:hAnsi="Arial" w:cs="Arial"/>
          <w:sz w:val="22"/>
          <w:szCs w:val="22"/>
        </w:rPr>
      </w:pPr>
    </w:p>
    <w:p w14:paraId="7A5E335F" w14:textId="77777777" w:rsidR="00187C95" w:rsidRDefault="00187C95" w:rsidP="00187C95">
      <w:pPr>
        <w:spacing w:after="0" w:line="300" w:lineRule="auto"/>
        <w:jc w:val="both"/>
        <w:rPr>
          <w:rFonts w:ascii="Arial" w:hAnsi="Arial" w:cs="Arial"/>
          <w:sz w:val="22"/>
          <w:szCs w:val="22"/>
        </w:rPr>
      </w:pPr>
      <w:r>
        <w:rPr>
          <w:rFonts w:ascii="Arial" w:hAnsi="Arial" w:cs="Arial"/>
          <w:sz w:val="22"/>
          <w:szCs w:val="22"/>
        </w:rPr>
        <w:t>Where Ca</w:t>
      </w:r>
      <w:r>
        <w:rPr>
          <w:rFonts w:ascii="Arial" w:hAnsi="Arial" w:cs="Arial"/>
          <w:sz w:val="22"/>
          <w:szCs w:val="22"/>
          <w:vertAlign w:val="superscript"/>
        </w:rPr>
        <w:t>2+</w:t>
      </w:r>
      <w:r>
        <w:rPr>
          <w:rFonts w:ascii="Arial" w:hAnsi="Arial" w:cs="Arial"/>
          <w:sz w:val="22"/>
          <w:szCs w:val="22"/>
        </w:rPr>
        <w:t xml:space="preserve"> flux through mitochondrial Ca</w:t>
      </w:r>
      <w:r>
        <w:rPr>
          <w:rFonts w:ascii="Arial" w:hAnsi="Arial" w:cs="Arial"/>
          <w:sz w:val="22"/>
          <w:szCs w:val="22"/>
          <w:vertAlign w:val="superscript"/>
        </w:rPr>
        <w:t>2+</w:t>
      </w:r>
      <w:r>
        <w:rPr>
          <w:rFonts w:ascii="Arial" w:hAnsi="Arial" w:cs="Arial"/>
          <w:sz w:val="22"/>
          <w:szCs w:val="22"/>
        </w:rPr>
        <w:t xml:space="preserve"> uniporter (MCU) and Na</w:t>
      </w:r>
      <w:r>
        <w:rPr>
          <w:rFonts w:ascii="Arial" w:hAnsi="Arial" w:cs="Arial"/>
          <w:sz w:val="22"/>
          <w:szCs w:val="22"/>
          <w:vertAlign w:val="superscript"/>
        </w:rPr>
        <w:t>+</w:t>
      </w:r>
      <w:r>
        <w:rPr>
          <w:rFonts w:ascii="Arial" w:hAnsi="Arial" w:cs="Arial"/>
          <w:sz w:val="22"/>
          <w:szCs w:val="22"/>
        </w:rPr>
        <w:t>/Ca</w:t>
      </w:r>
      <w:r>
        <w:rPr>
          <w:rFonts w:ascii="Arial" w:hAnsi="Arial" w:cs="Arial"/>
          <w:sz w:val="22"/>
          <w:szCs w:val="22"/>
          <w:vertAlign w:val="superscript"/>
        </w:rPr>
        <w:t>2+</w:t>
      </w:r>
      <w:r>
        <w:rPr>
          <w:rFonts w:ascii="Arial" w:hAnsi="Arial" w:cs="Arial"/>
          <w:sz w:val="22"/>
          <w:szCs w:val="22"/>
        </w:rPr>
        <w:t xml:space="preserve"> exchangers (NCX) are given as:</w:t>
      </w:r>
    </w:p>
    <w:p w14:paraId="0AE5BDA6" w14:textId="77777777" w:rsidR="00187C95" w:rsidRDefault="00DA725F" w:rsidP="00187C95">
      <w:pPr>
        <w:spacing w:after="0" w:line="300" w:lineRule="auto"/>
        <w:jc w:val="both"/>
        <w:rPr>
          <w:rFonts w:ascii="Arial" w:hAnsi="Arial" w:cs="Arial"/>
          <w:sz w:val="22"/>
          <w:szCs w:val="22"/>
        </w:rPr>
      </w:pPr>
      <m:oMath>
        <m:sSub>
          <m:sSubPr>
            <m:ctrlPr>
              <w:rPr>
                <w:rFonts w:ascii="Cambria Math" w:eastAsia="Cambria Math" w:hAnsi="Cambria Math" w:cs="Cambria Math"/>
                <w:i/>
                <w:sz w:val="22"/>
                <w:szCs w:val="22"/>
              </w:rPr>
            </m:ctrlPr>
          </m:sSubPr>
          <m:e>
            <m:r>
              <w:rPr>
                <w:rFonts w:ascii="Cambria Math" w:hAnsi="Cambria Math" w:cs="Arial"/>
                <w:sz w:val="22"/>
                <w:szCs w:val="22"/>
              </w:rPr>
              <m:t>J</m:t>
            </m:r>
          </m:e>
          <m:sub>
            <m:r>
              <w:rPr>
                <w:rFonts w:ascii="Cambria Math" w:hAnsi="Cambria Math" w:cs="Arial"/>
                <w:sz w:val="22"/>
                <w:szCs w:val="22"/>
              </w:rPr>
              <m:t>MCU</m:t>
            </m:r>
          </m:sub>
        </m:sSub>
        <m:r>
          <w:rPr>
            <w:rFonts w:ascii="Cambria Math" w:hAnsi="Cambria Math" w:cs="Arial"/>
            <w:sz w:val="22"/>
            <w:szCs w:val="22"/>
          </w:rPr>
          <m:t xml:space="preserve">= </m:t>
        </m:r>
        <m:sSub>
          <m:sSubPr>
            <m:ctrlPr>
              <w:rPr>
                <w:rFonts w:ascii="Cambria Math" w:eastAsia="Cambria Math" w:hAnsi="Cambria Math" w:cs="Cambria Math"/>
                <w:i/>
                <w:sz w:val="22"/>
                <w:szCs w:val="22"/>
              </w:rPr>
            </m:ctrlPr>
          </m:sSubPr>
          <m:e>
            <m:r>
              <w:rPr>
                <w:rFonts w:ascii="Cambria Math" w:hAnsi="Cambria Math" w:cs="Arial"/>
                <w:sz w:val="22"/>
                <w:szCs w:val="22"/>
              </w:rPr>
              <m:t>v</m:t>
            </m:r>
          </m:e>
          <m:sub>
            <m:r>
              <w:rPr>
                <w:rFonts w:ascii="Cambria Math" w:hAnsi="Cambria Math" w:cs="Arial"/>
                <w:sz w:val="22"/>
                <w:szCs w:val="22"/>
              </w:rPr>
              <m:t>MCU</m:t>
            </m:r>
          </m:sub>
        </m:sSub>
        <m:f>
          <m:fPr>
            <m:ctrlPr>
              <w:rPr>
                <w:rFonts w:ascii="Cambria Math" w:eastAsia="Cambria Math" w:hAnsi="Cambria Math" w:cs="Cambria Math"/>
                <w:i/>
                <w:sz w:val="22"/>
                <w:szCs w:val="22"/>
              </w:rPr>
            </m:ctrlPr>
          </m:fPr>
          <m:num>
            <m:f>
              <m:fPr>
                <m:ctrlPr>
                  <w:rPr>
                    <w:rFonts w:ascii="Cambria Math" w:eastAsia="Cambria Math" w:hAnsi="Cambria Math" w:cs="Cambria Math"/>
                    <w:i/>
                    <w:sz w:val="22"/>
                    <w:szCs w:val="22"/>
                  </w:rPr>
                </m:ctrlPr>
              </m:fPr>
              <m:num>
                <m:sSub>
                  <m:sSubPr>
                    <m:ctrlPr>
                      <w:rPr>
                        <w:rFonts w:ascii="Cambria Math" w:eastAsia="Cambria Math" w:hAnsi="Cambria Math" w:cs="Cambria Math"/>
                        <w:i/>
                        <w:sz w:val="22"/>
                        <w:szCs w:val="22"/>
                      </w:rPr>
                    </m:ctrlPr>
                  </m:sSubPr>
                  <m:e>
                    <m:r>
                      <w:rPr>
                        <w:rFonts w:ascii="Cambria Math" w:hAnsi="Cambria Math" w:cs="Arial"/>
                        <w:sz w:val="22"/>
                        <w:szCs w:val="22"/>
                      </w:rPr>
                      <m:t>[</m:t>
                    </m:r>
                    <m:sSup>
                      <m:sSupPr>
                        <m:ctrlPr>
                          <w:rPr>
                            <w:rFonts w:ascii="Cambria Math" w:eastAsia="Cambria Math" w:hAnsi="Cambria Math" w:cs="Cambria Math"/>
                            <w:i/>
                            <w:sz w:val="22"/>
                            <w:szCs w:val="22"/>
                          </w:rPr>
                        </m:ctrlPr>
                      </m:sSupPr>
                      <m:e>
                        <m:r>
                          <w:rPr>
                            <w:rFonts w:ascii="Cambria Math" w:hAnsi="Cambria Math" w:cs="Arial"/>
                            <w:sz w:val="22"/>
                            <w:szCs w:val="22"/>
                          </w:rPr>
                          <m:t>Ca</m:t>
                        </m:r>
                      </m:e>
                      <m:sup>
                        <m:r>
                          <w:rPr>
                            <w:rFonts w:ascii="Cambria Math" w:hAnsi="Cambria Math" w:cs="Arial"/>
                            <w:sz w:val="22"/>
                            <w:szCs w:val="22"/>
                          </w:rPr>
                          <m:t>2+</m:t>
                        </m:r>
                      </m:sup>
                    </m:sSup>
                    <m:r>
                      <w:rPr>
                        <w:rFonts w:ascii="Cambria Math" w:hAnsi="Cambria Math" w:cs="Arial"/>
                        <w:sz w:val="22"/>
                        <w:szCs w:val="22"/>
                      </w:rPr>
                      <m:t>]</m:t>
                    </m:r>
                  </m:e>
                  <m:sub>
                    <m:r>
                      <w:rPr>
                        <w:rFonts w:ascii="Cambria Math" w:hAnsi="Cambria Math" w:cs="Arial"/>
                        <w:sz w:val="22"/>
                        <w:szCs w:val="22"/>
                      </w:rPr>
                      <m:t>c</m:t>
                    </m:r>
                  </m:sub>
                </m:sSub>
              </m:num>
              <m:den>
                <m:sSub>
                  <m:sSubPr>
                    <m:ctrlPr>
                      <w:rPr>
                        <w:rFonts w:ascii="Cambria Math" w:eastAsia="Cambria Math" w:hAnsi="Cambria Math" w:cs="Cambria Math"/>
                        <w:i/>
                        <w:sz w:val="22"/>
                        <w:szCs w:val="22"/>
                      </w:rPr>
                    </m:ctrlPr>
                  </m:sSubPr>
                  <m:e>
                    <m:r>
                      <w:rPr>
                        <w:rFonts w:ascii="Cambria Math" w:hAnsi="Cambria Math" w:cs="Arial"/>
                        <w:sz w:val="22"/>
                        <w:szCs w:val="22"/>
                      </w:rPr>
                      <m:t>K</m:t>
                    </m:r>
                  </m:e>
                  <m:sub>
                    <m:r>
                      <w:rPr>
                        <w:rFonts w:ascii="Cambria Math" w:hAnsi="Cambria Math" w:cs="Arial"/>
                        <w:sz w:val="22"/>
                        <w:szCs w:val="22"/>
                      </w:rPr>
                      <m:t>1</m:t>
                    </m:r>
                  </m:sub>
                </m:sSub>
              </m:den>
            </m:f>
            <m:sSup>
              <m:sSupPr>
                <m:ctrlPr>
                  <w:rPr>
                    <w:rFonts w:ascii="Cambria Math" w:eastAsia="Cambria Math" w:hAnsi="Cambria Math" w:cs="Cambria Math"/>
                    <w:i/>
                    <w:sz w:val="22"/>
                    <w:szCs w:val="22"/>
                  </w:rPr>
                </m:ctrlPr>
              </m:sSupPr>
              <m:e>
                <m:d>
                  <m:dPr>
                    <m:ctrlPr>
                      <w:rPr>
                        <w:rFonts w:ascii="Cambria Math" w:eastAsia="Cambria Math" w:hAnsi="Cambria Math" w:cs="Cambria Math"/>
                        <w:i/>
                        <w:sz w:val="22"/>
                        <w:szCs w:val="22"/>
                      </w:rPr>
                    </m:ctrlPr>
                  </m:dPr>
                  <m:e>
                    <m:r>
                      <w:rPr>
                        <w:rFonts w:ascii="Cambria Math" w:hAnsi="Cambria Math" w:cs="Arial"/>
                        <w:sz w:val="22"/>
                        <w:szCs w:val="22"/>
                      </w:rPr>
                      <m:t xml:space="preserve">1+ </m:t>
                    </m:r>
                    <m:f>
                      <m:fPr>
                        <m:ctrlPr>
                          <w:rPr>
                            <w:rFonts w:ascii="Cambria Math" w:eastAsia="Cambria Math" w:hAnsi="Cambria Math" w:cs="Cambria Math"/>
                            <w:i/>
                            <w:sz w:val="22"/>
                            <w:szCs w:val="22"/>
                          </w:rPr>
                        </m:ctrlPr>
                      </m:fPr>
                      <m:num>
                        <m:sSub>
                          <m:sSubPr>
                            <m:ctrlPr>
                              <w:rPr>
                                <w:rFonts w:ascii="Cambria Math" w:eastAsia="Cambria Math" w:hAnsi="Cambria Math" w:cs="Cambria Math"/>
                                <w:i/>
                                <w:sz w:val="22"/>
                                <w:szCs w:val="22"/>
                              </w:rPr>
                            </m:ctrlPr>
                          </m:sSubPr>
                          <m:e>
                            <m:r>
                              <w:rPr>
                                <w:rFonts w:ascii="Cambria Math" w:hAnsi="Cambria Math" w:cs="Arial"/>
                                <w:sz w:val="22"/>
                                <w:szCs w:val="22"/>
                              </w:rPr>
                              <m:t>[</m:t>
                            </m:r>
                            <m:sSup>
                              <m:sSupPr>
                                <m:ctrlPr>
                                  <w:rPr>
                                    <w:rFonts w:ascii="Cambria Math" w:eastAsia="Cambria Math" w:hAnsi="Cambria Math" w:cs="Cambria Math"/>
                                    <w:i/>
                                    <w:sz w:val="22"/>
                                    <w:szCs w:val="22"/>
                                  </w:rPr>
                                </m:ctrlPr>
                              </m:sSupPr>
                              <m:e>
                                <m:r>
                                  <w:rPr>
                                    <w:rFonts w:ascii="Cambria Math" w:hAnsi="Cambria Math" w:cs="Arial"/>
                                    <w:sz w:val="22"/>
                                    <w:szCs w:val="22"/>
                                  </w:rPr>
                                  <m:t>Ca</m:t>
                                </m:r>
                              </m:e>
                              <m:sup>
                                <m:r>
                                  <w:rPr>
                                    <w:rFonts w:ascii="Cambria Math" w:hAnsi="Cambria Math" w:cs="Arial"/>
                                    <w:sz w:val="22"/>
                                    <w:szCs w:val="22"/>
                                  </w:rPr>
                                  <m:t>2+</m:t>
                                </m:r>
                              </m:sup>
                            </m:sSup>
                            <m:r>
                              <w:rPr>
                                <w:rFonts w:ascii="Cambria Math" w:hAnsi="Cambria Math" w:cs="Arial"/>
                                <w:sz w:val="22"/>
                                <w:szCs w:val="22"/>
                              </w:rPr>
                              <m:t>]</m:t>
                            </m:r>
                          </m:e>
                          <m:sub>
                            <m:r>
                              <w:rPr>
                                <w:rFonts w:ascii="Cambria Math" w:hAnsi="Cambria Math" w:cs="Arial"/>
                                <w:sz w:val="22"/>
                                <w:szCs w:val="22"/>
                              </w:rPr>
                              <m:t>c</m:t>
                            </m:r>
                          </m:sub>
                        </m:sSub>
                      </m:num>
                      <m:den>
                        <m:sSub>
                          <m:sSubPr>
                            <m:ctrlPr>
                              <w:rPr>
                                <w:rFonts w:ascii="Cambria Math" w:eastAsia="Cambria Math" w:hAnsi="Cambria Math" w:cs="Cambria Math"/>
                                <w:i/>
                                <w:sz w:val="22"/>
                                <w:szCs w:val="22"/>
                              </w:rPr>
                            </m:ctrlPr>
                          </m:sSubPr>
                          <m:e>
                            <m:r>
                              <w:rPr>
                                <w:rFonts w:ascii="Cambria Math" w:hAnsi="Cambria Math" w:cs="Arial"/>
                                <w:sz w:val="22"/>
                                <w:szCs w:val="22"/>
                              </w:rPr>
                              <m:t>K</m:t>
                            </m:r>
                          </m:e>
                          <m:sub>
                            <m:r>
                              <w:rPr>
                                <w:rFonts w:ascii="Cambria Math" w:hAnsi="Cambria Math" w:cs="Arial"/>
                                <w:sz w:val="22"/>
                                <w:szCs w:val="22"/>
                              </w:rPr>
                              <m:t>1</m:t>
                            </m:r>
                          </m:sub>
                        </m:sSub>
                      </m:den>
                    </m:f>
                  </m:e>
                </m:d>
              </m:e>
              <m:sup>
                <m:r>
                  <w:rPr>
                    <w:rFonts w:ascii="Cambria Math" w:hAnsi="Cambria Math" w:cs="Arial"/>
                    <w:sz w:val="22"/>
                    <w:szCs w:val="22"/>
                  </w:rPr>
                  <m:t>3</m:t>
                </m:r>
              </m:sup>
            </m:sSup>
          </m:num>
          <m:den>
            <m:sSup>
              <m:sSupPr>
                <m:ctrlPr>
                  <w:rPr>
                    <w:rFonts w:ascii="Cambria Math" w:eastAsia="Cambria Math" w:hAnsi="Cambria Math" w:cs="Cambria Math"/>
                    <w:i/>
                    <w:sz w:val="22"/>
                    <w:szCs w:val="22"/>
                  </w:rPr>
                </m:ctrlPr>
              </m:sSupPr>
              <m:e>
                <m:d>
                  <m:dPr>
                    <m:ctrlPr>
                      <w:rPr>
                        <w:rFonts w:ascii="Cambria Math" w:eastAsia="Cambria Math" w:hAnsi="Cambria Math" w:cs="Cambria Math"/>
                        <w:i/>
                        <w:sz w:val="22"/>
                        <w:szCs w:val="22"/>
                      </w:rPr>
                    </m:ctrlPr>
                  </m:dPr>
                  <m:e>
                    <m:r>
                      <w:rPr>
                        <w:rFonts w:ascii="Cambria Math" w:hAnsi="Cambria Math" w:cs="Arial"/>
                        <w:sz w:val="22"/>
                        <w:szCs w:val="22"/>
                      </w:rPr>
                      <m:t xml:space="preserve">1+ </m:t>
                    </m:r>
                    <m:f>
                      <m:fPr>
                        <m:ctrlPr>
                          <w:rPr>
                            <w:rFonts w:ascii="Cambria Math" w:eastAsia="Cambria Math" w:hAnsi="Cambria Math" w:cs="Cambria Math"/>
                            <w:i/>
                            <w:sz w:val="22"/>
                            <w:szCs w:val="22"/>
                          </w:rPr>
                        </m:ctrlPr>
                      </m:fPr>
                      <m:num>
                        <m:sSub>
                          <m:sSubPr>
                            <m:ctrlPr>
                              <w:rPr>
                                <w:rFonts w:ascii="Cambria Math" w:eastAsia="Cambria Math" w:hAnsi="Cambria Math" w:cs="Cambria Math"/>
                                <w:i/>
                                <w:sz w:val="22"/>
                                <w:szCs w:val="22"/>
                              </w:rPr>
                            </m:ctrlPr>
                          </m:sSubPr>
                          <m:e>
                            <m:r>
                              <w:rPr>
                                <w:rFonts w:ascii="Cambria Math" w:hAnsi="Cambria Math" w:cs="Arial"/>
                                <w:sz w:val="22"/>
                                <w:szCs w:val="22"/>
                              </w:rPr>
                              <m:t>[</m:t>
                            </m:r>
                            <m:sSup>
                              <m:sSupPr>
                                <m:ctrlPr>
                                  <w:rPr>
                                    <w:rFonts w:ascii="Cambria Math" w:eastAsia="Cambria Math" w:hAnsi="Cambria Math" w:cs="Cambria Math"/>
                                    <w:i/>
                                    <w:sz w:val="22"/>
                                    <w:szCs w:val="22"/>
                                  </w:rPr>
                                </m:ctrlPr>
                              </m:sSupPr>
                              <m:e>
                                <m:r>
                                  <w:rPr>
                                    <w:rFonts w:ascii="Cambria Math" w:hAnsi="Cambria Math" w:cs="Arial"/>
                                    <w:sz w:val="22"/>
                                    <w:szCs w:val="22"/>
                                  </w:rPr>
                                  <m:t>Ca</m:t>
                                </m:r>
                              </m:e>
                              <m:sup>
                                <m:r>
                                  <w:rPr>
                                    <w:rFonts w:ascii="Cambria Math" w:hAnsi="Cambria Math" w:cs="Arial"/>
                                    <w:sz w:val="22"/>
                                    <w:szCs w:val="22"/>
                                  </w:rPr>
                                  <m:t>2+</m:t>
                                </m:r>
                              </m:sup>
                            </m:sSup>
                            <m:r>
                              <w:rPr>
                                <w:rFonts w:ascii="Cambria Math" w:hAnsi="Cambria Math" w:cs="Arial"/>
                                <w:sz w:val="22"/>
                                <w:szCs w:val="22"/>
                              </w:rPr>
                              <m:t>]</m:t>
                            </m:r>
                          </m:e>
                          <m:sub>
                            <m:r>
                              <w:rPr>
                                <w:rFonts w:ascii="Cambria Math" w:hAnsi="Cambria Math" w:cs="Arial"/>
                                <w:sz w:val="22"/>
                                <w:szCs w:val="22"/>
                              </w:rPr>
                              <m:t>c</m:t>
                            </m:r>
                          </m:sub>
                        </m:sSub>
                      </m:num>
                      <m:den>
                        <m:sSub>
                          <m:sSubPr>
                            <m:ctrlPr>
                              <w:rPr>
                                <w:rFonts w:ascii="Cambria Math" w:eastAsia="Cambria Math" w:hAnsi="Cambria Math" w:cs="Cambria Math"/>
                                <w:i/>
                                <w:sz w:val="22"/>
                                <w:szCs w:val="22"/>
                              </w:rPr>
                            </m:ctrlPr>
                          </m:sSubPr>
                          <m:e>
                            <m:r>
                              <w:rPr>
                                <w:rFonts w:ascii="Cambria Math" w:hAnsi="Cambria Math" w:cs="Arial"/>
                                <w:sz w:val="22"/>
                                <w:szCs w:val="22"/>
                              </w:rPr>
                              <m:t>K</m:t>
                            </m:r>
                          </m:e>
                          <m:sub>
                            <m:r>
                              <w:rPr>
                                <w:rFonts w:ascii="Cambria Math" w:hAnsi="Cambria Math" w:cs="Arial"/>
                                <w:sz w:val="22"/>
                                <w:szCs w:val="22"/>
                              </w:rPr>
                              <m:t>1</m:t>
                            </m:r>
                          </m:sub>
                        </m:sSub>
                      </m:den>
                    </m:f>
                  </m:e>
                </m:d>
              </m:e>
              <m:sup>
                <m:r>
                  <w:rPr>
                    <w:rFonts w:ascii="Cambria Math" w:hAnsi="Cambria Math" w:cs="Arial"/>
                    <w:sz w:val="22"/>
                    <w:szCs w:val="22"/>
                  </w:rPr>
                  <m:t>4</m:t>
                </m:r>
              </m:sup>
            </m:sSup>
            <m:r>
              <w:rPr>
                <w:rFonts w:ascii="Cambria Math" w:hAnsi="Cambria Math" w:cs="Arial"/>
                <w:sz w:val="22"/>
                <w:szCs w:val="22"/>
              </w:rPr>
              <m:t xml:space="preserve">+ </m:t>
            </m:r>
            <m:f>
              <m:fPr>
                <m:ctrlPr>
                  <w:rPr>
                    <w:rFonts w:ascii="Cambria Math" w:eastAsia="Cambria Math" w:hAnsi="Cambria Math" w:cs="Cambria Math"/>
                    <w:i/>
                    <w:sz w:val="22"/>
                    <w:szCs w:val="22"/>
                  </w:rPr>
                </m:ctrlPr>
              </m:fPr>
              <m:num>
                <m:r>
                  <w:rPr>
                    <w:rFonts w:ascii="Cambria Math" w:hAnsi="Cambria Math" w:cs="Arial"/>
                    <w:sz w:val="22"/>
                    <w:szCs w:val="22"/>
                  </w:rPr>
                  <m:t>L</m:t>
                </m:r>
              </m:num>
              <m:den>
                <m:sSup>
                  <m:sSupPr>
                    <m:ctrlPr>
                      <w:rPr>
                        <w:rFonts w:ascii="Cambria Math" w:eastAsia="Cambria Math" w:hAnsi="Cambria Math" w:cs="Cambria Math"/>
                        <w:i/>
                        <w:sz w:val="22"/>
                        <w:szCs w:val="22"/>
                      </w:rPr>
                    </m:ctrlPr>
                  </m:sSupPr>
                  <m:e>
                    <m:d>
                      <m:dPr>
                        <m:ctrlPr>
                          <w:rPr>
                            <w:rFonts w:ascii="Cambria Math" w:eastAsia="Cambria Math" w:hAnsi="Cambria Math" w:cs="Cambria Math"/>
                            <w:i/>
                            <w:sz w:val="22"/>
                            <w:szCs w:val="22"/>
                          </w:rPr>
                        </m:ctrlPr>
                      </m:dPr>
                      <m:e>
                        <m:r>
                          <w:rPr>
                            <w:rFonts w:ascii="Cambria Math" w:hAnsi="Cambria Math" w:cs="Arial"/>
                            <w:sz w:val="22"/>
                            <w:szCs w:val="22"/>
                          </w:rPr>
                          <m:t xml:space="preserve">1+ </m:t>
                        </m:r>
                        <m:f>
                          <m:fPr>
                            <m:ctrlPr>
                              <w:rPr>
                                <w:rFonts w:ascii="Cambria Math" w:eastAsia="Cambria Math" w:hAnsi="Cambria Math" w:cs="Cambria Math"/>
                                <w:i/>
                                <w:sz w:val="22"/>
                                <w:szCs w:val="22"/>
                              </w:rPr>
                            </m:ctrlPr>
                          </m:fPr>
                          <m:num>
                            <m:sSub>
                              <m:sSubPr>
                                <m:ctrlPr>
                                  <w:rPr>
                                    <w:rFonts w:ascii="Cambria Math" w:eastAsia="Cambria Math" w:hAnsi="Cambria Math" w:cs="Cambria Math"/>
                                    <w:i/>
                                    <w:sz w:val="22"/>
                                    <w:szCs w:val="22"/>
                                  </w:rPr>
                                </m:ctrlPr>
                              </m:sSubPr>
                              <m:e>
                                <m:r>
                                  <w:rPr>
                                    <w:rFonts w:ascii="Cambria Math" w:hAnsi="Cambria Math" w:cs="Arial"/>
                                    <w:sz w:val="22"/>
                                    <w:szCs w:val="22"/>
                                  </w:rPr>
                                  <m:t>[</m:t>
                                </m:r>
                                <m:sSup>
                                  <m:sSupPr>
                                    <m:ctrlPr>
                                      <w:rPr>
                                        <w:rFonts w:ascii="Cambria Math" w:eastAsia="Cambria Math" w:hAnsi="Cambria Math" w:cs="Cambria Math"/>
                                        <w:i/>
                                        <w:sz w:val="22"/>
                                        <w:szCs w:val="22"/>
                                      </w:rPr>
                                    </m:ctrlPr>
                                  </m:sSupPr>
                                  <m:e>
                                    <m:r>
                                      <w:rPr>
                                        <w:rFonts w:ascii="Cambria Math" w:hAnsi="Cambria Math" w:cs="Arial"/>
                                        <w:sz w:val="22"/>
                                        <w:szCs w:val="22"/>
                                      </w:rPr>
                                      <m:t>Ca</m:t>
                                    </m:r>
                                  </m:e>
                                  <m:sup>
                                    <m:r>
                                      <w:rPr>
                                        <w:rFonts w:ascii="Cambria Math" w:hAnsi="Cambria Math" w:cs="Arial"/>
                                        <w:sz w:val="22"/>
                                        <w:szCs w:val="22"/>
                                      </w:rPr>
                                      <m:t>2+</m:t>
                                    </m:r>
                                  </m:sup>
                                </m:sSup>
                                <m:r>
                                  <w:rPr>
                                    <w:rFonts w:ascii="Cambria Math" w:hAnsi="Cambria Math" w:cs="Arial"/>
                                    <w:sz w:val="22"/>
                                    <w:szCs w:val="22"/>
                                  </w:rPr>
                                  <m:t>]</m:t>
                                </m:r>
                              </m:e>
                              <m:sub>
                                <m:r>
                                  <w:rPr>
                                    <w:rFonts w:ascii="Cambria Math" w:hAnsi="Cambria Math" w:cs="Arial"/>
                                    <w:sz w:val="22"/>
                                    <w:szCs w:val="22"/>
                                  </w:rPr>
                                  <m:t>c</m:t>
                                </m:r>
                              </m:sub>
                            </m:sSub>
                          </m:num>
                          <m:den>
                            <m:sSub>
                              <m:sSubPr>
                                <m:ctrlPr>
                                  <w:rPr>
                                    <w:rFonts w:ascii="Cambria Math" w:eastAsia="Cambria Math" w:hAnsi="Cambria Math" w:cs="Cambria Math"/>
                                    <w:i/>
                                    <w:sz w:val="22"/>
                                    <w:szCs w:val="22"/>
                                  </w:rPr>
                                </m:ctrlPr>
                              </m:sSubPr>
                              <m:e>
                                <m:r>
                                  <w:rPr>
                                    <w:rFonts w:ascii="Cambria Math" w:hAnsi="Cambria Math" w:cs="Arial"/>
                                    <w:sz w:val="22"/>
                                    <w:szCs w:val="22"/>
                                  </w:rPr>
                                  <m:t>K</m:t>
                                </m:r>
                              </m:e>
                              <m:sub>
                                <m:r>
                                  <w:rPr>
                                    <w:rFonts w:ascii="Cambria Math" w:hAnsi="Cambria Math" w:cs="Arial"/>
                                    <w:sz w:val="22"/>
                                    <w:szCs w:val="22"/>
                                  </w:rPr>
                                  <m:t>2</m:t>
                                </m:r>
                              </m:sub>
                            </m:sSub>
                          </m:den>
                        </m:f>
                      </m:e>
                    </m:d>
                  </m:e>
                  <m:sup>
                    <m:r>
                      <w:rPr>
                        <w:rFonts w:ascii="Cambria Math" w:hAnsi="Cambria Math" w:cs="Arial"/>
                        <w:sz w:val="22"/>
                        <w:szCs w:val="22"/>
                      </w:rPr>
                      <m:t>2.3</m:t>
                    </m:r>
                  </m:sup>
                </m:sSup>
              </m:den>
            </m:f>
          </m:den>
        </m:f>
        <m:sSup>
          <m:sSupPr>
            <m:ctrlPr>
              <w:rPr>
                <w:rFonts w:ascii="Cambria Math" w:eastAsia="Cambria Math" w:hAnsi="Cambria Math" w:cs="Cambria Math"/>
                <w:i/>
                <w:sz w:val="22"/>
                <w:szCs w:val="22"/>
              </w:rPr>
            </m:ctrlPr>
          </m:sSupPr>
          <m:e>
            <m:r>
              <w:rPr>
                <w:rFonts w:ascii="Cambria Math" w:hAnsi="Cambria Math" w:cs="Arial"/>
                <w:sz w:val="22"/>
                <w:szCs w:val="22"/>
              </w:rPr>
              <m:t>e</m:t>
            </m:r>
          </m:e>
          <m:sup>
            <m:sSub>
              <m:sSubPr>
                <m:ctrlPr>
                  <w:rPr>
                    <w:rFonts w:ascii="Cambria Math" w:eastAsia="Cambria Math" w:hAnsi="Cambria Math" w:cs="Cambria Math"/>
                    <w:i/>
                    <w:sz w:val="22"/>
                    <w:szCs w:val="22"/>
                  </w:rPr>
                </m:ctrlPr>
              </m:sSubPr>
              <m:e>
                <m:r>
                  <w:rPr>
                    <w:rFonts w:ascii="Cambria Math" w:hAnsi="Cambria Math" w:cs="Arial"/>
                    <w:sz w:val="22"/>
                    <w:szCs w:val="22"/>
                  </w:rPr>
                  <m:t>p</m:t>
                </m:r>
              </m:e>
              <m:sub>
                <m:r>
                  <w:rPr>
                    <w:rFonts w:ascii="Cambria Math" w:hAnsi="Cambria Math" w:cs="Arial"/>
                    <w:sz w:val="22"/>
                    <w:szCs w:val="22"/>
                  </w:rPr>
                  <m:t>1</m:t>
                </m:r>
              </m:sub>
            </m:sSub>
            <m:r>
              <w:rPr>
                <w:rFonts w:ascii="Cambria Math" w:hAnsi="Cambria Math" w:cs="Arial"/>
                <w:sz w:val="22"/>
                <w:szCs w:val="22"/>
              </w:rPr>
              <m:t>∆ψ</m:t>
            </m:r>
          </m:sup>
        </m:sSup>
      </m:oMath>
      <w:bookmarkStart w:id="1" w:name="_Hlk97685049"/>
      <w:bookmarkStart w:id="2" w:name="_Hlk97685882"/>
      <w:bookmarkEnd w:id="1"/>
      <w:bookmarkEnd w:id="2"/>
      <w:r w:rsidR="00187C95">
        <w:rPr>
          <w:rFonts w:ascii="Arial" w:hAnsi="Arial" w:cs="Arial"/>
          <w:sz w:val="22"/>
          <w:szCs w:val="22"/>
        </w:rPr>
        <w:t>,</w:t>
      </w:r>
      <w:r w:rsidR="00150362">
        <w:rPr>
          <w:rFonts w:ascii="Arial" w:hAnsi="Arial" w:cs="Arial"/>
          <w:sz w:val="22"/>
          <w:szCs w:val="22"/>
        </w:rPr>
        <w:tab/>
        <w:t>(7)</w:t>
      </w:r>
      <w:r w:rsidR="00187C95">
        <w:rPr>
          <w:rFonts w:ascii="Arial" w:hAnsi="Arial" w:cs="Arial"/>
          <w:sz w:val="22"/>
          <w:szCs w:val="22"/>
        </w:rPr>
        <w:t xml:space="preserve">                                                               </w:t>
      </w:r>
    </w:p>
    <w:p w14:paraId="2AA93FC7" w14:textId="77777777" w:rsidR="00150362" w:rsidRDefault="00DA725F" w:rsidP="00187C95">
      <w:pPr>
        <w:spacing w:after="0" w:line="300" w:lineRule="auto"/>
        <w:jc w:val="both"/>
        <w:rPr>
          <w:rFonts w:ascii="Arial" w:hAnsi="Arial" w:cs="Arial"/>
          <w:sz w:val="22"/>
          <w:szCs w:val="22"/>
        </w:rPr>
      </w:pPr>
      <m:oMath>
        <m:sSub>
          <m:sSubPr>
            <m:ctrlPr>
              <w:rPr>
                <w:rFonts w:ascii="Cambria Math" w:eastAsia="Cambria Math" w:hAnsi="Cambria Math" w:cs="Cambria Math"/>
                <w:i/>
                <w:sz w:val="22"/>
                <w:szCs w:val="22"/>
              </w:rPr>
            </m:ctrlPr>
          </m:sSubPr>
          <m:e>
            <m:r>
              <w:rPr>
                <w:rFonts w:ascii="Cambria Math" w:hAnsi="Cambria Math" w:cs="Arial"/>
                <w:sz w:val="22"/>
                <w:szCs w:val="22"/>
              </w:rPr>
              <m:t>J</m:t>
            </m:r>
          </m:e>
          <m:sub>
            <m:r>
              <w:rPr>
                <w:rFonts w:ascii="Cambria Math" w:hAnsi="Cambria Math" w:cs="Arial"/>
                <w:sz w:val="22"/>
                <w:szCs w:val="22"/>
              </w:rPr>
              <m:t>NCX</m:t>
            </m:r>
          </m:sub>
        </m:sSub>
        <m:r>
          <w:rPr>
            <w:rFonts w:ascii="Cambria Math" w:hAnsi="Cambria Math" w:cs="Arial"/>
            <w:sz w:val="22"/>
            <w:szCs w:val="22"/>
          </w:rPr>
          <m:t xml:space="preserve">= </m:t>
        </m:r>
        <m:sSub>
          <m:sSubPr>
            <m:ctrlPr>
              <w:rPr>
                <w:rFonts w:ascii="Cambria Math" w:eastAsia="Cambria Math" w:hAnsi="Cambria Math" w:cs="Cambria Math"/>
                <w:i/>
                <w:sz w:val="22"/>
                <w:szCs w:val="22"/>
              </w:rPr>
            </m:ctrlPr>
          </m:sSubPr>
          <m:e>
            <m:r>
              <w:rPr>
                <w:rFonts w:ascii="Cambria Math" w:hAnsi="Cambria Math" w:cs="Arial"/>
                <w:sz w:val="22"/>
                <w:szCs w:val="22"/>
              </w:rPr>
              <m:t>v</m:t>
            </m:r>
          </m:e>
          <m:sub>
            <m:r>
              <w:rPr>
                <w:rFonts w:ascii="Cambria Math" w:hAnsi="Cambria Math" w:cs="Arial"/>
                <w:sz w:val="22"/>
                <w:szCs w:val="22"/>
              </w:rPr>
              <m:t>NCX</m:t>
            </m:r>
          </m:sub>
        </m:sSub>
        <m:d>
          <m:dPr>
            <m:ctrlPr>
              <w:rPr>
                <w:rFonts w:ascii="Cambria Math" w:eastAsia="Cambria Math" w:hAnsi="Cambria Math" w:cs="Cambria Math"/>
                <w:i/>
                <w:sz w:val="22"/>
                <w:szCs w:val="22"/>
              </w:rPr>
            </m:ctrlPr>
          </m:dPr>
          <m:e>
            <m:f>
              <m:fPr>
                <m:ctrlPr>
                  <w:rPr>
                    <w:rFonts w:ascii="Cambria Math" w:eastAsia="Cambria Math" w:hAnsi="Cambria Math" w:cs="Cambria Math"/>
                    <w:i/>
                    <w:sz w:val="22"/>
                    <w:szCs w:val="22"/>
                  </w:rPr>
                </m:ctrlPr>
              </m:fPr>
              <m:num>
                <m:sSub>
                  <m:sSubPr>
                    <m:ctrlPr>
                      <w:rPr>
                        <w:rFonts w:ascii="Cambria Math" w:eastAsia="Cambria Math" w:hAnsi="Cambria Math" w:cs="Cambria Math"/>
                        <w:i/>
                        <w:sz w:val="22"/>
                        <w:szCs w:val="22"/>
                      </w:rPr>
                    </m:ctrlPr>
                  </m:sSubPr>
                  <m:e>
                    <m:r>
                      <w:rPr>
                        <w:rFonts w:ascii="Cambria Math" w:hAnsi="Cambria Math" w:cs="Arial"/>
                        <w:sz w:val="22"/>
                        <w:szCs w:val="22"/>
                      </w:rPr>
                      <m:t>[</m:t>
                    </m:r>
                    <m:sSup>
                      <m:sSupPr>
                        <m:ctrlPr>
                          <w:rPr>
                            <w:rFonts w:ascii="Cambria Math" w:eastAsia="Cambria Math" w:hAnsi="Cambria Math" w:cs="Cambria Math"/>
                            <w:i/>
                            <w:sz w:val="22"/>
                            <w:szCs w:val="22"/>
                          </w:rPr>
                        </m:ctrlPr>
                      </m:sSupPr>
                      <m:e>
                        <m:r>
                          <w:rPr>
                            <w:rFonts w:ascii="Cambria Math" w:hAnsi="Cambria Math" w:cs="Arial"/>
                            <w:sz w:val="22"/>
                            <w:szCs w:val="22"/>
                          </w:rPr>
                          <m:t>Ca</m:t>
                        </m:r>
                      </m:e>
                      <m:sup>
                        <m:r>
                          <w:rPr>
                            <w:rFonts w:ascii="Cambria Math" w:hAnsi="Cambria Math" w:cs="Arial"/>
                            <w:sz w:val="22"/>
                            <w:szCs w:val="22"/>
                          </w:rPr>
                          <m:t>2+</m:t>
                        </m:r>
                      </m:sup>
                    </m:sSup>
                    <m:r>
                      <w:rPr>
                        <w:rFonts w:ascii="Cambria Math" w:hAnsi="Cambria Math" w:cs="Arial"/>
                        <w:sz w:val="22"/>
                        <w:szCs w:val="22"/>
                      </w:rPr>
                      <m:t>]</m:t>
                    </m:r>
                  </m:e>
                  <m:sub>
                    <m:r>
                      <w:rPr>
                        <w:rFonts w:ascii="Cambria Math" w:hAnsi="Cambria Math" w:cs="Arial"/>
                        <w:sz w:val="22"/>
                        <w:szCs w:val="22"/>
                      </w:rPr>
                      <m:t>m</m:t>
                    </m:r>
                  </m:sub>
                </m:sSub>
              </m:num>
              <m:den>
                <m:sSub>
                  <m:sSubPr>
                    <m:ctrlPr>
                      <w:rPr>
                        <w:rFonts w:ascii="Cambria Math" w:eastAsia="Cambria Math" w:hAnsi="Cambria Math" w:cs="Cambria Math"/>
                        <w:i/>
                        <w:sz w:val="22"/>
                        <w:szCs w:val="22"/>
                      </w:rPr>
                    </m:ctrlPr>
                  </m:sSubPr>
                  <m:e>
                    <m:r>
                      <w:rPr>
                        <w:rFonts w:ascii="Cambria Math" w:hAnsi="Cambria Math" w:cs="Arial"/>
                        <w:sz w:val="22"/>
                        <w:szCs w:val="22"/>
                      </w:rPr>
                      <m:t>[</m:t>
                    </m:r>
                    <m:sSup>
                      <m:sSupPr>
                        <m:ctrlPr>
                          <w:rPr>
                            <w:rFonts w:ascii="Cambria Math" w:eastAsia="Cambria Math" w:hAnsi="Cambria Math" w:cs="Cambria Math"/>
                            <w:i/>
                            <w:sz w:val="22"/>
                            <w:szCs w:val="22"/>
                          </w:rPr>
                        </m:ctrlPr>
                      </m:sSupPr>
                      <m:e>
                        <m:r>
                          <w:rPr>
                            <w:rFonts w:ascii="Cambria Math" w:hAnsi="Cambria Math" w:cs="Arial"/>
                            <w:sz w:val="22"/>
                            <w:szCs w:val="22"/>
                          </w:rPr>
                          <m:t>Ca</m:t>
                        </m:r>
                      </m:e>
                      <m:sup>
                        <m:r>
                          <w:rPr>
                            <w:rFonts w:ascii="Cambria Math" w:hAnsi="Cambria Math" w:cs="Arial"/>
                            <w:sz w:val="22"/>
                            <w:szCs w:val="22"/>
                          </w:rPr>
                          <m:t>2+</m:t>
                        </m:r>
                      </m:sup>
                    </m:sSup>
                    <m:r>
                      <w:rPr>
                        <w:rFonts w:ascii="Cambria Math" w:hAnsi="Cambria Math" w:cs="Arial"/>
                        <w:sz w:val="22"/>
                        <w:szCs w:val="22"/>
                      </w:rPr>
                      <m:t>]</m:t>
                    </m:r>
                  </m:e>
                  <m:sub>
                    <m:r>
                      <w:rPr>
                        <w:rFonts w:ascii="Cambria Math" w:hAnsi="Cambria Math" w:cs="Arial"/>
                        <w:sz w:val="22"/>
                        <w:szCs w:val="22"/>
                      </w:rPr>
                      <m:t>c</m:t>
                    </m:r>
                  </m:sub>
                </m:sSub>
              </m:den>
            </m:f>
          </m:e>
        </m:d>
        <m:sSup>
          <m:sSupPr>
            <m:ctrlPr>
              <w:rPr>
                <w:rFonts w:ascii="Cambria Math" w:eastAsia="Cambria Math" w:hAnsi="Cambria Math" w:cs="Cambria Math"/>
                <w:i/>
                <w:sz w:val="22"/>
                <w:szCs w:val="22"/>
              </w:rPr>
            </m:ctrlPr>
          </m:sSupPr>
          <m:e>
            <m:r>
              <w:rPr>
                <w:rFonts w:ascii="Cambria Math" w:hAnsi="Cambria Math" w:cs="Arial"/>
                <w:sz w:val="22"/>
                <w:szCs w:val="22"/>
              </w:rPr>
              <m:t>e</m:t>
            </m:r>
          </m:e>
          <m:sup>
            <m:sSub>
              <m:sSubPr>
                <m:ctrlPr>
                  <w:rPr>
                    <w:rFonts w:ascii="Cambria Math" w:eastAsia="Cambria Math" w:hAnsi="Cambria Math" w:cs="Cambria Math"/>
                    <w:i/>
                    <w:sz w:val="22"/>
                    <w:szCs w:val="22"/>
                  </w:rPr>
                </m:ctrlPr>
              </m:sSubPr>
              <m:e>
                <m:r>
                  <w:rPr>
                    <w:rFonts w:ascii="Cambria Math" w:hAnsi="Cambria Math" w:cs="Arial"/>
                    <w:sz w:val="22"/>
                    <w:szCs w:val="22"/>
                  </w:rPr>
                  <m:t>p</m:t>
                </m:r>
              </m:e>
              <m:sub>
                <m:r>
                  <w:rPr>
                    <w:rFonts w:ascii="Cambria Math" w:hAnsi="Cambria Math" w:cs="Arial"/>
                    <w:sz w:val="22"/>
                    <w:szCs w:val="22"/>
                  </w:rPr>
                  <m:t>2</m:t>
                </m:r>
              </m:sub>
            </m:sSub>
            <m:r>
              <w:rPr>
                <w:rFonts w:ascii="Cambria Math" w:hAnsi="Cambria Math" w:cs="Arial"/>
                <w:sz w:val="22"/>
                <w:szCs w:val="22"/>
              </w:rPr>
              <m:t>∆ψ</m:t>
            </m:r>
          </m:sup>
        </m:sSup>
      </m:oMath>
      <w:bookmarkStart w:id="3" w:name="_Hlk97685635"/>
      <w:bookmarkEnd w:id="3"/>
      <w:r w:rsidR="00187C95">
        <w:rPr>
          <w:rFonts w:ascii="Arial" w:hAnsi="Arial" w:cs="Arial"/>
          <w:sz w:val="22"/>
          <w:szCs w:val="22"/>
        </w:rPr>
        <w:t>.</w:t>
      </w:r>
      <w:r w:rsidR="00150362">
        <w:rPr>
          <w:rFonts w:ascii="Arial" w:hAnsi="Arial" w:cs="Arial"/>
          <w:sz w:val="22"/>
          <w:szCs w:val="22"/>
        </w:rPr>
        <w:tab/>
      </w:r>
      <w:r w:rsidR="00150362">
        <w:rPr>
          <w:rFonts w:ascii="Arial" w:hAnsi="Arial" w:cs="Arial"/>
          <w:sz w:val="22"/>
          <w:szCs w:val="22"/>
        </w:rPr>
        <w:tab/>
      </w:r>
      <w:r w:rsidR="00150362">
        <w:rPr>
          <w:rFonts w:ascii="Arial" w:hAnsi="Arial" w:cs="Arial"/>
          <w:sz w:val="22"/>
          <w:szCs w:val="22"/>
        </w:rPr>
        <w:tab/>
        <w:t>(8)</w:t>
      </w:r>
      <w:r w:rsidR="00187C95">
        <w:rPr>
          <w:rFonts w:ascii="Arial" w:hAnsi="Arial" w:cs="Arial"/>
          <w:sz w:val="22"/>
          <w:szCs w:val="22"/>
        </w:rPr>
        <w:t xml:space="preserve">   </w:t>
      </w:r>
    </w:p>
    <w:p w14:paraId="3A009128" w14:textId="77777777" w:rsidR="00187C95" w:rsidRDefault="00187C95" w:rsidP="00187C95">
      <w:pPr>
        <w:spacing w:after="0" w:line="300" w:lineRule="auto"/>
        <w:jc w:val="both"/>
        <w:rPr>
          <w:rFonts w:ascii="Arial" w:hAnsi="Arial" w:cs="Arial"/>
          <w:sz w:val="22"/>
          <w:szCs w:val="22"/>
        </w:rPr>
      </w:pPr>
      <w:r>
        <w:rPr>
          <w:rFonts w:ascii="Arial" w:hAnsi="Arial" w:cs="Arial"/>
          <w:sz w:val="22"/>
          <w:szCs w:val="22"/>
        </w:rPr>
        <w:t xml:space="preserve">                                                                   </w:t>
      </w:r>
    </w:p>
    <w:p w14:paraId="42CD7988" w14:textId="77777777" w:rsidR="00187C95" w:rsidRDefault="00187C95" w:rsidP="00187C95">
      <w:pPr>
        <w:spacing w:after="0" w:line="300" w:lineRule="auto"/>
        <w:jc w:val="both"/>
        <w:rPr>
          <w:rFonts w:ascii="Arial" w:hAnsi="Arial" w:cs="Arial"/>
          <w:sz w:val="22"/>
          <w:szCs w:val="22"/>
        </w:rPr>
      </w:pPr>
      <w:r>
        <w:rPr>
          <w:rFonts w:ascii="Arial" w:hAnsi="Arial" w:cs="Arial"/>
          <w:sz w:val="22"/>
          <w:szCs w:val="22"/>
        </w:rPr>
        <w:t>The additional Ca</w:t>
      </w:r>
      <w:r>
        <w:rPr>
          <w:rFonts w:ascii="Arial" w:hAnsi="Arial" w:cs="Arial"/>
          <w:sz w:val="22"/>
          <w:szCs w:val="22"/>
          <w:vertAlign w:val="superscript"/>
        </w:rPr>
        <w:t>2+</w:t>
      </w:r>
      <w:r>
        <w:rPr>
          <w:rFonts w:ascii="Arial" w:hAnsi="Arial" w:cs="Arial"/>
          <w:sz w:val="22"/>
          <w:szCs w:val="22"/>
        </w:rPr>
        <w:t xml:space="preserve"> flux (J</w:t>
      </w:r>
      <w:r>
        <w:rPr>
          <w:rFonts w:ascii="Arial" w:hAnsi="Arial" w:cs="Arial"/>
          <w:sz w:val="22"/>
          <w:szCs w:val="22"/>
          <w:vertAlign w:val="subscript"/>
        </w:rPr>
        <w:t>x</w:t>
      </w:r>
      <w:r>
        <w:rPr>
          <w:rFonts w:ascii="Arial" w:hAnsi="Arial" w:cs="Arial"/>
          <w:sz w:val="22"/>
          <w:szCs w:val="22"/>
        </w:rPr>
        <w:t>) was added to capture the many experimental results, and particularly the observations that mitochondrial Ca</w:t>
      </w:r>
      <w:r>
        <w:rPr>
          <w:rFonts w:ascii="Arial" w:hAnsi="Arial" w:cs="Arial"/>
          <w:sz w:val="22"/>
          <w:szCs w:val="22"/>
          <w:vertAlign w:val="superscript"/>
        </w:rPr>
        <w:t>2+</w:t>
      </w:r>
      <w:r>
        <w:rPr>
          <w:rFonts w:ascii="Arial" w:hAnsi="Arial" w:cs="Arial"/>
          <w:sz w:val="22"/>
          <w:szCs w:val="22"/>
        </w:rPr>
        <w:t xml:space="preserve"> does not drop in MCU knocked-down cells.</w:t>
      </w:r>
      <w:r>
        <w:rPr>
          <w:rFonts w:ascii="Arial" w:hAnsi="Arial" w:cs="Arial"/>
          <w:sz w:val="22"/>
          <w:szCs w:val="22"/>
        </w:rPr>
        <w:fldChar w:fldCharType="begin">
          <w:fldData xml:space="preserve">PEVuZE5vdGU+PENpdGU+PEF1dGhvcj5Dc29yZGFzPC9BdXRob3I+PFllYXI+MjAxMzwvWWVhcj48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</w:fldData>
        </w:fldChar>
      </w:r>
      <w:r>
        <w:rPr>
          <w:rFonts w:ascii="Arial" w:hAnsi="Arial" w:cs="Arial"/>
          <w:sz w:val="22"/>
          <w:szCs w:val="22"/>
        </w:rPr>
        <w:instrText xml:space="preserve"> ADDIN EN.CITE </w:instrText>
      </w:r>
      <w:r>
        <w:rPr>
          <w:rFonts w:ascii="Arial" w:hAnsi="Arial" w:cs="Arial"/>
          <w:sz w:val="22"/>
          <w:szCs w:val="22"/>
        </w:rPr>
        <w:fldChar w:fldCharType="begin">
          <w:fldData xml:space="preserve">PEVuZE5vdGU+PENpdGU+PEF1dGhvcj5Dc29yZGFzPC9BdXRob3I+PFllYXI+MjAxMzwvWWVhcj48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</w:fldData>
        </w:fldChar>
      </w:r>
      <w:r>
        <w:rPr>
          <w:rFonts w:ascii="Arial" w:hAnsi="Arial" w:cs="Arial"/>
          <w:sz w:val="22"/>
          <w:szCs w:val="22"/>
        </w:rPr>
        <w:instrText xml:space="preserve"> ADDIN EN.CITE.DATA </w:instrText>
      </w:r>
      <w:r>
        <w:rPr>
          <w:rFonts w:ascii="Arial" w:hAnsi="Arial" w:cs="Arial"/>
          <w:sz w:val="22"/>
          <w:szCs w:val="22"/>
        </w:rPr>
      </w:r>
      <w:r>
        <w:rPr>
          <w:rFonts w:ascii="Arial" w:hAnsi="Arial" w:cs="Arial"/>
          <w:sz w:val="22"/>
          <w:szCs w:val="22"/>
        </w:rPr>
        <w:fldChar w:fldCharType="end"/>
      </w:r>
      <w:r>
        <w:rPr>
          <w:rFonts w:ascii="Arial" w:hAnsi="Arial" w:cs="Arial"/>
          <w:sz w:val="22"/>
          <w:szCs w:val="22"/>
        </w:rPr>
      </w:r>
      <w:r>
        <w:rPr>
          <w:rFonts w:ascii="Arial" w:hAnsi="Arial" w:cs="Arial"/>
          <w:sz w:val="22"/>
          <w:szCs w:val="22"/>
        </w:rPr>
        <w:fldChar w:fldCharType="separate"/>
      </w:r>
      <w:r>
        <w:rPr>
          <w:rFonts w:ascii="Arial" w:hAnsi="Arial" w:cs="Arial"/>
          <w:sz w:val="22"/>
          <w:szCs w:val="22"/>
          <w:vertAlign w:val="superscript"/>
        </w:rPr>
        <w:t>8,9</w:t>
      </w:r>
      <w:r>
        <w:rPr>
          <w:rFonts w:ascii="Arial" w:hAnsi="Arial" w:cs="Arial"/>
          <w:sz w:val="22"/>
          <w:szCs w:val="22"/>
        </w:rPr>
        <w:fldChar w:fldCharType="end"/>
      </w:r>
      <w:r>
        <w:rPr>
          <w:rFonts w:ascii="Arial" w:hAnsi="Arial" w:cs="Arial"/>
          <w:sz w:val="22"/>
          <w:szCs w:val="22"/>
        </w:rPr>
        <w:t xml:space="preserve"> </w:t>
      </w:r>
    </w:p>
    <w:p w14:paraId="5FBC339E" w14:textId="77777777" w:rsidR="00150362" w:rsidRDefault="00150362" w:rsidP="00187C95">
      <w:pPr>
        <w:spacing w:after="0" w:line="300" w:lineRule="auto"/>
        <w:jc w:val="both"/>
        <w:rPr>
          <w:rFonts w:ascii="Arial" w:hAnsi="Arial" w:cs="Arial"/>
          <w:sz w:val="22"/>
          <w:szCs w:val="22"/>
        </w:rPr>
      </w:pPr>
    </w:p>
    <w:p w14:paraId="52150CBD" w14:textId="77777777" w:rsidR="00150362" w:rsidRDefault="00DA725F" w:rsidP="00187C95">
      <w:pPr>
        <w:spacing w:after="0" w:line="300" w:lineRule="auto"/>
        <w:jc w:val="both"/>
        <w:rPr>
          <w:rFonts w:ascii="Arial" w:hAnsi="Arial" w:cs="Arial"/>
          <w:sz w:val="22"/>
          <w:szCs w:val="22"/>
        </w:rPr>
      </w:pPr>
      <m:oMath>
        <m:sSub>
          <m:sSubPr>
            <m:ctrlPr>
              <w:rPr>
                <w:rFonts w:ascii="Cambria Math" w:eastAsia="Cambria Math" w:hAnsi="Cambria Math" w:cs="Cambria Math"/>
                <w:i/>
                <w:sz w:val="22"/>
                <w:szCs w:val="22"/>
              </w:rPr>
            </m:ctrlPr>
          </m:sSubPr>
          <m:e>
            <m:r>
              <w:rPr>
                <w:rFonts w:ascii="Cambria Math" w:hAnsi="Cambria Math" w:cs="Arial"/>
                <w:sz w:val="22"/>
                <w:szCs w:val="22"/>
              </w:rPr>
              <m:t>J</m:t>
            </m:r>
          </m:e>
          <m:sub>
            <m:r>
              <w:rPr>
                <w:rFonts w:ascii="Cambria Math" w:hAnsi="Cambria Math" w:cs="Arial"/>
                <w:sz w:val="22"/>
                <w:szCs w:val="22"/>
              </w:rPr>
              <m:t>x</m:t>
            </m:r>
          </m:sub>
        </m:sSub>
        <m:r>
          <w:rPr>
            <w:rFonts w:ascii="Cambria Math" w:hAnsi="Cambria Math" w:cs="Arial"/>
            <w:sz w:val="22"/>
            <w:szCs w:val="22"/>
          </w:rPr>
          <m:t xml:space="preserve">= </m:t>
        </m:r>
        <m:sSub>
          <m:sSubPr>
            <m:ctrlPr>
              <w:rPr>
                <w:rFonts w:ascii="Cambria Math" w:eastAsia="Cambria Math" w:hAnsi="Cambria Math" w:cs="Cambria Math"/>
                <w:i/>
                <w:sz w:val="22"/>
                <w:szCs w:val="22"/>
              </w:rPr>
            </m:ctrlPr>
          </m:sSubPr>
          <m:e>
            <m:r>
              <w:rPr>
                <w:rFonts w:ascii="Cambria Math" w:hAnsi="Cambria Math" w:cs="Arial"/>
                <w:sz w:val="22"/>
                <w:szCs w:val="22"/>
              </w:rPr>
              <m:t>k</m:t>
            </m:r>
          </m:e>
          <m:sub>
            <m:r>
              <w:rPr>
                <w:rFonts w:ascii="Cambria Math" w:hAnsi="Cambria Math" w:cs="Arial"/>
                <w:sz w:val="22"/>
                <w:szCs w:val="22"/>
              </w:rPr>
              <m:t>x</m:t>
            </m:r>
          </m:sub>
        </m:sSub>
        <m:d>
          <m:dPr>
            <m:ctrlPr>
              <w:rPr>
                <w:rFonts w:ascii="Cambria Math" w:eastAsia="Cambria Math" w:hAnsi="Cambria Math" w:cs="Cambria Math"/>
                <w:i/>
                <w:sz w:val="22"/>
                <w:szCs w:val="22"/>
              </w:rPr>
            </m:ctrlPr>
          </m:dPr>
          <m:e>
            <m:sSub>
              <m:sSubPr>
                <m:ctrlPr>
                  <w:rPr>
                    <w:rFonts w:ascii="Cambria Math" w:eastAsia="Cambria Math" w:hAnsi="Cambria Math" w:cs="Cambria Math"/>
                    <w:i/>
                    <w:sz w:val="22"/>
                    <w:szCs w:val="22"/>
                  </w:rPr>
                </m:ctrlPr>
              </m:sSubPr>
              <m:e>
                <m:r>
                  <w:rPr>
                    <w:rFonts w:ascii="Cambria Math" w:hAnsi="Cambria Math" w:cs="Arial"/>
                    <w:sz w:val="22"/>
                    <w:szCs w:val="22"/>
                  </w:rPr>
                  <m:t>[</m:t>
                </m:r>
                <m:sSup>
                  <m:sSupPr>
                    <m:ctrlPr>
                      <w:rPr>
                        <w:rFonts w:ascii="Cambria Math" w:eastAsia="Cambria Math" w:hAnsi="Cambria Math" w:cs="Cambria Math"/>
                        <w:i/>
                        <w:sz w:val="22"/>
                        <w:szCs w:val="22"/>
                      </w:rPr>
                    </m:ctrlPr>
                  </m:sSupPr>
                  <m:e>
                    <m:r>
                      <w:rPr>
                        <w:rFonts w:ascii="Cambria Math" w:hAnsi="Cambria Math" w:cs="Arial"/>
                        <w:sz w:val="22"/>
                        <w:szCs w:val="22"/>
                      </w:rPr>
                      <m:t>Ca</m:t>
                    </m:r>
                  </m:e>
                  <m:sup>
                    <m:r>
                      <w:rPr>
                        <w:rFonts w:ascii="Cambria Math" w:hAnsi="Cambria Math" w:cs="Arial"/>
                        <w:sz w:val="22"/>
                        <w:szCs w:val="22"/>
                      </w:rPr>
                      <m:t>2+</m:t>
                    </m:r>
                  </m:sup>
                </m:sSup>
                <m:r>
                  <w:rPr>
                    <w:rFonts w:ascii="Cambria Math" w:hAnsi="Cambria Math" w:cs="Arial"/>
                    <w:sz w:val="22"/>
                    <w:szCs w:val="22"/>
                  </w:rPr>
                  <m:t>]</m:t>
                </m:r>
              </m:e>
              <m:sub>
                <m:r>
                  <w:rPr>
                    <w:rFonts w:ascii="Cambria Math" w:hAnsi="Cambria Math" w:cs="Arial"/>
                    <w:sz w:val="22"/>
                    <w:szCs w:val="22"/>
                  </w:rPr>
                  <m:t>c</m:t>
                </m:r>
              </m:sub>
            </m:sSub>
            <m:r>
              <w:rPr>
                <w:rFonts w:ascii="Cambria Math" w:hAnsi="Cambria Math" w:cs="Arial"/>
                <w:sz w:val="22"/>
                <w:szCs w:val="22"/>
              </w:rPr>
              <m:t xml:space="preserve">- </m:t>
            </m:r>
            <m:sSub>
              <m:sSubPr>
                <m:ctrlPr>
                  <w:rPr>
                    <w:rFonts w:ascii="Cambria Math" w:eastAsia="Cambria Math" w:hAnsi="Cambria Math" w:cs="Cambria Math"/>
                    <w:i/>
                    <w:sz w:val="22"/>
                    <w:szCs w:val="22"/>
                  </w:rPr>
                </m:ctrlPr>
              </m:sSubPr>
              <m:e>
                <m:r>
                  <w:rPr>
                    <w:rFonts w:ascii="Cambria Math" w:hAnsi="Cambria Math" w:cs="Arial"/>
                    <w:sz w:val="22"/>
                    <w:szCs w:val="22"/>
                  </w:rPr>
                  <m:t>[</m:t>
                </m:r>
                <m:sSup>
                  <m:sSupPr>
                    <m:ctrlPr>
                      <w:rPr>
                        <w:rFonts w:ascii="Cambria Math" w:eastAsia="Cambria Math" w:hAnsi="Cambria Math" w:cs="Cambria Math"/>
                        <w:i/>
                        <w:sz w:val="22"/>
                        <w:szCs w:val="22"/>
                      </w:rPr>
                    </m:ctrlPr>
                  </m:sSupPr>
                  <m:e>
                    <m:r>
                      <w:rPr>
                        <w:rFonts w:ascii="Cambria Math" w:hAnsi="Cambria Math" w:cs="Arial"/>
                        <w:sz w:val="22"/>
                        <w:szCs w:val="22"/>
                      </w:rPr>
                      <m:t>Ca</m:t>
                    </m:r>
                  </m:e>
                  <m:sup>
                    <m:r>
                      <w:rPr>
                        <w:rFonts w:ascii="Cambria Math" w:hAnsi="Cambria Math" w:cs="Arial"/>
                        <w:sz w:val="22"/>
                        <w:szCs w:val="22"/>
                      </w:rPr>
                      <m:t>2+</m:t>
                    </m:r>
                  </m:sup>
                </m:sSup>
                <m:r>
                  <w:rPr>
                    <w:rFonts w:ascii="Cambria Math" w:hAnsi="Cambria Math" w:cs="Arial"/>
                    <w:sz w:val="22"/>
                    <w:szCs w:val="22"/>
                  </w:rPr>
                  <m:t>]</m:t>
                </m:r>
              </m:e>
              <m:sub>
                <m:r>
                  <w:rPr>
                    <w:rFonts w:ascii="Cambria Math" w:hAnsi="Cambria Math" w:cs="Arial"/>
                    <w:sz w:val="22"/>
                    <w:szCs w:val="22"/>
                  </w:rPr>
                  <m:t>m</m:t>
                </m:r>
              </m:sub>
            </m:sSub>
          </m:e>
        </m:d>
        <m:sSup>
          <m:sSupPr>
            <m:ctrlPr>
              <w:rPr>
                <w:rFonts w:ascii="Cambria Math" w:eastAsia="Cambria Math" w:hAnsi="Cambria Math" w:cs="Cambria Math"/>
                <w:i/>
                <w:sz w:val="22"/>
                <w:szCs w:val="22"/>
              </w:rPr>
            </m:ctrlPr>
          </m:sSupPr>
          <m:e>
            <m:r>
              <w:rPr>
                <w:rFonts w:ascii="Cambria Math" w:hAnsi="Cambria Math" w:cs="Arial"/>
                <w:sz w:val="22"/>
                <w:szCs w:val="22"/>
              </w:rPr>
              <m:t>e</m:t>
            </m:r>
          </m:e>
          <m:sup>
            <m:sSub>
              <m:sSubPr>
                <m:ctrlPr>
                  <w:rPr>
                    <w:rFonts w:ascii="Cambria Math" w:eastAsia="Cambria Math" w:hAnsi="Cambria Math" w:cs="Cambria Math"/>
                    <w:i/>
                    <w:sz w:val="22"/>
                    <w:szCs w:val="22"/>
                  </w:rPr>
                </m:ctrlPr>
              </m:sSubPr>
              <m:e>
                <m:r>
                  <w:rPr>
                    <w:rFonts w:ascii="Cambria Math" w:hAnsi="Cambria Math" w:cs="Arial"/>
                    <w:sz w:val="22"/>
                    <w:szCs w:val="22"/>
                  </w:rPr>
                  <m:t>p</m:t>
                </m:r>
              </m:e>
              <m:sub>
                <m:r>
                  <w:rPr>
                    <w:rFonts w:ascii="Cambria Math" w:hAnsi="Cambria Math" w:cs="Arial"/>
                    <w:sz w:val="22"/>
                    <w:szCs w:val="22"/>
                  </w:rPr>
                  <m:t>3</m:t>
                </m:r>
              </m:sub>
            </m:sSub>
            <m:r>
              <w:rPr>
                <w:rFonts w:ascii="Cambria Math" w:hAnsi="Cambria Math" w:cs="Arial"/>
                <w:sz w:val="22"/>
                <w:szCs w:val="22"/>
              </w:rPr>
              <m:t>∆ψ</m:t>
            </m:r>
          </m:sup>
        </m:sSup>
      </m:oMath>
      <w:r w:rsidR="00187C95">
        <w:rPr>
          <w:rFonts w:ascii="Arial" w:hAnsi="Arial" w:cs="Arial"/>
          <w:sz w:val="22"/>
          <w:szCs w:val="22"/>
        </w:rPr>
        <w:t>.</w:t>
      </w:r>
      <w:r w:rsidR="00150362">
        <w:rPr>
          <w:rFonts w:ascii="Arial" w:hAnsi="Arial" w:cs="Arial"/>
          <w:sz w:val="22"/>
          <w:szCs w:val="22"/>
        </w:rPr>
        <w:tab/>
      </w:r>
      <w:r w:rsidR="00150362">
        <w:rPr>
          <w:rFonts w:ascii="Arial" w:hAnsi="Arial" w:cs="Arial"/>
          <w:sz w:val="22"/>
          <w:szCs w:val="22"/>
        </w:rPr>
        <w:tab/>
        <w:t>(9)</w:t>
      </w:r>
      <w:r w:rsidR="00187C95">
        <w:rPr>
          <w:rFonts w:ascii="Arial" w:hAnsi="Arial" w:cs="Arial"/>
          <w:sz w:val="22"/>
          <w:szCs w:val="22"/>
        </w:rPr>
        <w:t xml:space="preserve">      </w:t>
      </w:r>
    </w:p>
    <w:p w14:paraId="0C968E6C" w14:textId="77777777" w:rsidR="00187C95" w:rsidRDefault="00187C95" w:rsidP="00187C95">
      <w:pPr>
        <w:spacing w:after="0" w:line="300" w:lineRule="auto"/>
        <w:jc w:val="both"/>
        <w:rPr>
          <w:rFonts w:ascii="Arial" w:hAnsi="Arial" w:cs="Arial"/>
          <w:sz w:val="22"/>
          <w:szCs w:val="22"/>
        </w:rPr>
      </w:pPr>
      <w:r>
        <w:rPr>
          <w:rFonts w:ascii="Arial" w:hAnsi="Arial" w:cs="Arial"/>
          <w:sz w:val="22"/>
          <w:szCs w:val="22"/>
        </w:rPr>
        <w:t xml:space="preserve">                                                                                    </w:t>
      </w:r>
    </w:p>
    <w:p w14:paraId="06E27DF5" w14:textId="77777777" w:rsidR="00187C95" w:rsidRDefault="00187C95" w:rsidP="00187C95">
      <w:pPr>
        <w:spacing w:after="0" w:line="300" w:lineRule="auto"/>
        <w:jc w:val="both"/>
        <w:rPr>
          <w:rFonts w:ascii="Arial" w:hAnsi="Arial" w:cs="Arial"/>
          <w:sz w:val="22"/>
          <w:szCs w:val="22"/>
        </w:rPr>
      </w:pPr>
      <w:r>
        <w:rPr>
          <w:rFonts w:ascii="Arial" w:hAnsi="Arial" w:cs="Arial"/>
          <w:sz w:val="22"/>
          <w:szCs w:val="22"/>
        </w:rPr>
        <w:t>The effects of Pyruvate Dehydrogenase (PDH)-catalyzed reaction, glycolytic pathway (k</w:t>
      </w:r>
      <w:r>
        <w:rPr>
          <w:rFonts w:ascii="Arial" w:hAnsi="Arial" w:cs="Arial"/>
          <w:sz w:val="22"/>
          <w:szCs w:val="22"/>
          <w:vertAlign w:val="subscript"/>
        </w:rPr>
        <w:t>GLY</w:t>
      </w:r>
      <w:r>
        <w:rPr>
          <w:rFonts w:ascii="Arial" w:hAnsi="Arial" w:cs="Arial"/>
          <w:sz w:val="22"/>
          <w:szCs w:val="22"/>
        </w:rPr>
        <w:t>), and the TCA cycle (reduction of [NAD+]</w:t>
      </w:r>
      <w:r>
        <w:rPr>
          <w:rFonts w:ascii="Arial" w:hAnsi="Arial" w:cs="Arial"/>
          <w:sz w:val="22"/>
          <w:szCs w:val="22"/>
          <w:vertAlign w:val="subscript"/>
        </w:rPr>
        <w:t>m</w:t>
      </w:r>
      <w:r>
        <w:rPr>
          <w:rFonts w:ascii="Arial" w:hAnsi="Arial" w:cs="Arial"/>
          <w:sz w:val="22"/>
          <w:szCs w:val="22"/>
        </w:rPr>
        <w:t xml:space="preserve"> into NADH) is formulated as:</w:t>
      </w:r>
    </w:p>
    <w:p w14:paraId="3A06E6BD" w14:textId="77777777" w:rsidR="00150362" w:rsidRDefault="00DA725F" w:rsidP="00187C95">
      <w:pPr>
        <w:spacing w:after="0" w:line="300" w:lineRule="auto"/>
        <w:jc w:val="both"/>
        <w:rPr>
          <w:rFonts w:ascii="Arial" w:hAnsi="Arial" w:cs="Arial"/>
          <w:sz w:val="22"/>
          <w:szCs w:val="22"/>
        </w:rPr>
      </w:pPr>
      <m:oMath>
        <m:sSub>
          <m:sSubPr>
            <m:ctrlPr>
              <w:rPr>
                <w:rFonts w:ascii="Cambria Math" w:eastAsia="Cambria Math" w:hAnsi="Cambria Math" w:cs="Cambria Math"/>
                <w:i/>
                <w:sz w:val="22"/>
                <w:szCs w:val="22"/>
              </w:rPr>
            </m:ctrlPr>
          </m:sSubPr>
          <m:e>
            <m:r>
              <w:rPr>
                <w:rFonts w:ascii="Cambria Math" w:hAnsi="Cambria Math" w:cs="Arial"/>
                <w:sz w:val="22"/>
                <w:szCs w:val="22"/>
              </w:rPr>
              <m:t>J</m:t>
            </m:r>
          </m:e>
          <m:sub>
            <m:r>
              <w:rPr>
                <w:rFonts w:ascii="Cambria Math" w:hAnsi="Cambria Math" w:cs="Arial"/>
                <w:sz w:val="22"/>
                <w:szCs w:val="22"/>
              </w:rPr>
              <m:t>PDH</m:t>
            </m:r>
          </m:sub>
        </m:sSub>
        <m:r>
          <w:rPr>
            <w:rFonts w:ascii="Cambria Math" w:hAnsi="Cambria Math" w:cs="Arial"/>
            <w:sz w:val="22"/>
            <w:szCs w:val="22"/>
          </w:rPr>
          <m:t xml:space="preserve">= </m:t>
        </m:r>
        <m:sSub>
          <m:sSubPr>
            <m:ctrlPr>
              <w:rPr>
                <w:rFonts w:ascii="Cambria Math" w:eastAsia="Cambria Math" w:hAnsi="Cambria Math" w:cs="Cambria Math"/>
                <w:i/>
                <w:sz w:val="22"/>
                <w:szCs w:val="22"/>
              </w:rPr>
            </m:ctrlPr>
          </m:sSubPr>
          <m:e>
            <m:r>
              <w:rPr>
                <w:rFonts w:ascii="Cambria Math" w:hAnsi="Cambria Math" w:cs="Arial"/>
                <w:sz w:val="22"/>
                <w:szCs w:val="22"/>
              </w:rPr>
              <m:t>k</m:t>
            </m:r>
          </m:e>
          <m:sub>
            <m:r>
              <w:rPr>
                <w:rFonts w:ascii="Cambria Math" w:hAnsi="Cambria Math" w:cs="Arial"/>
                <w:sz w:val="22"/>
                <w:szCs w:val="22"/>
              </w:rPr>
              <m:t>GLY</m:t>
            </m:r>
          </m:sub>
        </m:sSub>
        <m:f>
          <m:fPr>
            <m:ctrlPr>
              <w:rPr>
                <w:rFonts w:ascii="Cambria Math" w:eastAsia="Cambria Math" w:hAnsi="Cambria Math" w:cs="Cambria Math"/>
                <w:i/>
                <w:sz w:val="22"/>
                <w:szCs w:val="22"/>
              </w:rPr>
            </m:ctrlPr>
          </m:fPr>
          <m:num>
            <m:r>
              <w:rPr>
                <w:rFonts w:ascii="Cambria Math" w:hAnsi="Cambria Math" w:cs="Arial"/>
                <w:sz w:val="22"/>
                <w:szCs w:val="22"/>
              </w:rPr>
              <m:t>1</m:t>
            </m:r>
          </m:num>
          <m:den>
            <m:sSub>
              <m:sSubPr>
                <m:ctrlPr>
                  <w:rPr>
                    <w:rFonts w:ascii="Cambria Math" w:eastAsia="Cambria Math" w:hAnsi="Cambria Math" w:cs="Cambria Math"/>
                    <w:i/>
                    <w:sz w:val="22"/>
                    <w:szCs w:val="22"/>
                  </w:rPr>
                </m:ctrlPr>
              </m:sSubPr>
              <m:e>
                <m:r>
                  <w:rPr>
                    <w:rFonts w:ascii="Cambria Math" w:hAnsi="Cambria Math" w:cs="Arial"/>
                    <w:sz w:val="22"/>
                    <w:szCs w:val="22"/>
                  </w:rPr>
                  <m:t>q</m:t>
                </m:r>
              </m:e>
              <m:sub>
                <m:r>
                  <w:rPr>
                    <w:rFonts w:ascii="Cambria Math" w:hAnsi="Cambria Math" w:cs="Arial"/>
                    <w:sz w:val="22"/>
                    <w:szCs w:val="22"/>
                  </w:rPr>
                  <m:t>1</m:t>
                </m:r>
              </m:sub>
            </m:sSub>
            <m:r>
              <w:rPr>
                <w:rFonts w:ascii="Cambria Math" w:hAnsi="Cambria Math" w:cs="Arial"/>
                <w:sz w:val="22"/>
                <w:szCs w:val="22"/>
              </w:rPr>
              <m:t xml:space="preserve">+ </m:t>
            </m:r>
            <m:f>
              <m:fPr>
                <m:ctrlPr>
                  <w:rPr>
                    <w:rFonts w:ascii="Cambria Math" w:eastAsia="Cambria Math" w:hAnsi="Cambria Math" w:cs="Cambria Math"/>
                    <w:i/>
                    <w:sz w:val="22"/>
                    <w:szCs w:val="22"/>
                  </w:rPr>
                </m:ctrlPr>
              </m:fPr>
              <m:num>
                <m:sSub>
                  <m:sSubPr>
                    <m:ctrlPr>
                      <w:rPr>
                        <w:rFonts w:ascii="Cambria Math" w:eastAsia="Cambria Math" w:hAnsi="Cambria Math" w:cs="Cambria Math"/>
                        <w:i/>
                        <w:sz w:val="22"/>
                        <w:szCs w:val="22"/>
                      </w:rPr>
                    </m:ctrlPr>
                  </m:sSubPr>
                  <m:e>
                    <m:r>
                      <w:rPr>
                        <w:rFonts w:ascii="Cambria Math" w:hAnsi="Cambria Math" w:cs="Arial"/>
                        <w:sz w:val="22"/>
                        <w:szCs w:val="22"/>
                      </w:rPr>
                      <m:t>[NADH]</m:t>
                    </m:r>
                  </m:e>
                  <m:sub>
                    <m:r>
                      <w:rPr>
                        <w:rFonts w:ascii="Cambria Math" w:hAnsi="Cambria Math" w:cs="Arial"/>
                        <w:sz w:val="22"/>
                        <w:szCs w:val="22"/>
                      </w:rPr>
                      <m:t>m</m:t>
                    </m:r>
                  </m:sub>
                </m:sSub>
              </m:num>
              <m:den>
                <m:sSub>
                  <m:sSubPr>
                    <m:ctrlPr>
                      <w:rPr>
                        <w:rFonts w:ascii="Cambria Math" w:eastAsia="Cambria Math" w:hAnsi="Cambria Math" w:cs="Cambria Math"/>
                        <w:i/>
                        <w:sz w:val="22"/>
                        <w:szCs w:val="22"/>
                      </w:rPr>
                    </m:ctrlPr>
                  </m:sSubPr>
                  <m:e>
                    <m:r>
                      <w:rPr>
                        <w:rFonts w:ascii="Cambria Math" w:hAnsi="Cambria Math" w:cs="Arial"/>
                        <w:sz w:val="22"/>
                        <w:szCs w:val="22"/>
                      </w:rPr>
                      <m:t>[</m:t>
                    </m:r>
                    <m:sSup>
                      <m:sSupPr>
                        <m:ctrlPr>
                          <w:rPr>
                            <w:rFonts w:ascii="Cambria Math" w:eastAsia="Cambria Math" w:hAnsi="Cambria Math" w:cs="Cambria Math"/>
                            <w:i/>
                            <w:sz w:val="22"/>
                            <w:szCs w:val="22"/>
                          </w:rPr>
                        </m:ctrlPr>
                      </m:sSupPr>
                      <m:e>
                        <m:r>
                          <w:rPr>
                            <w:rFonts w:ascii="Cambria Math" w:hAnsi="Cambria Math" w:cs="Arial"/>
                            <w:sz w:val="22"/>
                            <w:szCs w:val="22"/>
                          </w:rPr>
                          <m:t>NAD</m:t>
                        </m:r>
                      </m:e>
                      <m:sup>
                        <m:r>
                          <w:rPr>
                            <w:rFonts w:ascii="Cambria Math" w:hAnsi="Cambria Math" w:cs="Arial"/>
                            <w:sz w:val="22"/>
                            <w:szCs w:val="22"/>
                          </w:rPr>
                          <m:t>+</m:t>
                        </m:r>
                      </m:sup>
                    </m:sSup>
                    <m:r>
                      <w:rPr>
                        <w:rFonts w:ascii="Cambria Math" w:hAnsi="Cambria Math" w:cs="Arial"/>
                        <w:sz w:val="22"/>
                        <w:szCs w:val="22"/>
                      </w:rPr>
                      <m:t>]</m:t>
                    </m:r>
                  </m:e>
                  <m:sub>
                    <m:r>
                      <w:rPr>
                        <w:rFonts w:ascii="Cambria Math" w:hAnsi="Cambria Math" w:cs="Arial"/>
                        <w:sz w:val="22"/>
                        <w:szCs w:val="22"/>
                      </w:rPr>
                      <m:t>m</m:t>
                    </m:r>
                  </m:sub>
                </m:sSub>
              </m:den>
            </m:f>
          </m:den>
        </m:f>
        <m:f>
          <m:fPr>
            <m:ctrlPr>
              <w:rPr>
                <w:rFonts w:ascii="Cambria Math" w:eastAsia="Cambria Math" w:hAnsi="Cambria Math" w:cs="Cambria Math"/>
                <w:i/>
                <w:sz w:val="22"/>
                <w:szCs w:val="22"/>
              </w:rPr>
            </m:ctrlPr>
          </m:fPr>
          <m:num>
            <m:sSub>
              <m:sSubPr>
                <m:ctrlPr>
                  <w:rPr>
                    <w:rFonts w:ascii="Cambria Math" w:eastAsia="Cambria Math" w:hAnsi="Cambria Math" w:cs="Cambria Math"/>
                    <w:i/>
                    <w:sz w:val="22"/>
                    <w:szCs w:val="22"/>
                  </w:rPr>
                </m:ctrlPr>
              </m:sSubPr>
              <m:e>
                <m:r>
                  <w:rPr>
                    <w:rFonts w:ascii="Cambria Math" w:hAnsi="Cambria Math" w:cs="Arial"/>
                    <w:sz w:val="22"/>
                    <w:szCs w:val="22"/>
                  </w:rPr>
                  <m:t>[</m:t>
                </m:r>
                <m:sSup>
                  <m:sSupPr>
                    <m:ctrlPr>
                      <w:rPr>
                        <w:rFonts w:ascii="Cambria Math" w:eastAsia="Cambria Math" w:hAnsi="Cambria Math" w:cs="Cambria Math"/>
                        <w:i/>
                        <w:sz w:val="22"/>
                        <w:szCs w:val="22"/>
                      </w:rPr>
                    </m:ctrlPr>
                  </m:sSupPr>
                  <m:e>
                    <m:r>
                      <w:rPr>
                        <w:rFonts w:ascii="Cambria Math" w:hAnsi="Cambria Math" w:cs="Arial"/>
                        <w:sz w:val="22"/>
                        <w:szCs w:val="22"/>
                      </w:rPr>
                      <m:t>Ca</m:t>
                    </m:r>
                  </m:e>
                  <m:sup>
                    <m:r>
                      <w:rPr>
                        <w:rFonts w:ascii="Cambria Math" w:hAnsi="Cambria Math" w:cs="Arial"/>
                        <w:sz w:val="22"/>
                        <w:szCs w:val="22"/>
                      </w:rPr>
                      <m:t>2+</m:t>
                    </m:r>
                  </m:sup>
                </m:sSup>
                <m:r>
                  <w:rPr>
                    <w:rFonts w:ascii="Cambria Math" w:hAnsi="Cambria Math" w:cs="Arial"/>
                    <w:sz w:val="22"/>
                    <w:szCs w:val="22"/>
                  </w:rPr>
                  <m:t>]</m:t>
                </m:r>
              </m:e>
              <m:sub>
                <m:r>
                  <w:rPr>
                    <w:rFonts w:ascii="Cambria Math" w:hAnsi="Cambria Math" w:cs="Arial"/>
                    <w:sz w:val="22"/>
                    <w:szCs w:val="22"/>
                  </w:rPr>
                  <m:t>m</m:t>
                </m:r>
              </m:sub>
            </m:sSub>
          </m:num>
          <m:den>
            <m:sSub>
              <m:sSubPr>
                <m:ctrlPr>
                  <w:rPr>
                    <w:rFonts w:ascii="Cambria Math" w:eastAsia="Cambria Math" w:hAnsi="Cambria Math" w:cs="Cambria Math"/>
                    <w:i/>
                    <w:sz w:val="22"/>
                    <w:szCs w:val="22"/>
                  </w:rPr>
                </m:ctrlPr>
              </m:sSubPr>
              <m:e>
                <m:r>
                  <w:rPr>
                    <w:rFonts w:ascii="Cambria Math" w:hAnsi="Cambria Math" w:cs="Arial"/>
                    <w:sz w:val="22"/>
                    <w:szCs w:val="22"/>
                  </w:rPr>
                  <m:t>q</m:t>
                </m:r>
              </m:e>
              <m:sub>
                <m:r>
                  <w:rPr>
                    <w:rFonts w:ascii="Cambria Math" w:hAnsi="Cambria Math" w:cs="Arial"/>
                    <w:sz w:val="22"/>
                    <w:szCs w:val="22"/>
                  </w:rPr>
                  <m:t>2</m:t>
                </m:r>
              </m:sub>
            </m:sSub>
            <m:r>
              <w:rPr>
                <w:rFonts w:ascii="Cambria Math" w:hAnsi="Cambria Math" w:cs="Arial"/>
                <w:sz w:val="22"/>
                <w:szCs w:val="22"/>
              </w:rPr>
              <m:t xml:space="preserve">+ </m:t>
            </m:r>
            <m:sSub>
              <m:sSubPr>
                <m:ctrlPr>
                  <w:rPr>
                    <w:rFonts w:ascii="Cambria Math" w:eastAsia="Cambria Math" w:hAnsi="Cambria Math" w:cs="Cambria Math"/>
                    <w:i/>
                    <w:sz w:val="22"/>
                    <w:szCs w:val="22"/>
                  </w:rPr>
                </m:ctrlPr>
              </m:sSubPr>
              <m:e>
                <m:r>
                  <w:rPr>
                    <w:rFonts w:ascii="Cambria Math" w:hAnsi="Cambria Math" w:cs="Arial"/>
                    <w:sz w:val="22"/>
                    <w:szCs w:val="22"/>
                  </w:rPr>
                  <m:t>[</m:t>
                </m:r>
                <m:sSup>
                  <m:sSupPr>
                    <m:ctrlPr>
                      <w:rPr>
                        <w:rFonts w:ascii="Cambria Math" w:eastAsia="Cambria Math" w:hAnsi="Cambria Math" w:cs="Cambria Math"/>
                        <w:i/>
                        <w:sz w:val="22"/>
                        <w:szCs w:val="22"/>
                      </w:rPr>
                    </m:ctrlPr>
                  </m:sSupPr>
                  <m:e>
                    <m:r>
                      <w:rPr>
                        <w:rFonts w:ascii="Cambria Math" w:hAnsi="Cambria Math" w:cs="Arial"/>
                        <w:sz w:val="22"/>
                        <w:szCs w:val="22"/>
                      </w:rPr>
                      <m:t>Ca</m:t>
                    </m:r>
                  </m:e>
                  <m:sup>
                    <m:r>
                      <w:rPr>
                        <w:rFonts w:ascii="Cambria Math" w:hAnsi="Cambria Math" w:cs="Arial"/>
                        <w:sz w:val="22"/>
                        <w:szCs w:val="22"/>
                      </w:rPr>
                      <m:t>2+</m:t>
                    </m:r>
                  </m:sup>
                </m:sSup>
                <m:r>
                  <w:rPr>
                    <w:rFonts w:ascii="Cambria Math" w:hAnsi="Cambria Math" w:cs="Arial"/>
                    <w:sz w:val="22"/>
                    <w:szCs w:val="22"/>
                  </w:rPr>
                  <m:t>]</m:t>
                </m:r>
              </m:e>
              <m:sub>
                <m:r>
                  <w:rPr>
                    <w:rFonts w:ascii="Cambria Math" w:hAnsi="Cambria Math" w:cs="Arial"/>
                    <w:sz w:val="22"/>
                    <w:szCs w:val="22"/>
                  </w:rPr>
                  <m:t>m</m:t>
                </m:r>
              </m:sub>
            </m:sSub>
          </m:den>
        </m:f>
      </m:oMath>
      <w:r w:rsidR="00187C95">
        <w:rPr>
          <w:rFonts w:ascii="Arial" w:hAnsi="Arial" w:cs="Arial"/>
          <w:sz w:val="22"/>
          <w:szCs w:val="22"/>
        </w:rPr>
        <w:t>,</w:t>
      </w:r>
      <w:r w:rsidR="00150362">
        <w:rPr>
          <w:rFonts w:ascii="Arial" w:hAnsi="Arial" w:cs="Arial"/>
          <w:sz w:val="22"/>
          <w:szCs w:val="22"/>
        </w:rPr>
        <w:tab/>
      </w:r>
      <w:r w:rsidR="00150362">
        <w:rPr>
          <w:rFonts w:ascii="Arial" w:hAnsi="Arial" w:cs="Arial"/>
          <w:sz w:val="22"/>
          <w:szCs w:val="22"/>
        </w:rPr>
        <w:tab/>
        <w:t>(10)</w:t>
      </w:r>
      <w:r w:rsidR="00187C95">
        <w:rPr>
          <w:rFonts w:ascii="Arial" w:hAnsi="Arial" w:cs="Arial"/>
          <w:sz w:val="22"/>
          <w:szCs w:val="22"/>
        </w:rPr>
        <w:t xml:space="preserve">    </w:t>
      </w:r>
    </w:p>
    <w:p w14:paraId="35CEA61F" w14:textId="77777777" w:rsidR="00187C95" w:rsidRDefault="00187C95" w:rsidP="00187C95">
      <w:pPr>
        <w:spacing w:after="0" w:line="300" w:lineRule="auto"/>
        <w:jc w:val="both"/>
        <w:rPr>
          <w:rFonts w:ascii="Arial" w:hAnsi="Arial" w:cs="Arial"/>
          <w:sz w:val="22"/>
          <w:szCs w:val="22"/>
        </w:rPr>
      </w:pPr>
      <w:r>
        <w:rPr>
          <w:rFonts w:ascii="Arial" w:hAnsi="Arial" w:cs="Arial"/>
          <w:sz w:val="22"/>
          <w:szCs w:val="22"/>
        </w:rPr>
        <w:t xml:space="preserve">                                                                                       </w:t>
      </w:r>
    </w:p>
    <w:p w14:paraId="53C7B559" w14:textId="77777777" w:rsidR="00187C95" w:rsidRDefault="00187C95" w:rsidP="00187C95">
      <w:pPr>
        <w:spacing w:after="0" w:line="300" w:lineRule="auto"/>
        <w:jc w:val="both"/>
        <w:rPr>
          <w:rFonts w:ascii="Arial" w:hAnsi="Arial" w:cs="Arial"/>
          <w:sz w:val="22"/>
          <w:szCs w:val="22"/>
        </w:rPr>
      </w:pPr>
      <w:r>
        <w:rPr>
          <w:rFonts w:ascii="Arial" w:hAnsi="Arial" w:cs="Arial"/>
          <w:sz w:val="22"/>
          <w:szCs w:val="22"/>
        </w:rPr>
        <w:t xml:space="preserve">The Aspartate-Glutamate Carrier (AGC) is part of MAS NADH shuttle system defined as </w:t>
      </w:r>
    </w:p>
    <w:p w14:paraId="2F84F91D" w14:textId="77777777" w:rsidR="00150362" w:rsidRDefault="00150362" w:rsidP="00187C95">
      <w:pPr>
        <w:spacing w:after="0" w:line="300" w:lineRule="auto"/>
        <w:jc w:val="both"/>
        <w:rPr>
          <w:rFonts w:ascii="Arial" w:hAnsi="Arial" w:cs="Arial"/>
          <w:sz w:val="22"/>
          <w:szCs w:val="22"/>
        </w:rPr>
      </w:pPr>
    </w:p>
    <w:p w14:paraId="1B55A8F3" w14:textId="77777777" w:rsidR="00150362" w:rsidRDefault="00DA725F" w:rsidP="00187C95">
      <w:pPr>
        <w:spacing w:after="0" w:line="300" w:lineRule="auto"/>
        <w:jc w:val="both"/>
        <w:rPr>
          <w:rFonts w:ascii="Arial" w:hAnsi="Arial" w:cs="Arial"/>
          <w:sz w:val="22"/>
          <w:szCs w:val="22"/>
        </w:rPr>
      </w:pPr>
      <m:oMath>
        <m:sSub>
          <m:sSubPr>
            <m:ctrlPr>
              <w:rPr>
                <w:rFonts w:ascii="Cambria Math" w:eastAsia="Cambria Math" w:hAnsi="Cambria Math" w:cs="Cambria Math"/>
                <w:i/>
                <w:sz w:val="22"/>
                <w:szCs w:val="22"/>
              </w:rPr>
            </m:ctrlPr>
          </m:sSubPr>
          <m:e>
            <m:r>
              <w:rPr>
                <w:rFonts w:ascii="Cambria Math" w:hAnsi="Cambria Math" w:cs="Arial"/>
                <w:sz w:val="22"/>
                <w:szCs w:val="22"/>
              </w:rPr>
              <m:t>J</m:t>
            </m:r>
          </m:e>
          <m:sub>
            <m:r>
              <w:rPr>
                <w:rFonts w:ascii="Cambria Math" w:hAnsi="Cambria Math" w:cs="Arial"/>
                <w:sz w:val="22"/>
                <w:szCs w:val="22"/>
              </w:rPr>
              <m:t>AGC</m:t>
            </m:r>
          </m:sub>
        </m:sSub>
        <m:r>
          <w:rPr>
            <w:rFonts w:ascii="Cambria Math" w:hAnsi="Cambria Math" w:cs="Arial"/>
            <w:sz w:val="22"/>
            <w:szCs w:val="22"/>
          </w:rPr>
          <m:t xml:space="preserve">= </m:t>
        </m:r>
        <m:sSub>
          <m:sSubPr>
            <m:ctrlPr>
              <w:rPr>
                <w:rFonts w:ascii="Cambria Math" w:eastAsia="Cambria Math" w:hAnsi="Cambria Math" w:cs="Cambria Math"/>
                <w:i/>
                <w:sz w:val="22"/>
                <w:szCs w:val="22"/>
              </w:rPr>
            </m:ctrlPr>
          </m:sSubPr>
          <m:e>
            <m:r>
              <w:rPr>
                <w:rFonts w:ascii="Cambria Math" w:hAnsi="Cambria Math" w:cs="Arial"/>
                <w:sz w:val="22"/>
                <w:szCs w:val="22"/>
              </w:rPr>
              <m:t>v</m:t>
            </m:r>
          </m:e>
          <m:sub>
            <m:r>
              <w:rPr>
                <w:rFonts w:ascii="Cambria Math" w:hAnsi="Cambria Math" w:cs="Arial"/>
                <w:sz w:val="22"/>
                <w:szCs w:val="22"/>
              </w:rPr>
              <m:t>AGC</m:t>
            </m:r>
          </m:sub>
        </m:sSub>
        <m:f>
          <m:fPr>
            <m:ctrlPr>
              <w:rPr>
                <w:rFonts w:ascii="Cambria Math" w:eastAsia="Cambria Math" w:hAnsi="Cambria Math" w:cs="Cambria Math"/>
                <w:i/>
                <w:sz w:val="22"/>
                <w:szCs w:val="22"/>
              </w:rPr>
            </m:ctrlPr>
          </m:fPr>
          <m:num>
            <m:sSub>
              <m:sSubPr>
                <m:ctrlPr>
                  <w:rPr>
                    <w:rFonts w:ascii="Cambria Math" w:eastAsia="Cambria Math" w:hAnsi="Cambria Math" w:cs="Cambria Math"/>
                    <w:i/>
                    <w:sz w:val="22"/>
                    <w:szCs w:val="22"/>
                  </w:rPr>
                </m:ctrlPr>
              </m:sSubPr>
              <m:e>
                <m:r>
                  <w:rPr>
                    <w:rFonts w:ascii="Cambria Math" w:hAnsi="Cambria Math" w:cs="Arial"/>
                    <w:sz w:val="22"/>
                    <w:szCs w:val="22"/>
                  </w:rPr>
                  <m:t>[</m:t>
                </m:r>
                <m:sSup>
                  <m:sSupPr>
                    <m:ctrlPr>
                      <w:rPr>
                        <w:rFonts w:ascii="Cambria Math" w:eastAsia="Cambria Math" w:hAnsi="Cambria Math" w:cs="Cambria Math"/>
                        <w:i/>
                        <w:sz w:val="22"/>
                        <w:szCs w:val="22"/>
                      </w:rPr>
                    </m:ctrlPr>
                  </m:sSupPr>
                  <m:e>
                    <m:r>
                      <w:rPr>
                        <w:rFonts w:ascii="Cambria Math" w:hAnsi="Cambria Math" w:cs="Arial"/>
                        <w:sz w:val="22"/>
                        <w:szCs w:val="22"/>
                      </w:rPr>
                      <m:t>Ca</m:t>
                    </m:r>
                  </m:e>
                  <m:sup>
                    <m:r>
                      <w:rPr>
                        <w:rFonts w:ascii="Cambria Math" w:hAnsi="Cambria Math" w:cs="Arial"/>
                        <w:sz w:val="22"/>
                        <w:szCs w:val="22"/>
                      </w:rPr>
                      <m:t>2+</m:t>
                    </m:r>
                  </m:sup>
                </m:sSup>
                <m:r>
                  <w:rPr>
                    <w:rFonts w:ascii="Cambria Math" w:hAnsi="Cambria Math" w:cs="Arial"/>
                    <w:sz w:val="22"/>
                    <w:szCs w:val="22"/>
                  </w:rPr>
                  <m:t>]</m:t>
                </m:r>
              </m:e>
              <m:sub>
                <m:r>
                  <w:rPr>
                    <w:rFonts w:ascii="Cambria Math" w:hAnsi="Cambria Math" w:cs="Arial"/>
                    <w:sz w:val="22"/>
                    <w:szCs w:val="22"/>
                  </w:rPr>
                  <m:t>c</m:t>
                </m:r>
              </m:sub>
            </m:sSub>
          </m:num>
          <m:den>
            <m:sSub>
              <m:sSubPr>
                <m:ctrlPr>
                  <w:rPr>
                    <w:rFonts w:ascii="Cambria Math" w:eastAsia="Cambria Math" w:hAnsi="Cambria Math" w:cs="Cambria Math"/>
                    <w:i/>
                    <w:sz w:val="22"/>
                    <w:szCs w:val="22"/>
                  </w:rPr>
                </m:ctrlPr>
              </m:sSubPr>
              <m:e>
                <m:r>
                  <w:rPr>
                    <w:rFonts w:ascii="Cambria Math" w:hAnsi="Cambria Math" w:cs="Arial"/>
                    <w:sz w:val="22"/>
                    <w:szCs w:val="22"/>
                  </w:rPr>
                  <m:t>K</m:t>
                </m:r>
              </m:e>
              <m:sub>
                <m:r>
                  <w:rPr>
                    <w:rFonts w:ascii="Cambria Math" w:hAnsi="Cambria Math" w:cs="Arial"/>
                    <w:sz w:val="22"/>
                    <w:szCs w:val="22"/>
                  </w:rPr>
                  <m:t>AGC</m:t>
                </m:r>
              </m:sub>
            </m:sSub>
            <m:r>
              <w:rPr>
                <w:rFonts w:ascii="Cambria Math" w:hAnsi="Cambria Math" w:cs="Arial"/>
                <w:sz w:val="22"/>
                <w:szCs w:val="22"/>
              </w:rPr>
              <m:t xml:space="preserve">+ </m:t>
            </m:r>
            <m:sSub>
              <m:sSubPr>
                <m:ctrlPr>
                  <w:rPr>
                    <w:rFonts w:ascii="Cambria Math" w:eastAsia="Cambria Math" w:hAnsi="Cambria Math" w:cs="Cambria Math"/>
                    <w:i/>
                    <w:sz w:val="22"/>
                    <w:szCs w:val="22"/>
                  </w:rPr>
                </m:ctrlPr>
              </m:sSubPr>
              <m:e>
                <m:r>
                  <w:rPr>
                    <w:rFonts w:ascii="Cambria Math" w:hAnsi="Cambria Math" w:cs="Arial"/>
                    <w:sz w:val="22"/>
                    <w:szCs w:val="22"/>
                  </w:rPr>
                  <m:t>[</m:t>
                </m:r>
                <m:sSup>
                  <m:sSupPr>
                    <m:ctrlPr>
                      <w:rPr>
                        <w:rFonts w:ascii="Cambria Math" w:eastAsia="Cambria Math" w:hAnsi="Cambria Math" w:cs="Cambria Math"/>
                        <w:i/>
                        <w:sz w:val="22"/>
                        <w:szCs w:val="22"/>
                      </w:rPr>
                    </m:ctrlPr>
                  </m:sSupPr>
                  <m:e>
                    <m:r>
                      <w:rPr>
                        <w:rFonts w:ascii="Cambria Math" w:hAnsi="Cambria Math" w:cs="Arial"/>
                        <w:sz w:val="22"/>
                        <w:szCs w:val="22"/>
                      </w:rPr>
                      <m:t>Ca</m:t>
                    </m:r>
                  </m:e>
                  <m:sup>
                    <m:r>
                      <w:rPr>
                        <w:rFonts w:ascii="Cambria Math" w:hAnsi="Cambria Math" w:cs="Arial"/>
                        <w:sz w:val="22"/>
                        <w:szCs w:val="22"/>
                      </w:rPr>
                      <m:t>2+</m:t>
                    </m:r>
                  </m:sup>
                </m:sSup>
                <m:r>
                  <w:rPr>
                    <w:rFonts w:ascii="Cambria Math" w:hAnsi="Cambria Math" w:cs="Arial"/>
                    <w:sz w:val="22"/>
                    <w:szCs w:val="22"/>
                  </w:rPr>
                  <m:t>]</m:t>
                </m:r>
              </m:e>
              <m:sub>
                <m:r>
                  <w:rPr>
                    <w:rFonts w:ascii="Cambria Math" w:hAnsi="Cambria Math" w:cs="Arial"/>
                    <w:sz w:val="22"/>
                    <w:szCs w:val="22"/>
                  </w:rPr>
                  <m:t>c</m:t>
                </m:r>
              </m:sub>
            </m:sSub>
          </m:den>
        </m:f>
        <m:f>
          <m:fPr>
            <m:ctrlPr>
              <w:rPr>
                <w:rFonts w:ascii="Cambria Math" w:eastAsia="Cambria Math" w:hAnsi="Cambria Math" w:cs="Cambria Math"/>
                <w:i/>
                <w:sz w:val="22"/>
                <w:szCs w:val="22"/>
              </w:rPr>
            </m:ctrlPr>
          </m:fPr>
          <m:num>
            <m:sSub>
              <m:sSubPr>
                <m:ctrlPr>
                  <w:rPr>
                    <w:rFonts w:ascii="Cambria Math" w:eastAsia="Cambria Math" w:hAnsi="Cambria Math" w:cs="Cambria Math"/>
                    <w:i/>
                    <w:sz w:val="22"/>
                    <w:szCs w:val="22"/>
                  </w:rPr>
                </m:ctrlPr>
              </m:sSubPr>
              <m:e>
                <m:r>
                  <w:rPr>
                    <w:rFonts w:ascii="Cambria Math" w:hAnsi="Cambria Math" w:cs="Arial"/>
                    <w:sz w:val="22"/>
                    <w:szCs w:val="22"/>
                  </w:rPr>
                  <m:t>q</m:t>
                </m:r>
              </m:e>
              <m:sub>
                <m:r>
                  <w:rPr>
                    <w:rFonts w:ascii="Cambria Math" w:hAnsi="Cambria Math" w:cs="Arial"/>
                    <w:sz w:val="22"/>
                    <w:szCs w:val="22"/>
                  </w:rPr>
                  <m:t>2</m:t>
                </m:r>
              </m:sub>
            </m:sSub>
          </m:num>
          <m:den>
            <m:sSub>
              <m:sSubPr>
                <m:ctrlPr>
                  <w:rPr>
                    <w:rFonts w:ascii="Cambria Math" w:eastAsia="Cambria Math" w:hAnsi="Cambria Math" w:cs="Cambria Math"/>
                    <w:i/>
                    <w:sz w:val="22"/>
                    <w:szCs w:val="22"/>
                  </w:rPr>
                </m:ctrlPr>
              </m:sSubPr>
              <m:e>
                <m:r>
                  <w:rPr>
                    <w:rFonts w:ascii="Cambria Math" w:hAnsi="Cambria Math" w:cs="Arial"/>
                    <w:sz w:val="22"/>
                    <w:szCs w:val="22"/>
                  </w:rPr>
                  <m:t>q</m:t>
                </m:r>
              </m:e>
              <m:sub>
                <m:r>
                  <w:rPr>
                    <w:rFonts w:ascii="Cambria Math" w:hAnsi="Cambria Math" w:cs="Arial"/>
                    <w:sz w:val="22"/>
                    <w:szCs w:val="22"/>
                  </w:rPr>
                  <m:t>2</m:t>
                </m:r>
              </m:sub>
            </m:sSub>
            <m:r>
              <w:rPr>
                <w:rFonts w:ascii="Cambria Math" w:hAnsi="Cambria Math" w:cs="Arial"/>
                <w:sz w:val="22"/>
                <w:szCs w:val="22"/>
              </w:rPr>
              <m:t>+</m:t>
            </m:r>
            <m:sSub>
              <m:sSubPr>
                <m:ctrlPr>
                  <w:rPr>
                    <w:rFonts w:ascii="Cambria Math" w:eastAsia="Cambria Math" w:hAnsi="Cambria Math" w:cs="Cambria Math"/>
                    <w:i/>
                    <w:sz w:val="22"/>
                    <w:szCs w:val="22"/>
                  </w:rPr>
                </m:ctrlPr>
              </m:sSubPr>
              <m:e>
                <m:r>
                  <w:rPr>
                    <w:rFonts w:ascii="Cambria Math" w:hAnsi="Cambria Math" w:cs="Arial"/>
                    <w:sz w:val="22"/>
                    <w:szCs w:val="22"/>
                  </w:rPr>
                  <m:t>[</m:t>
                </m:r>
                <m:sSup>
                  <m:sSupPr>
                    <m:ctrlPr>
                      <w:rPr>
                        <w:rFonts w:ascii="Cambria Math" w:eastAsia="Cambria Math" w:hAnsi="Cambria Math" w:cs="Cambria Math"/>
                        <w:i/>
                        <w:sz w:val="22"/>
                        <w:szCs w:val="22"/>
                      </w:rPr>
                    </m:ctrlPr>
                  </m:sSupPr>
                  <m:e>
                    <m:r>
                      <w:rPr>
                        <w:rFonts w:ascii="Cambria Math" w:hAnsi="Cambria Math" w:cs="Arial"/>
                        <w:sz w:val="22"/>
                        <w:szCs w:val="22"/>
                      </w:rPr>
                      <m:t>Ca</m:t>
                    </m:r>
                  </m:e>
                  <m:sup>
                    <m:r>
                      <w:rPr>
                        <w:rFonts w:ascii="Cambria Math" w:hAnsi="Cambria Math" w:cs="Arial"/>
                        <w:sz w:val="22"/>
                        <w:szCs w:val="22"/>
                      </w:rPr>
                      <m:t>2+</m:t>
                    </m:r>
                  </m:sup>
                </m:sSup>
                <m:r>
                  <w:rPr>
                    <w:rFonts w:ascii="Cambria Math" w:hAnsi="Cambria Math" w:cs="Arial"/>
                    <w:sz w:val="22"/>
                    <w:szCs w:val="22"/>
                  </w:rPr>
                  <m:t>]</m:t>
                </m:r>
              </m:e>
              <m:sub>
                <m:r>
                  <w:rPr>
                    <w:rFonts w:ascii="Cambria Math" w:hAnsi="Cambria Math" w:cs="Arial"/>
                    <w:sz w:val="22"/>
                    <w:szCs w:val="22"/>
                  </w:rPr>
                  <m:t>m</m:t>
                </m:r>
              </m:sub>
            </m:sSub>
          </m:den>
        </m:f>
        <m:sSup>
          <m:sSupPr>
            <m:ctrlPr>
              <w:rPr>
                <w:rFonts w:ascii="Cambria Math" w:eastAsia="Cambria Math" w:hAnsi="Cambria Math" w:cs="Cambria Math"/>
                <w:i/>
                <w:sz w:val="22"/>
                <w:szCs w:val="22"/>
              </w:rPr>
            </m:ctrlPr>
          </m:sSupPr>
          <m:e>
            <m:r>
              <w:rPr>
                <w:rFonts w:ascii="Cambria Math" w:hAnsi="Cambria Math" w:cs="Arial"/>
                <w:sz w:val="22"/>
                <w:szCs w:val="22"/>
              </w:rPr>
              <m:t>e</m:t>
            </m:r>
          </m:e>
          <m:sup>
            <m:sSub>
              <m:sSubPr>
                <m:ctrlPr>
                  <w:rPr>
                    <w:rFonts w:ascii="Cambria Math" w:eastAsia="Cambria Math" w:hAnsi="Cambria Math" w:cs="Cambria Math"/>
                    <w:i/>
                    <w:sz w:val="22"/>
                    <w:szCs w:val="22"/>
                  </w:rPr>
                </m:ctrlPr>
              </m:sSubPr>
              <m:e>
                <m:r>
                  <w:rPr>
                    <w:rFonts w:ascii="Cambria Math" w:hAnsi="Cambria Math" w:cs="Arial"/>
                    <w:sz w:val="22"/>
                    <w:szCs w:val="22"/>
                  </w:rPr>
                  <m:t>p</m:t>
                </m:r>
              </m:e>
              <m:sub>
                <m:r>
                  <w:rPr>
                    <w:rFonts w:ascii="Cambria Math" w:hAnsi="Cambria Math" w:cs="Arial"/>
                    <w:sz w:val="22"/>
                    <w:szCs w:val="22"/>
                  </w:rPr>
                  <m:t>4</m:t>
                </m:r>
              </m:sub>
            </m:sSub>
            <m:r>
              <w:rPr>
                <w:rFonts w:ascii="Cambria Math" w:hAnsi="Cambria Math" w:cs="Arial"/>
                <w:sz w:val="22"/>
                <w:szCs w:val="22"/>
              </w:rPr>
              <m:t>∆ψ</m:t>
            </m:r>
          </m:sup>
        </m:sSup>
      </m:oMath>
      <w:r w:rsidR="00187C95">
        <w:rPr>
          <w:rFonts w:ascii="Arial" w:hAnsi="Arial" w:cs="Arial"/>
          <w:sz w:val="22"/>
          <w:szCs w:val="22"/>
        </w:rPr>
        <w:t>.</w:t>
      </w:r>
      <w:r w:rsidR="00150362">
        <w:rPr>
          <w:rFonts w:ascii="Arial" w:hAnsi="Arial" w:cs="Arial"/>
          <w:sz w:val="22"/>
          <w:szCs w:val="22"/>
        </w:rPr>
        <w:tab/>
        <w:t>(11)</w:t>
      </w:r>
      <w:r w:rsidR="00187C95">
        <w:rPr>
          <w:rFonts w:ascii="Arial" w:hAnsi="Arial" w:cs="Arial"/>
          <w:sz w:val="22"/>
          <w:szCs w:val="22"/>
        </w:rPr>
        <w:t xml:space="preserve">     </w:t>
      </w:r>
    </w:p>
    <w:p w14:paraId="403F3CD5" w14:textId="77777777" w:rsidR="00187C95" w:rsidRDefault="00187C95" w:rsidP="00187C95">
      <w:pPr>
        <w:spacing w:after="0" w:line="300" w:lineRule="auto"/>
        <w:jc w:val="both"/>
        <w:rPr>
          <w:rFonts w:ascii="Arial" w:hAnsi="Arial" w:cs="Arial"/>
          <w:sz w:val="22"/>
          <w:szCs w:val="22"/>
        </w:rPr>
      </w:pPr>
      <w:r>
        <w:rPr>
          <w:rFonts w:ascii="Arial" w:hAnsi="Arial" w:cs="Arial"/>
          <w:sz w:val="22"/>
          <w:szCs w:val="22"/>
        </w:rPr>
        <w:t xml:space="preserve">                                                                          </w:t>
      </w:r>
    </w:p>
    <w:p w14:paraId="550D86F4" w14:textId="77777777" w:rsidR="00187C95" w:rsidRDefault="00187C95" w:rsidP="00187C95">
      <w:pPr>
        <w:spacing w:after="0" w:line="300" w:lineRule="auto"/>
        <w:jc w:val="both"/>
        <w:rPr>
          <w:rFonts w:ascii="Arial" w:hAnsi="Arial" w:cs="Arial"/>
          <w:sz w:val="22"/>
          <w:szCs w:val="22"/>
        </w:rPr>
      </w:pPr>
      <w:r>
        <w:rPr>
          <w:rFonts w:ascii="Arial" w:hAnsi="Arial" w:cs="Arial"/>
          <w:sz w:val="22"/>
          <w:szCs w:val="22"/>
        </w:rPr>
        <w:t xml:space="preserve">The rate at which NADH is oxidized in the Electron Transport Chain (ETC) and the rate at which protons are extruded from the mitochondria are combined into one equation as </w:t>
      </w:r>
    </w:p>
    <w:p w14:paraId="02FF14BD" w14:textId="77777777" w:rsidR="00150362" w:rsidRDefault="00DA725F" w:rsidP="00187C95">
      <w:pPr>
        <w:spacing w:after="0" w:line="300" w:lineRule="auto"/>
        <w:jc w:val="both"/>
        <w:rPr>
          <w:rFonts w:ascii="Arial" w:hAnsi="Arial" w:cs="Arial"/>
          <w:sz w:val="22"/>
          <w:szCs w:val="22"/>
        </w:rPr>
      </w:pPr>
      <m:oMath>
        <m:sSub>
          <m:sSubPr>
            <m:ctrlPr>
              <w:rPr>
                <w:rFonts w:ascii="Cambria Math" w:eastAsia="Cambria Math" w:hAnsi="Cambria Math" w:cs="Cambria Math"/>
                <w:i/>
                <w:sz w:val="22"/>
                <w:szCs w:val="22"/>
              </w:rPr>
            </m:ctrlPr>
          </m:sSubPr>
          <m:e>
            <m:r>
              <w:rPr>
                <w:rFonts w:ascii="Cambria Math" w:hAnsi="Cambria Math" w:cs="Arial"/>
                <w:sz w:val="22"/>
                <w:szCs w:val="22"/>
              </w:rPr>
              <m:t>J</m:t>
            </m:r>
          </m:e>
          <m:sub>
            <m:r>
              <w:rPr>
                <w:rFonts w:ascii="Cambria Math" w:hAnsi="Cambria Math" w:cs="Arial"/>
                <w:sz w:val="22"/>
                <w:szCs w:val="22"/>
              </w:rPr>
              <m:t>O</m:t>
            </m:r>
          </m:sub>
        </m:sSub>
        <m:r>
          <w:rPr>
            <w:rFonts w:ascii="Cambria Math" w:hAnsi="Cambria Math" w:cs="Arial"/>
            <w:sz w:val="22"/>
            <w:szCs w:val="22"/>
          </w:rPr>
          <m:t xml:space="preserve">= </m:t>
        </m:r>
        <m:sSub>
          <m:sSubPr>
            <m:ctrlPr>
              <w:rPr>
                <w:rFonts w:ascii="Cambria Math" w:eastAsia="Cambria Math" w:hAnsi="Cambria Math" w:cs="Cambria Math"/>
                <w:i/>
                <w:sz w:val="22"/>
                <w:szCs w:val="22"/>
              </w:rPr>
            </m:ctrlPr>
          </m:sSubPr>
          <m:e>
            <m:r>
              <w:rPr>
                <w:rFonts w:ascii="Cambria Math" w:hAnsi="Cambria Math" w:cs="Arial"/>
                <w:sz w:val="22"/>
                <w:szCs w:val="22"/>
              </w:rPr>
              <m:t>k</m:t>
            </m:r>
          </m:e>
          <m:sub>
            <m:r>
              <w:rPr>
                <w:rFonts w:ascii="Cambria Math" w:hAnsi="Cambria Math" w:cs="Arial"/>
                <w:sz w:val="22"/>
                <w:szCs w:val="22"/>
              </w:rPr>
              <m:t>O</m:t>
            </m:r>
          </m:sub>
        </m:sSub>
        <m:f>
          <m:fPr>
            <m:ctrlPr>
              <w:rPr>
                <w:rFonts w:ascii="Cambria Math" w:eastAsia="Cambria Math" w:hAnsi="Cambria Math" w:cs="Cambria Math"/>
                <w:i/>
                <w:sz w:val="22"/>
                <w:szCs w:val="22"/>
              </w:rPr>
            </m:ctrlPr>
          </m:fPr>
          <m:num>
            <m:sSub>
              <m:sSubPr>
                <m:ctrlPr>
                  <w:rPr>
                    <w:rFonts w:ascii="Cambria Math" w:eastAsia="Cambria Math" w:hAnsi="Cambria Math" w:cs="Cambria Math"/>
                    <w:i/>
                    <w:sz w:val="22"/>
                    <w:szCs w:val="22"/>
                  </w:rPr>
                </m:ctrlPr>
              </m:sSubPr>
              <m:e>
                <m:r>
                  <w:rPr>
                    <w:rFonts w:ascii="Cambria Math" w:hAnsi="Cambria Math" w:cs="Arial"/>
                    <w:sz w:val="22"/>
                    <w:szCs w:val="22"/>
                  </w:rPr>
                  <m:t>[NADH]</m:t>
                </m:r>
              </m:e>
              <m:sub>
                <m:r>
                  <w:rPr>
                    <w:rFonts w:ascii="Cambria Math" w:hAnsi="Cambria Math" w:cs="Arial"/>
                    <w:sz w:val="22"/>
                    <w:szCs w:val="22"/>
                  </w:rPr>
                  <m:t>m</m:t>
                </m:r>
              </m:sub>
            </m:sSub>
          </m:num>
          <m:den>
            <m:sSub>
              <m:sSubPr>
                <m:ctrlPr>
                  <w:rPr>
                    <w:rFonts w:ascii="Cambria Math" w:eastAsia="Cambria Math" w:hAnsi="Cambria Math" w:cs="Cambria Math"/>
                    <w:i/>
                    <w:sz w:val="22"/>
                    <w:szCs w:val="22"/>
                  </w:rPr>
                </m:ctrlPr>
              </m:sSubPr>
              <m:e>
                <m:r>
                  <w:rPr>
                    <w:rFonts w:ascii="Cambria Math" w:hAnsi="Cambria Math" w:cs="Arial"/>
                    <w:sz w:val="22"/>
                    <w:szCs w:val="22"/>
                  </w:rPr>
                  <m:t>q</m:t>
                </m:r>
              </m:e>
              <m:sub>
                <m:r>
                  <w:rPr>
                    <w:rFonts w:ascii="Cambria Math" w:hAnsi="Cambria Math" w:cs="Arial"/>
                    <w:sz w:val="22"/>
                    <w:szCs w:val="22"/>
                  </w:rPr>
                  <m:t>3</m:t>
                </m:r>
              </m:sub>
            </m:sSub>
            <m:r>
              <w:rPr>
                <w:rFonts w:ascii="Cambria Math" w:hAnsi="Cambria Math" w:cs="Arial"/>
                <w:sz w:val="22"/>
                <w:szCs w:val="22"/>
              </w:rPr>
              <m:t>+</m:t>
            </m:r>
            <m:sSub>
              <m:sSubPr>
                <m:ctrlPr>
                  <w:rPr>
                    <w:rFonts w:ascii="Cambria Math" w:eastAsia="Cambria Math" w:hAnsi="Cambria Math" w:cs="Cambria Math"/>
                    <w:i/>
                    <w:sz w:val="22"/>
                    <w:szCs w:val="22"/>
                  </w:rPr>
                </m:ctrlPr>
              </m:sSubPr>
              <m:e>
                <m:r>
                  <w:rPr>
                    <w:rFonts w:ascii="Cambria Math" w:hAnsi="Cambria Math" w:cs="Arial"/>
                    <w:sz w:val="22"/>
                    <w:szCs w:val="22"/>
                  </w:rPr>
                  <m:t>[NADH]</m:t>
                </m:r>
              </m:e>
              <m:sub>
                <m:r>
                  <w:rPr>
                    <w:rFonts w:ascii="Cambria Math" w:hAnsi="Cambria Math" w:cs="Arial"/>
                    <w:sz w:val="22"/>
                    <w:szCs w:val="22"/>
                  </w:rPr>
                  <m:t>m</m:t>
                </m:r>
              </m:sub>
            </m:sSub>
          </m:den>
        </m:f>
        <m:sSup>
          <m:sSupPr>
            <m:ctrlPr>
              <w:rPr>
                <w:rFonts w:ascii="Cambria Math" w:eastAsia="Cambria Math" w:hAnsi="Cambria Math" w:cs="Cambria Math"/>
                <w:i/>
                <w:sz w:val="22"/>
                <w:szCs w:val="22"/>
              </w:rPr>
            </m:ctrlPr>
          </m:sSupPr>
          <m:e>
            <m:d>
              <m:dPr>
                <m:ctrlPr>
                  <w:rPr>
                    <w:rFonts w:ascii="Cambria Math" w:eastAsia="Cambria Math" w:hAnsi="Cambria Math" w:cs="Cambria Math"/>
                    <w:i/>
                    <w:sz w:val="22"/>
                    <w:szCs w:val="22"/>
                  </w:rPr>
                </m:ctrlPr>
              </m:dPr>
              <m:e>
                <m:r>
                  <w:rPr>
                    <w:rFonts w:ascii="Cambria Math" w:hAnsi="Cambria Math" w:cs="Arial"/>
                    <w:sz w:val="22"/>
                    <w:szCs w:val="22"/>
                  </w:rPr>
                  <m:t xml:space="preserve">1+ </m:t>
                </m:r>
                <m:sSup>
                  <m:sSupPr>
                    <m:ctrlPr>
                      <w:rPr>
                        <w:rFonts w:ascii="Cambria Math" w:eastAsia="Cambria Math" w:hAnsi="Cambria Math" w:cs="Cambria Math"/>
                        <w:i/>
                        <w:sz w:val="22"/>
                        <w:szCs w:val="22"/>
                      </w:rPr>
                    </m:ctrlPr>
                  </m:sSupPr>
                  <m:e>
                    <m:r>
                      <w:rPr>
                        <w:rFonts w:ascii="Cambria Math" w:hAnsi="Cambria Math" w:cs="Arial"/>
                        <w:sz w:val="22"/>
                        <w:szCs w:val="22"/>
                      </w:rPr>
                      <m:t>e</m:t>
                    </m:r>
                  </m:e>
                  <m:sup>
                    <m:f>
                      <m:fPr>
                        <m:ctrlPr>
                          <w:rPr>
                            <w:rFonts w:ascii="Cambria Math" w:eastAsia="Cambria Math" w:hAnsi="Cambria Math" w:cs="Cambria Math"/>
                            <w:i/>
                            <w:sz w:val="22"/>
                            <w:szCs w:val="22"/>
                          </w:rPr>
                        </m:ctrlPr>
                      </m:fPr>
                      <m:num>
                        <m:r>
                          <w:rPr>
                            <w:rFonts w:ascii="Cambria Math" w:hAnsi="Cambria Math" w:cs="Arial"/>
                            <w:sz w:val="22"/>
                            <w:szCs w:val="22"/>
                          </w:rPr>
                          <m:t xml:space="preserve">∆ψ - </m:t>
                        </m:r>
                        <m:sSub>
                          <m:sSubPr>
                            <m:ctrlPr>
                              <w:rPr>
                                <w:rFonts w:ascii="Cambria Math" w:eastAsia="Cambria Math" w:hAnsi="Cambria Math" w:cs="Cambria Math"/>
                                <w:i/>
                                <w:sz w:val="22"/>
                                <w:szCs w:val="22"/>
                              </w:rPr>
                            </m:ctrlPr>
                          </m:sSubPr>
                          <m:e>
                            <m:r>
                              <w:rPr>
                                <w:rFonts w:ascii="Cambria Math" w:hAnsi="Cambria Math" w:cs="Arial"/>
                                <w:sz w:val="22"/>
                                <w:szCs w:val="22"/>
                              </w:rPr>
                              <m:t>q</m:t>
                            </m:r>
                          </m:e>
                          <m:sub>
                            <m:r>
                              <w:rPr>
                                <w:rFonts w:ascii="Cambria Math" w:hAnsi="Cambria Math" w:cs="Arial"/>
                                <w:sz w:val="22"/>
                                <w:szCs w:val="22"/>
                              </w:rPr>
                              <m:t>4</m:t>
                            </m:r>
                          </m:sub>
                        </m:sSub>
                        <m:r>
                          <w:rPr>
                            <w:rFonts w:ascii="Cambria Math" w:hAnsi="Cambria Math" w:cs="Arial"/>
                            <w:sz w:val="22"/>
                            <w:szCs w:val="22"/>
                          </w:rPr>
                          <m:t xml:space="preserve"> </m:t>
                        </m:r>
                      </m:num>
                      <m:den>
                        <m:sSub>
                          <m:sSubPr>
                            <m:ctrlPr>
                              <w:rPr>
                                <w:rFonts w:ascii="Cambria Math" w:eastAsia="Cambria Math" w:hAnsi="Cambria Math" w:cs="Cambria Math"/>
                                <w:i/>
                                <w:sz w:val="22"/>
                                <w:szCs w:val="22"/>
                              </w:rPr>
                            </m:ctrlPr>
                          </m:sSubPr>
                          <m:e>
                            <m:r>
                              <w:rPr>
                                <w:rFonts w:ascii="Cambria Math" w:hAnsi="Cambria Math" w:cs="Arial"/>
                                <w:sz w:val="22"/>
                                <w:szCs w:val="22"/>
                              </w:rPr>
                              <m:t>q</m:t>
                            </m:r>
                          </m:e>
                          <m:sub>
                            <m:r>
                              <w:rPr>
                                <w:rFonts w:ascii="Cambria Math" w:hAnsi="Cambria Math" w:cs="Arial"/>
                                <w:sz w:val="22"/>
                                <w:szCs w:val="22"/>
                              </w:rPr>
                              <m:t>5</m:t>
                            </m:r>
                          </m:sub>
                        </m:sSub>
                      </m:den>
                    </m:f>
                  </m:sup>
                </m:sSup>
              </m:e>
            </m:d>
          </m:e>
          <m:sup>
            <m:r>
              <w:rPr>
                <w:rFonts w:ascii="Cambria Math" w:hAnsi="Cambria Math" w:cs="Arial"/>
                <w:sz w:val="22"/>
                <w:szCs w:val="22"/>
              </w:rPr>
              <m:t>-1</m:t>
            </m:r>
          </m:sup>
        </m:sSup>
        <m:r>
          <w:rPr>
            <w:rFonts w:ascii="Cambria Math" w:hAnsi="Cambria Math" w:cs="Arial"/>
            <w:sz w:val="22"/>
            <w:szCs w:val="22"/>
          </w:rPr>
          <m:t>.</m:t>
        </m:r>
      </m:oMath>
      <w:r w:rsidR="00150362">
        <w:rPr>
          <w:rFonts w:ascii="Arial" w:eastAsiaTheme="minorEastAsia" w:hAnsi="Arial" w:cs="Arial"/>
          <w:sz w:val="22"/>
          <w:szCs w:val="22"/>
        </w:rPr>
        <w:tab/>
      </w:r>
      <w:r w:rsidR="00150362">
        <w:rPr>
          <w:rFonts w:ascii="Arial" w:eastAsiaTheme="minorEastAsia" w:hAnsi="Arial" w:cs="Arial"/>
          <w:sz w:val="22"/>
          <w:szCs w:val="22"/>
        </w:rPr>
        <w:tab/>
        <w:t>(12)</w:t>
      </w:r>
      <w:r w:rsidR="00187C95">
        <w:rPr>
          <w:rFonts w:ascii="Arial" w:hAnsi="Arial" w:cs="Arial"/>
          <w:sz w:val="22"/>
          <w:szCs w:val="22"/>
        </w:rPr>
        <w:t xml:space="preserve">      </w:t>
      </w:r>
    </w:p>
    <w:p w14:paraId="0ECB3ED3" w14:textId="77777777" w:rsidR="00187C95" w:rsidRDefault="00187C95" w:rsidP="00187C95">
      <w:pPr>
        <w:spacing w:after="0" w:line="300" w:lineRule="auto"/>
        <w:jc w:val="both"/>
        <w:rPr>
          <w:rFonts w:ascii="Arial" w:hAnsi="Arial" w:cs="Arial"/>
          <w:sz w:val="22"/>
          <w:szCs w:val="22"/>
        </w:rPr>
      </w:pPr>
      <w:r>
        <w:rPr>
          <w:rFonts w:ascii="Arial" w:hAnsi="Arial" w:cs="Arial"/>
          <w:sz w:val="22"/>
          <w:szCs w:val="22"/>
        </w:rPr>
        <w:t xml:space="preserve">                                                                                 </w:t>
      </w:r>
    </w:p>
    <w:p w14:paraId="2635E5EB" w14:textId="77777777" w:rsidR="00187C95" w:rsidRDefault="00187C95" w:rsidP="00187C95">
      <w:pPr>
        <w:spacing w:after="0" w:line="300" w:lineRule="auto"/>
        <w:jc w:val="both"/>
        <w:rPr>
          <w:rFonts w:ascii="Arial" w:hAnsi="Arial" w:cs="Arial"/>
          <w:sz w:val="22"/>
          <w:szCs w:val="22"/>
        </w:rPr>
      </w:pPr>
      <w:r>
        <w:rPr>
          <w:rFonts w:ascii="Arial" w:hAnsi="Arial" w:cs="Arial"/>
          <w:sz w:val="22"/>
          <w:szCs w:val="22"/>
        </w:rPr>
        <w:t xml:space="preserve">The activity of Adenine Nucleotide Translocator (ANT) in electrogenic exchange of ATP or ADP across the inner mitochondrial membrane is given by </w:t>
      </w:r>
    </w:p>
    <w:p w14:paraId="7CC23ADD" w14:textId="77777777" w:rsidR="00150362" w:rsidRDefault="00150362" w:rsidP="00187C95">
      <w:pPr>
        <w:spacing w:after="0" w:line="300" w:lineRule="auto"/>
        <w:jc w:val="both"/>
        <w:rPr>
          <w:rFonts w:ascii="Arial" w:hAnsi="Arial" w:cs="Arial"/>
          <w:sz w:val="22"/>
          <w:szCs w:val="22"/>
        </w:rPr>
      </w:pPr>
    </w:p>
    <w:p w14:paraId="42592FF7" w14:textId="77777777" w:rsidR="00187C95" w:rsidRDefault="00DA725F" w:rsidP="00187C95">
      <w:pPr>
        <w:spacing w:after="0" w:line="300" w:lineRule="auto"/>
        <w:jc w:val="both"/>
        <w:rPr>
          <w:rFonts w:ascii="Arial" w:hAnsi="Arial" w:cs="Arial"/>
          <w:sz w:val="22"/>
          <w:szCs w:val="22"/>
        </w:rPr>
      </w:pPr>
      <m:oMath>
        <m:sSub>
          <m:sSubPr>
            <m:ctrlPr>
              <w:rPr>
                <w:rFonts w:ascii="Cambria Math" w:eastAsia="Cambria Math" w:hAnsi="Cambria Math" w:cs="Cambria Math"/>
                <w:i/>
                <w:sz w:val="22"/>
                <w:szCs w:val="22"/>
              </w:rPr>
            </m:ctrlPr>
          </m:sSubPr>
          <m:e>
            <m:r>
              <w:rPr>
                <w:rFonts w:ascii="Cambria Math" w:hAnsi="Cambria Math" w:cs="Arial"/>
                <w:sz w:val="22"/>
                <w:szCs w:val="22"/>
              </w:rPr>
              <m:t>J</m:t>
            </m:r>
          </m:e>
          <m:sub>
            <m:r>
              <w:rPr>
                <w:rFonts w:ascii="Cambria Math" w:hAnsi="Cambria Math" w:cs="Arial"/>
                <w:sz w:val="22"/>
                <w:szCs w:val="22"/>
              </w:rPr>
              <m:t>ANT</m:t>
            </m:r>
          </m:sub>
        </m:sSub>
        <m:r>
          <w:rPr>
            <w:rFonts w:ascii="Cambria Math" w:hAnsi="Cambria Math" w:cs="Arial"/>
            <w:sz w:val="22"/>
            <w:szCs w:val="22"/>
          </w:rPr>
          <m:t xml:space="preserve">= </m:t>
        </m:r>
        <m:sSub>
          <m:sSubPr>
            <m:ctrlPr>
              <w:rPr>
                <w:rFonts w:ascii="Cambria Math" w:eastAsia="Cambria Math" w:hAnsi="Cambria Math" w:cs="Cambria Math"/>
                <w:i/>
                <w:sz w:val="22"/>
                <w:szCs w:val="22"/>
              </w:rPr>
            </m:ctrlPr>
          </m:sSubPr>
          <m:e>
            <m:r>
              <w:rPr>
                <w:rFonts w:ascii="Cambria Math" w:hAnsi="Cambria Math" w:cs="Arial"/>
                <w:sz w:val="22"/>
                <w:szCs w:val="22"/>
              </w:rPr>
              <m:t>v</m:t>
            </m:r>
          </m:e>
          <m:sub>
            <m:r>
              <w:rPr>
                <w:rFonts w:ascii="Cambria Math" w:hAnsi="Cambria Math" w:cs="Arial"/>
                <w:sz w:val="22"/>
                <w:szCs w:val="22"/>
              </w:rPr>
              <m:t>ANT</m:t>
            </m:r>
          </m:sub>
        </m:sSub>
        <m:f>
          <m:fPr>
            <m:ctrlPr>
              <w:rPr>
                <w:rFonts w:ascii="Cambria Math" w:eastAsia="Cambria Math" w:hAnsi="Cambria Math" w:cs="Cambria Math"/>
                <w:i/>
                <w:sz w:val="22"/>
                <w:szCs w:val="22"/>
              </w:rPr>
            </m:ctrlPr>
          </m:fPr>
          <m:num>
            <m:r>
              <w:rPr>
                <w:rFonts w:ascii="Cambria Math" w:hAnsi="Cambria Math" w:cs="Arial"/>
                <w:sz w:val="22"/>
                <w:szCs w:val="22"/>
              </w:rPr>
              <m:t xml:space="preserve">1- </m:t>
            </m:r>
            <m:d>
              <m:dPr>
                <m:ctrlPr>
                  <w:rPr>
                    <w:rFonts w:ascii="Cambria Math" w:eastAsia="Cambria Math" w:hAnsi="Cambria Math" w:cs="Cambria Math"/>
                    <w:i/>
                    <w:sz w:val="22"/>
                    <w:szCs w:val="22"/>
                  </w:rPr>
                </m:ctrlPr>
              </m:dPr>
              <m:e>
                <m:f>
                  <m:fPr>
                    <m:ctrlPr>
                      <w:rPr>
                        <w:rFonts w:ascii="Cambria Math" w:eastAsia="Cambria Math" w:hAnsi="Cambria Math" w:cs="Cambria Math"/>
                        <w:i/>
                        <w:sz w:val="22"/>
                        <w:szCs w:val="22"/>
                      </w:rPr>
                    </m:ctrlPr>
                  </m:fPr>
                  <m:num>
                    <m:sSub>
                      <m:sSubPr>
                        <m:ctrlPr>
                          <w:rPr>
                            <w:rFonts w:ascii="Cambria Math" w:eastAsia="Cambria Math" w:hAnsi="Cambria Math" w:cs="Cambria Math"/>
                            <w:i/>
                            <w:sz w:val="22"/>
                            <w:szCs w:val="22"/>
                          </w:rPr>
                        </m:ctrlPr>
                      </m:sSubPr>
                      <m:e>
                        <m:r>
                          <w:rPr>
                            <w:rFonts w:ascii="Cambria Math" w:hAnsi="Cambria Math" w:cs="Arial"/>
                            <w:sz w:val="22"/>
                            <w:szCs w:val="22"/>
                          </w:rPr>
                          <m:t>∝</m:t>
                        </m:r>
                      </m:e>
                      <m:sub>
                        <m:r>
                          <w:rPr>
                            <w:rFonts w:ascii="Cambria Math" w:hAnsi="Cambria Math" w:cs="Arial"/>
                            <w:sz w:val="22"/>
                            <w:szCs w:val="22"/>
                          </w:rPr>
                          <m:t>c</m:t>
                        </m:r>
                      </m:sub>
                    </m:sSub>
                  </m:num>
                  <m:den>
                    <m:sSub>
                      <m:sSubPr>
                        <m:ctrlPr>
                          <w:rPr>
                            <w:rFonts w:ascii="Cambria Math" w:eastAsia="Cambria Math" w:hAnsi="Cambria Math" w:cs="Cambria Math"/>
                            <w:i/>
                            <w:sz w:val="22"/>
                            <w:szCs w:val="22"/>
                          </w:rPr>
                        </m:ctrlPr>
                      </m:sSubPr>
                      <m:e>
                        <m:r>
                          <w:rPr>
                            <w:rFonts w:ascii="Cambria Math" w:hAnsi="Cambria Math" w:cs="Arial"/>
                            <w:sz w:val="22"/>
                            <w:szCs w:val="22"/>
                          </w:rPr>
                          <m:t>∝</m:t>
                        </m:r>
                      </m:e>
                      <m:sub>
                        <m:r>
                          <w:rPr>
                            <w:rFonts w:ascii="Cambria Math" w:hAnsi="Cambria Math" w:cs="Arial"/>
                            <w:sz w:val="22"/>
                            <w:szCs w:val="22"/>
                          </w:rPr>
                          <m:t>m</m:t>
                        </m:r>
                      </m:sub>
                    </m:sSub>
                  </m:den>
                </m:f>
              </m:e>
            </m:d>
            <m:d>
              <m:dPr>
                <m:ctrlPr>
                  <w:rPr>
                    <w:rFonts w:ascii="Cambria Math" w:eastAsia="Cambria Math" w:hAnsi="Cambria Math" w:cs="Cambria Math"/>
                    <w:i/>
                    <w:sz w:val="22"/>
                    <w:szCs w:val="22"/>
                  </w:rPr>
                </m:ctrlPr>
              </m:dPr>
              <m:e>
                <m:f>
                  <m:fPr>
                    <m:ctrlPr>
                      <w:rPr>
                        <w:rFonts w:ascii="Cambria Math" w:eastAsia="Cambria Math" w:hAnsi="Cambria Math" w:cs="Cambria Math"/>
                        <w:i/>
                        <w:sz w:val="22"/>
                        <w:szCs w:val="22"/>
                      </w:rPr>
                    </m:ctrlPr>
                  </m:fPr>
                  <m:num>
                    <m:r>
                      <w:rPr>
                        <w:rFonts w:ascii="Cambria Math" w:hAnsi="Cambria Math" w:cs="Arial"/>
                        <w:sz w:val="22"/>
                        <w:szCs w:val="22"/>
                      </w:rPr>
                      <m:t>[</m:t>
                    </m:r>
                    <m:sSub>
                      <m:sSubPr>
                        <m:ctrlPr>
                          <w:rPr>
                            <w:rFonts w:ascii="Cambria Math" w:eastAsia="Cambria Math" w:hAnsi="Cambria Math" w:cs="Cambria Math"/>
                            <w:i/>
                            <w:sz w:val="22"/>
                            <w:szCs w:val="22"/>
                          </w:rPr>
                        </m:ctrlPr>
                      </m:sSubPr>
                      <m:e>
                        <m:r>
                          <w:rPr>
                            <w:rFonts w:ascii="Cambria Math" w:hAnsi="Cambria Math" w:cs="Arial"/>
                            <w:sz w:val="22"/>
                            <w:szCs w:val="22"/>
                          </w:rPr>
                          <m:t>ATP]</m:t>
                        </m:r>
                      </m:e>
                      <m:sub>
                        <m:r>
                          <w:rPr>
                            <w:rFonts w:ascii="Cambria Math" w:hAnsi="Cambria Math" w:cs="Arial"/>
                            <w:sz w:val="22"/>
                            <w:szCs w:val="22"/>
                          </w:rPr>
                          <m:t>c</m:t>
                        </m:r>
                      </m:sub>
                    </m:sSub>
                  </m:num>
                  <m:den>
                    <m:sSub>
                      <m:sSubPr>
                        <m:ctrlPr>
                          <w:rPr>
                            <w:rFonts w:ascii="Cambria Math" w:eastAsia="Cambria Math" w:hAnsi="Cambria Math" w:cs="Cambria Math"/>
                            <w:i/>
                            <w:sz w:val="22"/>
                            <w:szCs w:val="22"/>
                          </w:rPr>
                        </m:ctrlPr>
                      </m:sSubPr>
                      <m:e>
                        <m:r>
                          <w:rPr>
                            <w:rFonts w:ascii="Cambria Math" w:hAnsi="Cambria Math" w:cs="Arial"/>
                            <w:sz w:val="22"/>
                            <w:szCs w:val="22"/>
                          </w:rPr>
                          <m:t>[ADP]</m:t>
                        </m:r>
                      </m:e>
                      <m:sub>
                        <m:r>
                          <w:rPr>
                            <w:rFonts w:ascii="Cambria Math" w:hAnsi="Cambria Math" w:cs="Arial"/>
                            <w:sz w:val="22"/>
                            <w:szCs w:val="22"/>
                          </w:rPr>
                          <m:t>c</m:t>
                        </m:r>
                      </m:sub>
                    </m:sSub>
                  </m:den>
                </m:f>
              </m:e>
            </m:d>
            <m:d>
              <m:dPr>
                <m:ctrlPr>
                  <w:rPr>
                    <w:rFonts w:ascii="Cambria Math" w:eastAsia="Cambria Math" w:hAnsi="Cambria Math" w:cs="Cambria Math"/>
                    <w:i/>
                    <w:sz w:val="22"/>
                    <w:szCs w:val="22"/>
                  </w:rPr>
                </m:ctrlPr>
              </m:dPr>
              <m:e>
                <m:f>
                  <m:fPr>
                    <m:ctrlPr>
                      <w:rPr>
                        <w:rFonts w:ascii="Cambria Math" w:eastAsia="Cambria Math" w:hAnsi="Cambria Math" w:cs="Cambria Math"/>
                        <w:i/>
                        <w:sz w:val="22"/>
                        <w:szCs w:val="22"/>
                      </w:rPr>
                    </m:ctrlPr>
                  </m:fPr>
                  <m:num>
                    <m:sSub>
                      <m:sSubPr>
                        <m:ctrlPr>
                          <w:rPr>
                            <w:rFonts w:ascii="Cambria Math" w:eastAsia="Cambria Math" w:hAnsi="Cambria Math" w:cs="Cambria Math"/>
                            <w:i/>
                            <w:sz w:val="22"/>
                            <w:szCs w:val="22"/>
                          </w:rPr>
                        </m:ctrlPr>
                      </m:sSubPr>
                      <m:e>
                        <m:r>
                          <w:rPr>
                            <w:rFonts w:ascii="Cambria Math" w:hAnsi="Cambria Math" w:cs="Arial"/>
                            <w:sz w:val="22"/>
                            <w:szCs w:val="22"/>
                          </w:rPr>
                          <m:t>[ADP]</m:t>
                        </m:r>
                      </m:e>
                      <m:sub>
                        <m:r>
                          <w:rPr>
                            <w:rFonts w:ascii="Cambria Math" w:hAnsi="Cambria Math" w:cs="Arial"/>
                            <w:sz w:val="22"/>
                            <w:szCs w:val="22"/>
                          </w:rPr>
                          <m:t>m</m:t>
                        </m:r>
                      </m:sub>
                    </m:sSub>
                  </m:num>
                  <m:den>
                    <m:sSub>
                      <m:sSubPr>
                        <m:ctrlPr>
                          <w:rPr>
                            <w:rFonts w:ascii="Cambria Math" w:eastAsia="Cambria Math" w:hAnsi="Cambria Math" w:cs="Cambria Math"/>
                            <w:i/>
                            <w:sz w:val="22"/>
                            <w:szCs w:val="22"/>
                          </w:rPr>
                        </m:ctrlPr>
                      </m:sSubPr>
                      <m:e>
                        <m:r>
                          <w:rPr>
                            <w:rFonts w:ascii="Cambria Math" w:hAnsi="Cambria Math" w:cs="Arial"/>
                            <w:sz w:val="22"/>
                            <w:szCs w:val="22"/>
                          </w:rPr>
                          <m:t>[ATP]</m:t>
                        </m:r>
                      </m:e>
                      <m:sub>
                        <m:r>
                          <w:rPr>
                            <w:rFonts w:ascii="Cambria Math" w:hAnsi="Cambria Math" w:cs="Arial"/>
                            <w:sz w:val="22"/>
                            <w:szCs w:val="22"/>
                          </w:rPr>
                          <m:t>m</m:t>
                        </m:r>
                      </m:sub>
                    </m:sSub>
                  </m:den>
                </m:f>
              </m:e>
            </m:d>
          </m:num>
          <m:den>
            <m:d>
              <m:dPr>
                <m:ctrlPr>
                  <w:rPr>
                    <w:rFonts w:ascii="Cambria Math" w:eastAsia="Cambria Math" w:hAnsi="Cambria Math" w:cs="Cambria Math"/>
                    <w:i/>
                    <w:sz w:val="22"/>
                    <w:szCs w:val="22"/>
                  </w:rPr>
                </m:ctrlPr>
              </m:dPr>
              <m:e>
                <m:r>
                  <w:rPr>
                    <w:rFonts w:ascii="Cambria Math" w:hAnsi="Cambria Math" w:cs="Arial"/>
                    <w:sz w:val="22"/>
                    <w:szCs w:val="22"/>
                  </w:rPr>
                  <m:t xml:space="preserve">1+ </m:t>
                </m:r>
                <m:sSub>
                  <m:sSubPr>
                    <m:ctrlPr>
                      <w:rPr>
                        <w:rFonts w:ascii="Cambria Math" w:eastAsia="Cambria Math" w:hAnsi="Cambria Math" w:cs="Cambria Math"/>
                        <w:i/>
                        <w:sz w:val="22"/>
                        <w:szCs w:val="22"/>
                      </w:rPr>
                    </m:ctrlPr>
                  </m:sSubPr>
                  <m:e>
                    <m:r>
                      <w:rPr>
                        <w:rFonts w:ascii="Cambria Math" w:hAnsi="Cambria Math" w:cs="Arial"/>
                        <w:sz w:val="22"/>
                        <w:szCs w:val="22"/>
                      </w:rPr>
                      <m:t>∝</m:t>
                    </m:r>
                  </m:e>
                  <m:sub>
                    <m:r>
                      <w:rPr>
                        <w:rFonts w:ascii="Cambria Math" w:hAnsi="Cambria Math" w:cs="Arial"/>
                        <w:sz w:val="22"/>
                        <w:szCs w:val="22"/>
                      </w:rPr>
                      <m:t>c</m:t>
                    </m:r>
                  </m:sub>
                </m:sSub>
                <m:f>
                  <m:fPr>
                    <m:ctrlPr>
                      <w:rPr>
                        <w:rFonts w:ascii="Cambria Math" w:eastAsia="Cambria Math" w:hAnsi="Cambria Math" w:cs="Cambria Math"/>
                        <w:i/>
                        <w:sz w:val="22"/>
                        <w:szCs w:val="22"/>
                      </w:rPr>
                    </m:ctrlPr>
                  </m:fPr>
                  <m:num>
                    <m:r>
                      <w:rPr>
                        <w:rFonts w:ascii="Cambria Math" w:hAnsi="Cambria Math" w:cs="Arial"/>
                        <w:sz w:val="22"/>
                        <w:szCs w:val="22"/>
                      </w:rPr>
                      <m:t>[</m:t>
                    </m:r>
                    <m:sSub>
                      <m:sSubPr>
                        <m:ctrlPr>
                          <w:rPr>
                            <w:rFonts w:ascii="Cambria Math" w:eastAsia="Cambria Math" w:hAnsi="Cambria Math" w:cs="Cambria Math"/>
                            <w:i/>
                            <w:sz w:val="22"/>
                            <w:szCs w:val="22"/>
                          </w:rPr>
                        </m:ctrlPr>
                      </m:sSubPr>
                      <m:e>
                        <m:r>
                          <w:rPr>
                            <w:rFonts w:ascii="Cambria Math" w:hAnsi="Cambria Math" w:cs="Arial"/>
                            <w:sz w:val="22"/>
                            <w:szCs w:val="22"/>
                          </w:rPr>
                          <m:t>ATP]</m:t>
                        </m:r>
                      </m:e>
                      <m:sub>
                        <m:r>
                          <w:rPr>
                            <w:rFonts w:ascii="Cambria Math" w:hAnsi="Cambria Math" w:cs="Arial"/>
                            <w:sz w:val="22"/>
                            <w:szCs w:val="22"/>
                          </w:rPr>
                          <m:t>c</m:t>
                        </m:r>
                      </m:sub>
                    </m:sSub>
                  </m:num>
                  <m:den>
                    <m:sSub>
                      <m:sSubPr>
                        <m:ctrlPr>
                          <w:rPr>
                            <w:rFonts w:ascii="Cambria Math" w:eastAsia="Cambria Math" w:hAnsi="Cambria Math" w:cs="Cambria Math"/>
                            <w:i/>
                            <w:sz w:val="22"/>
                            <w:szCs w:val="22"/>
                          </w:rPr>
                        </m:ctrlPr>
                      </m:sSubPr>
                      <m:e>
                        <m:r>
                          <w:rPr>
                            <w:rFonts w:ascii="Cambria Math" w:hAnsi="Cambria Math" w:cs="Arial"/>
                            <w:sz w:val="22"/>
                            <w:szCs w:val="22"/>
                          </w:rPr>
                          <m:t>[ADP]</m:t>
                        </m:r>
                      </m:e>
                      <m:sub>
                        <m:r>
                          <w:rPr>
                            <w:rFonts w:ascii="Cambria Math" w:hAnsi="Cambria Math" w:cs="Arial"/>
                            <w:sz w:val="22"/>
                            <w:szCs w:val="22"/>
                          </w:rPr>
                          <m:t>m</m:t>
                        </m:r>
                      </m:sub>
                    </m:sSub>
                  </m:den>
                </m:f>
                <m:sSup>
                  <m:sSupPr>
                    <m:ctrlPr>
                      <w:rPr>
                        <w:rFonts w:ascii="Cambria Math" w:eastAsia="Cambria Math" w:hAnsi="Cambria Math" w:cs="Cambria Math"/>
                        <w:i/>
                        <w:sz w:val="22"/>
                        <w:szCs w:val="22"/>
                      </w:rPr>
                    </m:ctrlPr>
                  </m:sSupPr>
                  <m:e>
                    <m:r>
                      <w:rPr>
                        <w:rFonts w:ascii="Cambria Math" w:hAnsi="Cambria Math" w:cs="Arial"/>
                        <w:sz w:val="22"/>
                        <w:szCs w:val="22"/>
                      </w:rPr>
                      <m:t>e</m:t>
                    </m:r>
                  </m:e>
                  <m:sup>
                    <m:r>
                      <w:rPr>
                        <w:rFonts w:ascii="Cambria Math" w:hAnsi="Cambria Math" w:cs="Arial"/>
                        <w:sz w:val="22"/>
                        <w:szCs w:val="22"/>
                      </w:rPr>
                      <m:t>-0.5</m:t>
                    </m:r>
                    <m:f>
                      <m:fPr>
                        <m:ctrlPr>
                          <w:rPr>
                            <w:rFonts w:ascii="Cambria Math" w:eastAsia="Cambria Math" w:hAnsi="Cambria Math" w:cs="Cambria Math"/>
                            <w:i/>
                            <w:sz w:val="22"/>
                            <w:szCs w:val="22"/>
                          </w:rPr>
                        </m:ctrlPr>
                      </m:fPr>
                      <m:num>
                        <m:r>
                          <w:rPr>
                            <w:rFonts w:ascii="Cambria Math" w:hAnsi="Cambria Math" w:cs="Arial"/>
                            <w:sz w:val="22"/>
                            <w:szCs w:val="22"/>
                          </w:rPr>
                          <m:t>F∆ψ</m:t>
                        </m:r>
                      </m:num>
                      <m:den>
                        <m:r>
                          <w:rPr>
                            <w:rFonts w:ascii="Cambria Math" w:hAnsi="Cambria Math" w:cs="Arial"/>
                            <w:sz w:val="22"/>
                            <w:szCs w:val="22"/>
                          </w:rPr>
                          <m:t>RT</m:t>
                        </m:r>
                      </m:den>
                    </m:f>
                  </m:sup>
                </m:sSup>
              </m:e>
            </m:d>
            <m:d>
              <m:dPr>
                <m:ctrlPr>
                  <w:rPr>
                    <w:rFonts w:ascii="Cambria Math" w:eastAsia="Cambria Math" w:hAnsi="Cambria Math" w:cs="Cambria Math"/>
                    <w:i/>
                    <w:sz w:val="22"/>
                    <w:szCs w:val="22"/>
                  </w:rPr>
                </m:ctrlPr>
              </m:dPr>
              <m:e>
                <m:r>
                  <w:rPr>
                    <w:rFonts w:ascii="Cambria Math" w:hAnsi="Cambria Math" w:cs="Arial"/>
                    <w:sz w:val="22"/>
                    <w:szCs w:val="22"/>
                  </w:rPr>
                  <m:t xml:space="preserve">1+ </m:t>
                </m:r>
                <m:f>
                  <m:fPr>
                    <m:ctrlPr>
                      <w:rPr>
                        <w:rFonts w:ascii="Cambria Math" w:eastAsia="Cambria Math" w:hAnsi="Cambria Math" w:cs="Cambria Math"/>
                        <w:i/>
                        <w:sz w:val="22"/>
                        <w:szCs w:val="22"/>
                      </w:rPr>
                    </m:ctrlPr>
                  </m:fPr>
                  <m:num>
                    <m:r>
                      <w:rPr>
                        <w:rFonts w:ascii="Cambria Math" w:hAnsi="Cambria Math" w:cs="Arial"/>
                        <w:sz w:val="22"/>
                        <w:szCs w:val="22"/>
                      </w:rPr>
                      <m:t>[</m:t>
                    </m:r>
                    <m:sSub>
                      <m:sSubPr>
                        <m:ctrlPr>
                          <w:rPr>
                            <w:rFonts w:ascii="Cambria Math" w:eastAsia="Cambria Math" w:hAnsi="Cambria Math" w:cs="Cambria Math"/>
                            <w:i/>
                            <w:sz w:val="22"/>
                            <w:szCs w:val="22"/>
                          </w:rPr>
                        </m:ctrlPr>
                      </m:sSubPr>
                      <m:e>
                        <m:r>
                          <w:rPr>
                            <w:rFonts w:ascii="Cambria Math" w:hAnsi="Cambria Math" w:cs="Arial"/>
                            <w:sz w:val="22"/>
                            <w:szCs w:val="22"/>
                          </w:rPr>
                          <m:t>ADP]</m:t>
                        </m:r>
                      </m:e>
                      <m:sub>
                        <m:r>
                          <w:rPr>
                            <w:rFonts w:ascii="Cambria Math" w:hAnsi="Cambria Math" w:cs="Arial"/>
                            <w:sz w:val="22"/>
                            <w:szCs w:val="22"/>
                          </w:rPr>
                          <m:t>m</m:t>
                        </m:r>
                      </m:sub>
                    </m:sSub>
                  </m:num>
                  <m:den>
                    <m:sSub>
                      <m:sSubPr>
                        <m:ctrlPr>
                          <w:rPr>
                            <w:rFonts w:ascii="Cambria Math" w:eastAsia="Cambria Math" w:hAnsi="Cambria Math" w:cs="Cambria Math"/>
                            <w:i/>
                            <w:sz w:val="22"/>
                            <w:szCs w:val="22"/>
                          </w:rPr>
                        </m:ctrlPr>
                      </m:sSubPr>
                      <m:e>
                        <m:sSub>
                          <m:sSubPr>
                            <m:ctrlPr>
                              <w:rPr>
                                <w:rFonts w:ascii="Cambria Math" w:eastAsia="Cambria Math" w:hAnsi="Cambria Math" w:cs="Cambria Math"/>
                                <w:i/>
                                <w:sz w:val="22"/>
                                <w:szCs w:val="22"/>
                              </w:rPr>
                            </m:ctrlPr>
                          </m:sSubPr>
                          <m:e>
                            <m:r>
                              <w:rPr>
                                <w:rFonts w:ascii="Cambria Math" w:hAnsi="Cambria Math" w:cs="Arial"/>
                                <w:sz w:val="22"/>
                                <w:szCs w:val="22"/>
                              </w:rPr>
                              <m:t>∝</m:t>
                            </m:r>
                          </m:e>
                          <m:sub>
                            <m:r>
                              <w:rPr>
                                <w:rFonts w:ascii="Cambria Math" w:hAnsi="Cambria Math" w:cs="Arial"/>
                                <w:sz w:val="22"/>
                                <w:szCs w:val="22"/>
                              </w:rPr>
                              <m:t>m</m:t>
                            </m:r>
                          </m:sub>
                        </m:sSub>
                        <m:r>
                          <w:rPr>
                            <w:rFonts w:ascii="Cambria Math" w:hAnsi="Cambria Math" w:cs="Arial"/>
                            <w:sz w:val="22"/>
                            <w:szCs w:val="22"/>
                          </w:rPr>
                          <m:t>[ATP]</m:t>
                        </m:r>
                      </m:e>
                      <m:sub>
                        <m:r>
                          <w:rPr>
                            <w:rFonts w:ascii="Cambria Math" w:hAnsi="Cambria Math" w:cs="Arial"/>
                            <w:sz w:val="22"/>
                            <w:szCs w:val="22"/>
                          </w:rPr>
                          <m:t>m</m:t>
                        </m:r>
                      </m:sub>
                    </m:sSub>
                  </m:den>
                </m:f>
              </m:e>
            </m:d>
          </m:den>
        </m:f>
        <m:sSup>
          <m:sSupPr>
            <m:ctrlPr>
              <w:rPr>
                <w:rFonts w:ascii="Cambria Math" w:eastAsia="Cambria Math" w:hAnsi="Cambria Math" w:cs="Cambria Math"/>
                <w:i/>
                <w:sz w:val="22"/>
                <w:szCs w:val="22"/>
              </w:rPr>
            </m:ctrlPr>
          </m:sSupPr>
          <m:e>
            <m:r>
              <w:rPr>
                <w:rFonts w:ascii="Cambria Math" w:hAnsi="Cambria Math" w:cs="Arial"/>
                <w:sz w:val="22"/>
                <w:szCs w:val="22"/>
              </w:rPr>
              <m:t>e</m:t>
            </m:r>
          </m:e>
          <m:sup>
            <m:r>
              <w:rPr>
                <w:rFonts w:ascii="Cambria Math" w:hAnsi="Cambria Math" w:cs="Arial"/>
                <w:sz w:val="22"/>
                <w:szCs w:val="22"/>
              </w:rPr>
              <m:t>-</m:t>
            </m:r>
            <m:f>
              <m:fPr>
                <m:ctrlPr>
                  <w:rPr>
                    <w:rFonts w:ascii="Cambria Math" w:eastAsia="Cambria Math" w:hAnsi="Cambria Math" w:cs="Cambria Math"/>
                    <w:i/>
                    <w:sz w:val="22"/>
                    <w:szCs w:val="22"/>
                  </w:rPr>
                </m:ctrlPr>
              </m:fPr>
              <m:num>
                <m:r>
                  <w:rPr>
                    <w:rFonts w:ascii="Cambria Math" w:hAnsi="Cambria Math" w:cs="Arial"/>
                    <w:sz w:val="22"/>
                    <w:szCs w:val="22"/>
                  </w:rPr>
                  <m:t>F∆ψ</m:t>
                </m:r>
              </m:num>
              <m:den>
                <m:r>
                  <w:rPr>
                    <w:rFonts w:ascii="Cambria Math" w:hAnsi="Cambria Math" w:cs="Arial"/>
                    <w:sz w:val="22"/>
                    <w:szCs w:val="22"/>
                  </w:rPr>
                  <m:t>RT</m:t>
                </m:r>
              </m:den>
            </m:f>
          </m:sup>
        </m:sSup>
      </m:oMath>
      <w:r w:rsidR="00187C95">
        <w:rPr>
          <w:rFonts w:ascii="Arial" w:hAnsi="Arial" w:cs="Arial"/>
          <w:sz w:val="22"/>
          <w:szCs w:val="22"/>
        </w:rPr>
        <w:t>,                                                              (13)</w:t>
      </w:r>
    </w:p>
    <w:p w14:paraId="7291DDFC" w14:textId="77777777" w:rsidR="00187C95" w:rsidRDefault="00187C95" w:rsidP="00187C95">
      <w:pPr>
        <w:spacing w:after="0" w:line="300" w:lineRule="auto"/>
        <w:jc w:val="both"/>
        <w:rPr>
          <w:rFonts w:ascii="Arial" w:hAnsi="Arial" w:cs="Arial"/>
          <w:sz w:val="22"/>
          <w:szCs w:val="22"/>
        </w:rPr>
      </w:pPr>
      <w:r>
        <w:rPr>
          <w:rFonts w:ascii="Arial" w:hAnsi="Arial" w:cs="Arial"/>
          <w:sz w:val="22"/>
          <w:szCs w:val="22"/>
        </w:rPr>
        <w:t xml:space="preserve">where </w:t>
      </w:r>
      <m:oMath>
        <m:sSub>
          <m:sSubPr>
            <m:ctrlPr>
              <w:rPr>
                <w:rFonts w:ascii="Cambria Math" w:eastAsia="Cambria Math" w:hAnsi="Cambria Math" w:cs="Cambria Math"/>
                <w:i/>
                <w:sz w:val="22"/>
                <w:szCs w:val="22"/>
              </w:rPr>
            </m:ctrlPr>
          </m:sSubPr>
          <m:e>
            <m:r>
              <w:rPr>
                <w:rFonts w:ascii="Cambria Math" w:hAnsi="Cambria Math" w:cs="Arial"/>
                <w:sz w:val="22"/>
                <w:szCs w:val="22"/>
              </w:rPr>
              <m:t>∝</m:t>
            </m:r>
          </m:e>
          <m:sub>
            <m:r>
              <w:rPr>
                <w:rFonts w:ascii="Cambria Math" w:hAnsi="Cambria Math" w:cs="Arial"/>
                <w:sz w:val="22"/>
                <w:szCs w:val="22"/>
              </w:rPr>
              <m:t>c</m:t>
            </m:r>
          </m:sub>
        </m:sSub>
      </m:oMath>
      <w:r>
        <w:rPr>
          <w:rFonts w:ascii="Arial" w:hAnsi="Arial" w:cs="Arial"/>
          <w:sz w:val="22"/>
          <w:szCs w:val="22"/>
        </w:rPr>
        <w:t xml:space="preserve"> and  </w:t>
      </w:r>
      <m:oMath>
        <m:sSub>
          <m:sSubPr>
            <m:ctrlPr>
              <w:rPr>
                <w:rFonts w:ascii="Cambria Math" w:eastAsia="Cambria Math" w:hAnsi="Cambria Math" w:cs="Cambria Math"/>
                <w:i/>
                <w:sz w:val="22"/>
                <w:szCs w:val="22"/>
              </w:rPr>
            </m:ctrlPr>
          </m:sSubPr>
          <m:e>
            <m:r>
              <w:rPr>
                <w:rFonts w:ascii="Cambria Math" w:hAnsi="Cambria Math" w:cs="Arial"/>
                <w:sz w:val="22"/>
                <w:szCs w:val="22"/>
              </w:rPr>
              <m:t>∝</m:t>
            </m:r>
          </m:e>
          <m:sub>
            <m:r>
              <w:rPr>
                <w:rFonts w:ascii="Cambria Math" w:hAnsi="Cambria Math" w:cs="Arial"/>
                <w:sz w:val="22"/>
                <w:szCs w:val="22"/>
              </w:rPr>
              <m:t>m</m:t>
            </m:r>
          </m:sub>
        </m:sSub>
      </m:oMath>
      <w:r>
        <w:rPr>
          <w:rFonts w:ascii="Arial" w:hAnsi="Arial" w:cs="Arial"/>
          <w:sz w:val="22"/>
          <w:szCs w:val="22"/>
        </w:rPr>
        <w:t xml:space="preserve"> denote the fact that only a fraction of nucleotides has access to the transporter. The dependence of the membrane potential is due to the negatively charged ADP and ATP. The rate of ATP synthesis by F</w:t>
      </w:r>
      <w:r>
        <w:rPr>
          <w:rFonts w:ascii="Arial" w:hAnsi="Arial" w:cs="Arial"/>
          <w:sz w:val="22"/>
          <w:szCs w:val="22"/>
          <w:vertAlign w:val="subscript"/>
        </w:rPr>
        <w:t>1</w:t>
      </w:r>
      <w:r>
        <w:rPr>
          <w:rFonts w:ascii="Arial" w:hAnsi="Arial" w:cs="Arial"/>
          <w:sz w:val="22"/>
          <w:szCs w:val="22"/>
        </w:rPr>
        <w:t>F</w:t>
      </w:r>
      <w:r>
        <w:rPr>
          <w:rFonts w:ascii="Arial" w:hAnsi="Arial" w:cs="Arial"/>
          <w:sz w:val="22"/>
          <w:szCs w:val="22"/>
          <w:vertAlign w:val="subscript"/>
        </w:rPr>
        <w:t>0</w:t>
      </w:r>
      <w:r>
        <w:rPr>
          <w:rFonts w:ascii="Arial" w:hAnsi="Arial" w:cs="Arial"/>
          <w:sz w:val="22"/>
          <w:szCs w:val="22"/>
        </w:rPr>
        <w:t>-ATPase is modeled as</w:t>
      </w:r>
    </w:p>
    <w:p w14:paraId="60FE02C8" w14:textId="77777777" w:rsidR="00150362" w:rsidRDefault="00150362" w:rsidP="00187C95">
      <w:pPr>
        <w:spacing w:after="0" w:line="300" w:lineRule="auto"/>
        <w:jc w:val="both"/>
        <w:rPr>
          <w:rFonts w:ascii="Arial" w:hAnsi="Arial" w:cs="Arial"/>
          <w:sz w:val="22"/>
          <w:szCs w:val="22"/>
        </w:rPr>
      </w:pPr>
    </w:p>
    <w:p w14:paraId="0BBDA4C7" w14:textId="77777777" w:rsidR="00187C95" w:rsidRDefault="00DA725F" w:rsidP="00187C95">
      <w:pPr>
        <w:spacing w:after="0" w:line="300" w:lineRule="auto"/>
        <w:jc w:val="both"/>
        <w:rPr>
          <w:rFonts w:ascii="Arial" w:hAnsi="Arial" w:cs="Arial"/>
          <w:sz w:val="22"/>
          <w:szCs w:val="22"/>
        </w:rPr>
      </w:pPr>
      <m:oMath>
        <m:sSub>
          <m:sSubPr>
            <m:ctrlPr>
              <w:rPr>
                <w:rFonts w:ascii="Cambria Math" w:eastAsia="Cambria Math" w:hAnsi="Cambria Math" w:cs="Cambria Math"/>
                <w:i/>
                <w:sz w:val="22"/>
                <w:szCs w:val="22"/>
              </w:rPr>
            </m:ctrlPr>
          </m:sSubPr>
          <m:e>
            <m:r>
              <w:rPr>
                <w:rFonts w:ascii="Cambria Math" w:hAnsi="Cambria Math" w:cs="Arial"/>
                <w:sz w:val="22"/>
                <w:szCs w:val="22"/>
              </w:rPr>
              <m:t>J</m:t>
            </m:r>
          </m:e>
          <m:sub>
            <m:r>
              <w:rPr>
                <w:rFonts w:ascii="Cambria Math" w:hAnsi="Cambria Math" w:cs="Arial"/>
                <w:sz w:val="22"/>
                <w:szCs w:val="22"/>
              </w:rPr>
              <m:t>F1F0</m:t>
            </m:r>
          </m:sub>
        </m:sSub>
        <m:r>
          <w:rPr>
            <w:rFonts w:ascii="Cambria Math" w:hAnsi="Cambria Math" w:cs="Arial"/>
            <w:sz w:val="22"/>
            <w:szCs w:val="22"/>
          </w:rPr>
          <m:t xml:space="preserve">= </m:t>
        </m:r>
        <m:sSub>
          <m:sSubPr>
            <m:ctrlPr>
              <w:rPr>
                <w:rFonts w:ascii="Cambria Math" w:eastAsia="Cambria Math" w:hAnsi="Cambria Math" w:cs="Cambria Math"/>
                <w:i/>
                <w:sz w:val="22"/>
                <w:szCs w:val="22"/>
              </w:rPr>
            </m:ctrlPr>
          </m:sSubPr>
          <m:e>
            <m:r>
              <w:rPr>
                <w:rFonts w:ascii="Cambria Math" w:hAnsi="Cambria Math" w:cs="Arial"/>
                <w:sz w:val="22"/>
                <w:szCs w:val="22"/>
              </w:rPr>
              <m:t>v</m:t>
            </m:r>
          </m:e>
          <m:sub>
            <m:r>
              <w:rPr>
                <w:rFonts w:ascii="Cambria Math" w:hAnsi="Cambria Math" w:cs="Arial"/>
                <w:sz w:val="22"/>
                <w:szCs w:val="22"/>
              </w:rPr>
              <m:t>F1F0</m:t>
            </m:r>
          </m:sub>
        </m:sSub>
        <m:d>
          <m:dPr>
            <m:ctrlPr>
              <w:rPr>
                <w:rFonts w:ascii="Cambria Math" w:eastAsia="Cambria Math" w:hAnsi="Cambria Math" w:cs="Cambria Math"/>
                <w:i/>
                <w:sz w:val="22"/>
                <w:szCs w:val="22"/>
              </w:rPr>
            </m:ctrlPr>
          </m:dPr>
          <m:e>
            <m:f>
              <m:fPr>
                <m:ctrlPr>
                  <w:rPr>
                    <w:rFonts w:ascii="Cambria Math" w:eastAsia="Cambria Math" w:hAnsi="Cambria Math" w:cs="Cambria Math"/>
                    <w:i/>
                    <w:sz w:val="22"/>
                    <w:szCs w:val="22"/>
                  </w:rPr>
                </m:ctrlPr>
              </m:fPr>
              <m:num>
                <m:sSub>
                  <m:sSubPr>
                    <m:ctrlPr>
                      <w:rPr>
                        <w:rFonts w:ascii="Cambria Math" w:eastAsia="Cambria Math" w:hAnsi="Cambria Math" w:cs="Cambria Math"/>
                        <w:i/>
                        <w:sz w:val="22"/>
                        <w:szCs w:val="22"/>
                      </w:rPr>
                    </m:ctrlPr>
                  </m:sSubPr>
                  <m:e>
                    <m:r>
                      <w:rPr>
                        <w:rFonts w:ascii="Cambria Math" w:hAnsi="Cambria Math" w:cs="Arial"/>
                        <w:sz w:val="22"/>
                        <w:szCs w:val="22"/>
                      </w:rPr>
                      <m:t>q</m:t>
                    </m:r>
                  </m:e>
                  <m:sub>
                    <m:r>
                      <w:rPr>
                        <w:rFonts w:ascii="Cambria Math" w:hAnsi="Cambria Math" w:cs="Arial"/>
                        <w:sz w:val="22"/>
                        <w:szCs w:val="22"/>
                      </w:rPr>
                      <m:t>6</m:t>
                    </m:r>
                  </m:sub>
                </m:sSub>
              </m:num>
              <m:den>
                <m:sSub>
                  <m:sSubPr>
                    <m:ctrlPr>
                      <w:rPr>
                        <w:rFonts w:ascii="Cambria Math" w:eastAsia="Cambria Math" w:hAnsi="Cambria Math" w:cs="Cambria Math"/>
                        <w:i/>
                        <w:sz w:val="22"/>
                        <w:szCs w:val="22"/>
                      </w:rPr>
                    </m:ctrlPr>
                  </m:sSubPr>
                  <m:e>
                    <m:r>
                      <w:rPr>
                        <w:rFonts w:ascii="Cambria Math" w:hAnsi="Cambria Math" w:cs="Arial"/>
                        <w:sz w:val="22"/>
                        <w:szCs w:val="22"/>
                      </w:rPr>
                      <m:t>q</m:t>
                    </m:r>
                  </m:e>
                  <m:sub>
                    <m:r>
                      <w:rPr>
                        <w:rFonts w:ascii="Cambria Math" w:hAnsi="Cambria Math" w:cs="Arial"/>
                        <w:sz w:val="22"/>
                        <w:szCs w:val="22"/>
                      </w:rPr>
                      <m:t>6</m:t>
                    </m:r>
                  </m:sub>
                </m:sSub>
                <m:r>
                  <w:rPr>
                    <w:rFonts w:ascii="Cambria Math" w:hAnsi="Cambria Math" w:cs="Arial"/>
                    <w:sz w:val="22"/>
                    <w:szCs w:val="22"/>
                  </w:rPr>
                  <m:t>+ [</m:t>
                </m:r>
                <m:sSub>
                  <m:sSubPr>
                    <m:ctrlPr>
                      <w:rPr>
                        <w:rFonts w:ascii="Cambria Math" w:eastAsia="Cambria Math" w:hAnsi="Cambria Math" w:cs="Cambria Math"/>
                        <w:i/>
                        <w:sz w:val="22"/>
                        <w:szCs w:val="22"/>
                      </w:rPr>
                    </m:ctrlPr>
                  </m:sSubPr>
                  <m:e>
                    <m:r>
                      <w:rPr>
                        <w:rFonts w:ascii="Cambria Math" w:hAnsi="Cambria Math" w:cs="Arial"/>
                        <w:sz w:val="22"/>
                        <w:szCs w:val="22"/>
                      </w:rPr>
                      <m:t>ATP]</m:t>
                    </m:r>
                  </m:e>
                  <m:sub>
                    <m:r>
                      <w:rPr>
                        <w:rFonts w:ascii="Cambria Math" w:hAnsi="Cambria Math" w:cs="Arial"/>
                        <w:sz w:val="22"/>
                        <w:szCs w:val="22"/>
                      </w:rPr>
                      <m:t>m</m:t>
                    </m:r>
                  </m:sub>
                </m:sSub>
                <m:r>
                  <w:rPr>
                    <w:rFonts w:ascii="Cambria Math" w:hAnsi="Cambria Math" w:cs="Arial"/>
                    <w:sz w:val="22"/>
                    <w:szCs w:val="22"/>
                  </w:rPr>
                  <m:t xml:space="preserve"> </m:t>
                </m:r>
              </m:den>
            </m:f>
          </m:e>
        </m:d>
        <m:sSup>
          <m:sSupPr>
            <m:ctrlPr>
              <w:rPr>
                <w:rFonts w:ascii="Cambria Math" w:eastAsia="Cambria Math" w:hAnsi="Cambria Math" w:cs="Cambria Math"/>
                <w:i/>
                <w:sz w:val="22"/>
                <w:szCs w:val="22"/>
              </w:rPr>
            </m:ctrlPr>
          </m:sSupPr>
          <m:e>
            <m:d>
              <m:dPr>
                <m:ctrlPr>
                  <w:rPr>
                    <w:rFonts w:ascii="Cambria Math" w:eastAsia="Cambria Math" w:hAnsi="Cambria Math" w:cs="Cambria Math"/>
                    <w:i/>
                    <w:sz w:val="22"/>
                    <w:szCs w:val="22"/>
                  </w:rPr>
                </m:ctrlPr>
              </m:dPr>
              <m:e>
                <m:r>
                  <w:rPr>
                    <w:rFonts w:ascii="Cambria Math" w:hAnsi="Cambria Math" w:cs="Arial"/>
                    <w:sz w:val="22"/>
                    <w:szCs w:val="22"/>
                  </w:rPr>
                  <m:t xml:space="preserve">1+ </m:t>
                </m:r>
                <m:sSup>
                  <m:sSupPr>
                    <m:ctrlPr>
                      <w:rPr>
                        <w:rFonts w:ascii="Cambria Math" w:eastAsia="Cambria Math" w:hAnsi="Cambria Math" w:cs="Cambria Math"/>
                        <w:i/>
                        <w:sz w:val="22"/>
                        <w:szCs w:val="22"/>
                      </w:rPr>
                    </m:ctrlPr>
                  </m:sSupPr>
                  <m:e>
                    <m:r>
                      <w:rPr>
                        <w:rFonts w:ascii="Cambria Math" w:hAnsi="Cambria Math" w:cs="Arial"/>
                        <w:sz w:val="22"/>
                        <w:szCs w:val="22"/>
                      </w:rPr>
                      <m:t>e</m:t>
                    </m:r>
                  </m:e>
                  <m:sup>
                    <m:f>
                      <m:fPr>
                        <m:ctrlPr>
                          <w:rPr>
                            <w:rFonts w:ascii="Cambria Math" w:eastAsia="Cambria Math" w:hAnsi="Cambria Math" w:cs="Cambria Math"/>
                            <w:i/>
                            <w:sz w:val="22"/>
                            <w:szCs w:val="22"/>
                          </w:rPr>
                        </m:ctrlPr>
                      </m:fPr>
                      <m:num>
                        <m:sSub>
                          <m:sSubPr>
                            <m:ctrlPr>
                              <w:rPr>
                                <w:rFonts w:ascii="Cambria Math" w:eastAsia="Cambria Math" w:hAnsi="Cambria Math" w:cs="Cambria Math"/>
                                <w:i/>
                                <w:sz w:val="22"/>
                                <w:szCs w:val="22"/>
                              </w:rPr>
                            </m:ctrlPr>
                          </m:sSubPr>
                          <m:e>
                            <m:r>
                              <w:rPr>
                                <w:rFonts w:ascii="Cambria Math" w:hAnsi="Cambria Math" w:cs="Arial"/>
                                <w:sz w:val="22"/>
                                <w:szCs w:val="22"/>
                              </w:rPr>
                              <m:t>q</m:t>
                            </m:r>
                          </m:e>
                          <m:sub>
                            <m:r>
                              <w:rPr>
                                <w:rFonts w:ascii="Cambria Math" w:hAnsi="Cambria Math" w:cs="Arial"/>
                                <w:sz w:val="22"/>
                                <w:szCs w:val="22"/>
                              </w:rPr>
                              <m:t xml:space="preserve">7 </m:t>
                            </m:r>
                          </m:sub>
                        </m:sSub>
                        <m:r>
                          <w:rPr>
                            <w:rFonts w:ascii="Cambria Math" w:hAnsi="Cambria Math" w:cs="Arial"/>
                            <w:sz w:val="22"/>
                            <w:szCs w:val="22"/>
                          </w:rPr>
                          <m:t>- ∆ψ</m:t>
                        </m:r>
                      </m:num>
                      <m:den>
                        <m:sSub>
                          <m:sSubPr>
                            <m:ctrlPr>
                              <w:rPr>
                                <w:rFonts w:ascii="Cambria Math" w:eastAsia="Cambria Math" w:hAnsi="Cambria Math" w:cs="Cambria Math"/>
                                <w:i/>
                                <w:sz w:val="22"/>
                                <w:szCs w:val="22"/>
                              </w:rPr>
                            </m:ctrlPr>
                          </m:sSubPr>
                          <m:e>
                            <m:r>
                              <w:rPr>
                                <w:rFonts w:ascii="Cambria Math" w:hAnsi="Cambria Math" w:cs="Arial"/>
                                <w:sz w:val="22"/>
                                <w:szCs w:val="22"/>
                              </w:rPr>
                              <m:t>q</m:t>
                            </m:r>
                          </m:e>
                          <m:sub>
                            <m:r>
                              <w:rPr>
                                <w:rFonts w:ascii="Cambria Math" w:hAnsi="Cambria Math" w:cs="Arial"/>
                                <w:sz w:val="22"/>
                                <w:szCs w:val="22"/>
                              </w:rPr>
                              <m:t>8</m:t>
                            </m:r>
                          </m:sub>
                        </m:sSub>
                      </m:den>
                    </m:f>
                  </m:sup>
                </m:sSup>
              </m:e>
            </m:d>
          </m:e>
          <m:sup>
            <m:r>
              <w:rPr>
                <w:rFonts w:ascii="Cambria Math" w:hAnsi="Cambria Math" w:cs="Arial"/>
                <w:sz w:val="22"/>
                <w:szCs w:val="22"/>
              </w:rPr>
              <m:t>-1</m:t>
            </m:r>
          </m:sup>
        </m:sSup>
      </m:oMath>
      <w:r w:rsidR="00187C95">
        <w:rPr>
          <w:rFonts w:ascii="Arial" w:hAnsi="Arial" w:cs="Arial"/>
          <w:sz w:val="22"/>
          <w:szCs w:val="22"/>
        </w:rPr>
        <w:t>.</w:t>
      </w:r>
      <w:r w:rsidR="00150362">
        <w:rPr>
          <w:rFonts w:ascii="Arial" w:hAnsi="Arial" w:cs="Arial"/>
          <w:sz w:val="22"/>
          <w:szCs w:val="22"/>
        </w:rPr>
        <w:tab/>
        <w:t>(14)</w:t>
      </w:r>
      <w:r w:rsidR="00187C95">
        <w:rPr>
          <w:rFonts w:ascii="Arial" w:hAnsi="Arial" w:cs="Arial"/>
          <w:sz w:val="22"/>
          <w:szCs w:val="22"/>
        </w:rPr>
        <w:t xml:space="preserve">                                                                        </w:t>
      </w:r>
    </w:p>
    <w:p w14:paraId="05670BE9" w14:textId="77777777" w:rsidR="00187C95" w:rsidRDefault="00187C95" w:rsidP="00187C95">
      <w:pPr>
        <w:spacing w:after="0" w:line="300" w:lineRule="auto"/>
        <w:jc w:val="both"/>
        <w:rPr>
          <w:rFonts w:ascii="Arial" w:hAnsi="Arial" w:cs="Arial"/>
          <w:sz w:val="22"/>
          <w:szCs w:val="22"/>
        </w:rPr>
      </w:pPr>
      <w:r>
        <w:rPr>
          <w:rFonts w:ascii="Arial" w:hAnsi="Arial" w:cs="Arial"/>
          <w:sz w:val="22"/>
          <w:szCs w:val="22"/>
        </w:rPr>
        <w:t>J</w:t>
      </w:r>
      <w:r>
        <w:rPr>
          <w:rFonts w:ascii="Arial" w:hAnsi="Arial" w:cs="Arial"/>
          <w:sz w:val="22"/>
          <w:szCs w:val="22"/>
          <w:vertAlign w:val="subscript"/>
        </w:rPr>
        <w:t>HYD</w:t>
      </w:r>
      <w:r>
        <w:rPr>
          <w:rFonts w:ascii="Arial" w:hAnsi="Arial" w:cs="Arial"/>
          <w:sz w:val="22"/>
          <w:szCs w:val="22"/>
        </w:rPr>
        <w:t xml:space="preserve"> represents the rate of ATP consumption (ATP hydrolysis) in the cytosol. The first term encodes the link between Ca</w:t>
      </w:r>
      <w:r>
        <w:rPr>
          <w:rFonts w:ascii="Arial" w:hAnsi="Arial" w:cs="Arial"/>
          <w:sz w:val="22"/>
          <w:szCs w:val="22"/>
          <w:vertAlign w:val="superscript"/>
        </w:rPr>
        <w:t>2+</w:t>
      </w:r>
      <w:r>
        <w:rPr>
          <w:rFonts w:ascii="Arial" w:hAnsi="Arial" w:cs="Arial"/>
          <w:sz w:val="22"/>
          <w:szCs w:val="22"/>
        </w:rPr>
        <w:t xml:space="preserve"> activity and ATP consumption in the cytosol whereas the second term captures ATP-consuming processes in the cytosol.</w:t>
      </w:r>
    </w:p>
    <w:p w14:paraId="5D40A429" w14:textId="77777777" w:rsidR="00150362" w:rsidRDefault="00150362" w:rsidP="00187C95">
      <w:pPr>
        <w:spacing w:after="0" w:line="300" w:lineRule="auto"/>
        <w:jc w:val="both"/>
        <w:rPr>
          <w:rFonts w:ascii="Arial" w:hAnsi="Arial" w:cs="Arial"/>
          <w:sz w:val="22"/>
          <w:szCs w:val="22"/>
        </w:rPr>
      </w:pPr>
    </w:p>
    <w:p w14:paraId="13E6B3C8" w14:textId="77777777" w:rsidR="00150362" w:rsidRDefault="00DA725F" w:rsidP="00187C95">
      <w:pPr>
        <w:spacing w:after="0" w:line="300" w:lineRule="auto"/>
        <w:jc w:val="both"/>
        <w:rPr>
          <w:rFonts w:ascii="Arial" w:hAnsi="Arial" w:cs="Arial"/>
          <w:sz w:val="22"/>
          <w:szCs w:val="22"/>
        </w:rPr>
      </w:pPr>
      <m:oMath>
        <m:sSub>
          <m:sSubPr>
            <m:ctrlPr>
              <w:rPr>
                <w:rFonts w:ascii="Cambria Math" w:eastAsia="Cambria Math" w:hAnsi="Cambria Math" w:cs="Cambria Math"/>
                <w:i/>
                <w:sz w:val="22"/>
                <w:szCs w:val="22"/>
              </w:rPr>
            </m:ctrlPr>
          </m:sSubPr>
          <m:e>
            <m:r>
              <w:rPr>
                <w:rFonts w:ascii="Cambria Math" w:hAnsi="Cambria Math" w:cs="Arial"/>
                <w:sz w:val="22"/>
                <w:szCs w:val="22"/>
              </w:rPr>
              <m:t>J</m:t>
            </m:r>
          </m:e>
          <m:sub>
            <m:r>
              <w:rPr>
                <w:rFonts w:ascii="Cambria Math" w:hAnsi="Cambria Math" w:cs="Arial"/>
                <w:sz w:val="22"/>
                <w:szCs w:val="22"/>
              </w:rPr>
              <m:t>HYD</m:t>
            </m:r>
          </m:sub>
        </m:sSub>
        <m:r>
          <w:rPr>
            <w:rFonts w:ascii="Cambria Math" w:hAnsi="Cambria Math" w:cs="Arial"/>
            <w:sz w:val="22"/>
            <w:szCs w:val="22"/>
          </w:rPr>
          <m:t xml:space="preserve">= </m:t>
        </m:r>
        <m:f>
          <m:fPr>
            <m:ctrlPr>
              <w:rPr>
                <w:rFonts w:ascii="Cambria Math" w:eastAsia="Cambria Math" w:hAnsi="Cambria Math" w:cs="Cambria Math"/>
                <w:i/>
                <w:sz w:val="22"/>
                <w:szCs w:val="22"/>
              </w:rPr>
            </m:ctrlPr>
          </m:fPr>
          <m:num>
            <m:sSub>
              <m:sSubPr>
                <m:ctrlPr>
                  <w:rPr>
                    <w:rFonts w:ascii="Cambria Math" w:eastAsia="Cambria Math" w:hAnsi="Cambria Math" w:cs="Cambria Math"/>
                    <w:i/>
                    <w:sz w:val="22"/>
                    <w:szCs w:val="22"/>
                  </w:rPr>
                </m:ctrlPr>
              </m:sSubPr>
              <m:e>
                <m:r>
                  <w:rPr>
                    <w:rFonts w:ascii="Cambria Math" w:hAnsi="Cambria Math" w:cs="Arial"/>
                    <w:sz w:val="22"/>
                    <w:szCs w:val="22"/>
                  </w:rPr>
                  <m:t>V</m:t>
                </m:r>
              </m:e>
              <m:sub>
                <m:r>
                  <w:rPr>
                    <w:rFonts w:ascii="Cambria Math" w:hAnsi="Cambria Math" w:cs="Arial"/>
                    <w:sz w:val="22"/>
                    <w:szCs w:val="22"/>
                  </w:rPr>
                  <m:t>SERCA</m:t>
                </m:r>
              </m:sub>
            </m:sSub>
          </m:num>
          <m:den>
            <m:r>
              <w:rPr>
                <w:rFonts w:ascii="Cambria Math" w:hAnsi="Cambria Math" w:cs="Arial"/>
                <w:sz w:val="22"/>
                <w:szCs w:val="22"/>
              </w:rPr>
              <m:t>2</m:t>
            </m:r>
          </m:den>
        </m:f>
        <m:r>
          <w:rPr>
            <w:rFonts w:ascii="Cambria Math" w:hAnsi="Cambria Math" w:cs="Arial"/>
            <w:sz w:val="22"/>
            <w:szCs w:val="22"/>
          </w:rPr>
          <m:t xml:space="preserve">+ </m:t>
        </m:r>
        <m:sSub>
          <m:sSubPr>
            <m:ctrlPr>
              <w:rPr>
                <w:rFonts w:ascii="Cambria Math" w:eastAsia="Cambria Math" w:hAnsi="Cambria Math" w:cs="Cambria Math"/>
                <w:i/>
                <w:sz w:val="22"/>
                <w:szCs w:val="22"/>
              </w:rPr>
            </m:ctrlPr>
          </m:sSubPr>
          <m:e>
            <m:r>
              <w:rPr>
                <w:rFonts w:ascii="Cambria Math" w:hAnsi="Cambria Math" w:cs="Arial"/>
                <w:sz w:val="22"/>
                <w:szCs w:val="22"/>
              </w:rPr>
              <m:t>k</m:t>
            </m:r>
          </m:e>
          <m:sub>
            <m:r>
              <w:rPr>
                <w:rFonts w:ascii="Cambria Math" w:hAnsi="Cambria Math" w:cs="Arial"/>
                <w:sz w:val="22"/>
                <w:szCs w:val="22"/>
              </w:rPr>
              <m:t>HYD</m:t>
            </m:r>
          </m:sub>
        </m:sSub>
        <m:f>
          <m:fPr>
            <m:ctrlPr>
              <w:rPr>
                <w:rFonts w:ascii="Cambria Math" w:eastAsia="Cambria Math" w:hAnsi="Cambria Math" w:cs="Cambria Math"/>
                <w:i/>
                <w:sz w:val="22"/>
                <w:szCs w:val="22"/>
              </w:rPr>
            </m:ctrlPr>
          </m:fPr>
          <m:num>
            <m:r>
              <w:rPr>
                <w:rFonts w:ascii="Cambria Math" w:hAnsi="Cambria Math" w:cs="Arial"/>
                <w:sz w:val="22"/>
                <w:szCs w:val="22"/>
              </w:rPr>
              <m:t>[</m:t>
            </m:r>
            <m:sSub>
              <m:sSubPr>
                <m:ctrlPr>
                  <w:rPr>
                    <w:rFonts w:ascii="Cambria Math" w:eastAsia="Cambria Math" w:hAnsi="Cambria Math" w:cs="Cambria Math"/>
                    <w:i/>
                    <w:sz w:val="22"/>
                    <w:szCs w:val="22"/>
                  </w:rPr>
                </m:ctrlPr>
              </m:sSubPr>
              <m:e>
                <m:r>
                  <w:rPr>
                    <w:rFonts w:ascii="Cambria Math" w:hAnsi="Cambria Math" w:cs="Arial"/>
                    <w:sz w:val="22"/>
                    <w:szCs w:val="22"/>
                  </w:rPr>
                  <m:t>ATP]</m:t>
                </m:r>
              </m:e>
              <m:sub>
                <m:r>
                  <w:rPr>
                    <w:rFonts w:ascii="Cambria Math" w:hAnsi="Cambria Math" w:cs="Arial"/>
                    <w:sz w:val="22"/>
                    <w:szCs w:val="22"/>
                  </w:rPr>
                  <m:t>c</m:t>
                </m:r>
              </m:sub>
            </m:sSub>
          </m:num>
          <m:den>
            <m:r>
              <w:rPr>
                <w:rFonts w:ascii="Cambria Math" w:hAnsi="Cambria Math" w:cs="Arial"/>
                <w:sz w:val="22"/>
                <w:szCs w:val="22"/>
              </w:rPr>
              <m:t xml:space="preserve"> </m:t>
            </m:r>
            <m:sSub>
              <m:sSubPr>
                <m:ctrlPr>
                  <w:rPr>
                    <w:rFonts w:ascii="Cambria Math" w:eastAsia="Cambria Math" w:hAnsi="Cambria Math" w:cs="Cambria Math"/>
                    <w:i/>
                    <w:sz w:val="22"/>
                    <w:szCs w:val="22"/>
                  </w:rPr>
                </m:ctrlPr>
              </m:sSubPr>
              <m:e>
                <m:r>
                  <w:rPr>
                    <w:rFonts w:ascii="Cambria Math" w:hAnsi="Cambria Math" w:cs="Arial"/>
                    <w:sz w:val="22"/>
                    <w:szCs w:val="22"/>
                  </w:rPr>
                  <m:t>K</m:t>
                </m:r>
              </m:e>
              <m:sub>
                <m:r>
                  <w:rPr>
                    <w:rFonts w:ascii="Cambria Math" w:hAnsi="Cambria Math" w:cs="Arial"/>
                    <w:sz w:val="22"/>
                    <w:szCs w:val="22"/>
                  </w:rPr>
                  <m:t>h</m:t>
                </m:r>
              </m:sub>
            </m:sSub>
            <m:r>
              <w:rPr>
                <w:rFonts w:ascii="Cambria Math" w:hAnsi="Cambria Math" w:cs="Arial"/>
                <w:sz w:val="22"/>
                <w:szCs w:val="22"/>
              </w:rPr>
              <m:t>+ [</m:t>
            </m:r>
            <m:sSub>
              <m:sSubPr>
                <m:ctrlPr>
                  <w:rPr>
                    <w:rFonts w:ascii="Cambria Math" w:eastAsia="Cambria Math" w:hAnsi="Cambria Math" w:cs="Cambria Math"/>
                    <w:i/>
                    <w:sz w:val="22"/>
                    <w:szCs w:val="22"/>
                  </w:rPr>
                </m:ctrlPr>
              </m:sSubPr>
              <m:e>
                <m:r>
                  <w:rPr>
                    <w:rFonts w:ascii="Cambria Math" w:hAnsi="Cambria Math" w:cs="Arial"/>
                    <w:sz w:val="22"/>
                    <w:szCs w:val="22"/>
                  </w:rPr>
                  <m:t>ATP]</m:t>
                </m:r>
              </m:e>
              <m:sub>
                <m:r>
                  <w:rPr>
                    <w:rFonts w:ascii="Cambria Math" w:hAnsi="Cambria Math" w:cs="Arial"/>
                    <w:sz w:val="22"/>
                    <w:szCs w:val="22"/>
                  </w:rPr>
                  <m:t>c</m:t>
                </m:r>
              </m:sub>
            </m:sSub>
          </m:den>
        </m:f>
      </m:oMath>
      <w:r w:rsidR="00187C95">
        <w:rPr>
          <w:rFonts w:ascii="Arial" w:hAnsi="Arial" w:cs="Arial"/>
          <w:sz w:val="22"/>
          <w:szCs w:val="22"/>
        </w:rPr>
        <w:t>.</w:t>
      </w:r>
      <w:r w:rsidR="00150362">
        <w:rPr>
          <w:rFonts w:ascii="Arial" w:hAnsi="Arial" w:cs="Arial"/>
          <w:sz w:val="22"/>
          <w:szCs w:val="22"/>
        </w:rPr>
        <w:tab/>
      </w:r>
      <w:r w:rsidR="00150362">
        <w:rPr>
          <w:rFonts w:ascii="Arial" w:hAnsi="Arial" w:cs="Arial"/>
          <w:sz w:val="22"/>
          <w:szCs w:val="22"/>
        </w:rPr>
        <w:tab/>
        <w:t>(15)</w:t>
      </w:r>
      <w:r w:rsidR="00187C95">
        <w:rPr>
          <w:rFonts w:ascii="Arial" w:hAnsi="Arial" w:cs="Arial"/>
          <w:sz w:val="22"/>
          <w:szCs w:val="22"/>
        </w:rPr>
        <w:t xml:space="preserve">     </w:t>
      </w:r>
    </w:p>
    <w:p w14:paraId="148BAEF0" w14:textId="77777777" w:rsidR="00187C95" w:rsidRDefault="00187C95" w:rsidP="00187C95">
      <w:pPr>
        <w:spacing w:after="0" w:line="300" w:lineRule="auto"/>
        <w:jc w:val="both"/>
        <w:rPr>
          <w:rFonts w:ascii="Arial" w:hAnsi="Arial" w:cs="Arial"/>
          <w:sz w:val="22"/>
          <w:szCs w:val="22"/>
        </w:rPr>
      </w:pPr>
      <w:r>
        <w:rPr>
          <w:rFonts w:ascii="Arial" w:hAnsi="Arial" w:cs="Arial"/>
          <w:sz w:val="22"/>
          <w:szCs w:val="22"/>
        </w:rPr>
        <w:t xml:space="preserve">                                                                                         </w:t>
      </w:r>
    </w:p>
    <w:p w14:paraId="4DC2F844" w14:textId="77777777" w:rsidR="00187C95" w:rsidRDefault="00187C95" w:rsidP="00187C95">
      <w:pPr>
        <w:spacing w:after="0" w:line="300" w:lineRule="auto"/>
        <w:jc w:val="both"/>
        <w:rPr>
          <w:rFonts w:ascii="Arial" w:hAnsi="Arial" w:cs="Arial"/>
          <w:sz w:val="22"/>
          <w:szCs w:val="22"/>
        </w:rPr>
      </w:pPr>
      <w:r>
        <w:rPr>
          <w:rFonts w:ascii="Arial" w:hAnsi="Arial" w:cs="Arial"/>
          <w:sz w:val="22"/>
          <w:szCs w:val="22"/>
        </w:rPr>
        <w:t xml:space="preserve">The activity of SERCA and its dependence on ATP is formulated as </w:t>
      </w:r>
    </w:p>
    <w:p w14:paraId="4BBB22B1" w14:textId="77777777" w:rsidR="00150362" w:rsidRDefault="00150362" w:rsidP="00187C95">
      <w:pPr>
        <w:spacing w:after="0" w:line="300" w:lineRule="auto"/>
        <w:jc w:val="both"/>
        <w:rPr>
          <w:rFonts w:ascii="Arial" w:hAnsi="Arial" w:cs="Arial"/>
          <w:sz w:val="22"/>
          <w:szCs w:val="22"/>
        </w:rPr>
      </w:pPr>
    </w:p>
    <w:p w14:paraId="652EBFE8" w14:textId="77777777" w:rsidR="00150362" w:rsidRDefault="00DA725F" w:rsidP="00187C95">
      <w:pPr>
        <w:spacing w:after="0" w:line="300" w:lineRule="auto"/>
        <w:jc w:val="both"/>
        <w:rPr>
          <w:rFonts w:ascii="Arial" w:hAnsi="Arial" w:cs="Arial"/>
          <w:sz w:val="22"/>
          <w:szCs w:val="22"/>
        </w:rPr>
      </w:pPr>
      <m:oMath>
        <m:sSub>
          <m:sSubPr>
            <m:ctrlPr>
              <w:rPr>
                <w:rFonts w:ascii="Cambria Math" w:eastAsia="Cambria Math" w:hAnsi="Cambria Math" w:cs="Cambria Math"/>
                <w:i/>
                <w:sz w:val="22"/>
                <w:szCs w:val="22"/>
              </w:rPr>
            </m:ctrlPr>
          </m:sSubPr>
          <m:e>
            <m:r>
              <w:rPr>
                <w:rFonts w:ascii="Cambria Math" w:hAnsi="Cambria Math" w:cs="Arial"/>
                <w:sz w:val="22"/>
                <w:szCs w:val="22"/>
              </w:rPr>
              <m:t>V</m:t>
            </m:r>
          </m:e>
          <m:sub>
            <m:r>
              <w:rPr>
                <w:rFonts w:ascii="Cambria Math" w:hAnsi="Cambria Math" w:cs="Arial"/>
                <w:sz w:val="22"/>
                <w:szCs w:val="22"/>
              </w:rPr>
              <m:t>SERCA</m:t>
            </m:r>
          </m:sub>
        </m:sSub>
        <m:r>
          <w:rPr>
            <w:rFonts w:ascii="Cambria Math" w:hAnsi="Cambria Math" w:cs="Arial"/>
            <w:sz w:val="22"/>
            <w:szCs w:val="22"/>
          </w:rPr>
          <m:t xml:space="preserve">= </m:t>
        </m:r>
        <m:sSub>
          <m:sSubPr>
            <m:ctrlPr>
              <w:rPr>
                <w:rFonts w:ascii="Cambria Math" w:eastAsia="Cambria Math" w:hAnsi="Cambria Math" w:cs="Cambria Math"/>
                <w:i/>
                <w:sz w:val="22"/>
                <w:szCs w:val="22"/>
              </w:rPr>
            </m:ctrlPr>
          </m:sSubPr>
          <m:e>
            <m:r>
              <w:rPr>
                <w:rFonts w:ascii="Cambria Math" w:hAnsi="Cambria Math" w:cs="Arial"/>
                <w:sz w:val="22"/>
                <w:szCs w:val="22"/>
              </w:rPr>
              <m:t>v</m:t>
            </m:r>
          </m:e>
          <m:sub>
            <m:r>
              <w:rPr>
                <w:rFonts w:ascii="Cambria Math" w:hAnsi="Cambria Math" w:cs="Arial"/>
                <w:sz w:val="22"/>
                <w:szCs w:val="22"/>
              </w:rPr>
              <m:t>P</m:t>
            </m:r>
          </m:sub>
        </m:sSub>
        <m:f>
          <m:fPr>
            <m:ctrlPr>
              <w:rPr>
                <w:rFonts w:ascii="Cambria Math" w:eastAsia="Cambria Math" w:hAnsi="Cambria Math" w:cs="Cambria Math"/>
                <w:i/>
                <w:sz w:val="22"/>
                <w:szCs w:val="22"/>
              </w:rPr>
            </m:ctrlPr>
          </m:fPr>
          <m:num>
            <m:sSubSup>
              <m:sSubSupPr>
                <m:ctrlPr>
                  <w:rPr>
                    <w:rFonts w:ascii="Cambria Math" w:eastAsia="Cambria Math" w:hAnsi="Cambria Math" w:cs="Cambria Math"/>
                    <w:i/>
                    <w:sz w:val="22"/>
                    <w:szCs w:val="22"/>
                  </w:rPr>
                </m:ctrlPr>
              </m:sSubSupPr>
              <m:e>
                <m:sSup>
                  <m:sSupPr>
                    <m:ctrlPr>
                      <w:rPr>
                        <w:rFonts w:ascii="Cambria Math" w:eastAsia="Cambria Math" w:hAnsi="Cambria Math" w:cs="Cambria Math"/>
                        <w:i/>
                        <w:sz w:val="22"/>
                        <w:szCs w:val="22"/>
                      </w:rPr>
                    </m:ctrlPr>
                  </m:sSupPr>
                  <m:e>
                    <m:r>
                      <w:rPr>
                        <w:rFonts w:ascii="Cambria Math" w:hAnsi="Cambria Math" w:cs="Arial"/>
                        <w:sz w:val="22"/>
                        <w:szCs w:val="22"/>
                      </w:rPr>
                      <m:t>[Ca</m:t>
                    </m:r>
                  </m:e>
                  <m:sup>
                    <m:r>
                      <w:rPr>
                        <w:rFonts w:ascii="Cambria Math" w:hAnsi="Cambria Math" w:cs="Arial"/>
                        <w:sz w:val="22"/>
                        <w:szCs w:val="22"/>
                      </w:rPr>
                      <m:t>2+</m:t>
                    </m:r>
                  </m:sup>
                </m:sSup>
                <m:r>
                  <w:rPr>
                    <w:rFonts w:ascii="Cambria Math" w:hAnsi="Cambria Math" w:cs="Arial"/>
                    <w:sz w:val="22"/>
                    <w:szCs w:val="22"/>
                  </w:rPr>
                  <m:t>]</m:t>
                </m:r>
              </m:e>
              <m:sub>
                <m:r>
                  <w:rPr>
                    <w:rFonts w:ascii="Cambria Math" w:hAnsi="Cambria Math" w:cs="Arial"/>
                    <w:sz w:val="22"/>
                    <w:szCs w:val="22"/>
                  </w:rPr>
                  <m:t>c</m:t>
                </m:r>
              </m:sub>
              <m:sup>
                <m:r>
                  <w:rPr>
                    <w:rFonts w:ascii="Cambria Math" w:hAnsi="Cambria Math" w:cs="Arial"/>
                    <w:sz w:val="22"/>
                    <w:szCs w:val="22"/>
                  </w:rPr>
                  <m:t>2</m:t>
                </m:r>
              </m:sup>
            </m:sSubSup>
          </m:num>
          <m:den>
            <m:sSubSup>
              <m:sSubSupPr>
                <m:ctrlPr>
                  <w:rPr>
                    <w:rFonts w:ascii="Cambria Math" w:eastAsia="Cambria Math" w:hAnsi="Cambria Math" w:cs="Cambria Math"/>
                    <w:i/>
                    <w:sz w:val="22"/>
                    <w:szCs w:val="22"/>
                  </w:rPr>
                </m:ctrlPr>
              </m:sSubSupPr>
              <m:e>
                <m:r>
                  <w:rPr>
                    <w:rFonts w:ascii="Cambria Math" w:hAnsi="Cambria Math" w:cs="Arial"/>
                    <w:sz w:val="22"/>
                    <w:szCs w:val="22"/>
                  </w:rPr>
                  <m:t>K</m:t>
                </m:r>
              </m:e>
              <m:sub>
                <m:r>
                  <w:rPr>
                    <w:rFonts w:ascii="Cambria Math" w:hAnsi="Cambria Math" w:cs="Arial"/>
                    <w:sz w:val="22"/>
                    <w:szCs w:val="22"/>
                  </w:rPr>
                  <m:t>P</m:t>
                </m:r>
              </m:sub>
              <m:sup>
                <m:r>
                  <w:rPr>
                    <w:rFonts w:ascii="Cambria Math" w:hAnsi="Cambria Math" w:cs="Arial"/>
                    <w:sz w:val="22"/>
                    <w:szCs w:val="22"/>
                  </w:rPr>
                  <m:t>2</m:t>
                </m:r>
              </m:sup>
            </m:sSubSup>
            <m:r>
              <w:rPr>
                <w:rFonts w:ascii="Cambria Math" w:hAnsi="Cambria Math" w:cs="Arial"/>
                <w:sz w:val="22"/>
                <w:szCs w:val="22"/>
              </w:rPr>
              <m:t xml:space="preserve">+ </m:t>
            </m:r>
            <m:sSubSup>
              <m:sSubSupPr>
                <m:ctrlPr>
                  <w:rPr>
                    <w:rFonts w:ascii="Cambria Math" w:eastAsia="Cambria Math" w:hAnsi="Cambria Math" w:cs="Cambria Math"/>
                    <w:i/>
                    <w:sz w:val="22"/>
                    <w:szCs w:val="22"/>
                  </w:rPr>
                </m:ctrlPr>
              </m:sSubSupPr>
              <m:e>
                <m:sSup>
                  <m:sSupPr>
                    <m:ctrlPr>
                      <w:rPr>
                        <w:rFonts w:ascii="Cambria Math" w:eastAsia="Cambria Math" w:hAnsi="Cambria Math" w:cs="Cambria Math"/>
                        <w:i/>
                        <w:sz w:val="22"/>
                        <w:szCs w:val="22"/>
                      </w:rPr>
                    </m:ctrlPr>
                  </m:sSupPr>
                  <m:e>
                    <m:r>
                      <w:rPr>
                        <w:rFonts w:ascii="Cambria Math" w:hAnsi="Cambria Math" w:cs="Arial"/>
                        <w:sz w:val="22"/>
                        <w:szCs w:val="22"/>
                      </w:rPr>
                      <m:t>[Ca</m:t>
                    </m:r>
                  </m:e>
                  <m:sup>
                    <m:r>
                      <w:rPr>
                        <w:rFonts w:ascii="Cambria Math" w:hAnsi="Cambria Math" w:cs="Arial"/>
                        <w:sz w:val="22"/>
                        <w:szCs w:val="22"/>
                      </w:rPr>
                      <m:t>2+</m:t>
                    </m:r>
                  </m:sup>
                </m:sSup>
                <m:r>
                  <w:rPr>
                    <w:rFonts w:ascii="Cambria Math" w:hAnsi="Cambria Math" w:cs="Arial"/>
                    <w:sz w:val="22"/>
                    <w:szCs w:val="22"/>
                  </w:rPr>
                  <m:t>]</m:t>
                </m:r>
              </m:e>
              <m:sub>
                <m:r>
                  <w:rPr>
                    <w:rFonts w:ascii="Cambria Math" w:hAnsi="Cambria Math" w:cs="Arial"/>
                    <w:sz w:val="22"/>
                    <w:szCs w:val="22"/>
                  </w:rPr>
                  <m:t>c</m:t>
                </m:r>
              </m:sub>
              <m:sup>
                <m:r>
                  <w:rPr>
                    <w:rFonts w:ascii="Cambria Math" w:hAnsi="Cambria Math" w:cs="Arial"/>
                    <w:sz w:val="22"/>
                    <w:szCs w:val="22"/>
                  </w:rPr>
                  <m:t>2</m:t>
                </m:r>
              </m:sup>
            </m:sSubSup>
          </m:den>
        </m:f>
        <m:f>
          <m:fPr>
            <m:ctrlPr>
              <w:rPr>
                <w:rFonts w:ascii="Cambria Math" w:eastAsia="Cambria Math" w:hAnsi="Cambria Math" w:cs="Cambria Math"/>
                <w:i/>
                <w:sz w:val="22"/>
                <w:szCs w:val="22"/>
              </w:rPr>
            </m:ctrlPr>
          </m:fPr>
          <m:num>
            <m:sSub>
              <m:sSubPr>
                <m:ctrlPr>
                  <w:rPr>
                    <w:rFonts w:ascii="Cambria Math" w:eastAsia="Cambria Math" w:hAnsi="Cambria Math" w:cs="Cambria Math"/>
                    <w:i/>
                    <w:sz w:val="22"/>
                    <w:szCs w:val="22"/>
                  </w:rPr>
                </m:ctrlPr>
              </m:sSubPr>
              <m:e>
                <m:r>
                  <w:rPr>
                    <w:rFonts w:ascii="Cambria Math" w:hAnsi="Cambria Math" w:cs="Arial"/>
                    <w:sz w:val="22"/>
                    <w:szCs w:val="22"/>
                  </w:rPr>
                  <m:t>[ATP]</m:t>
                </m:r>
              </m:e>
              <m:sub>
                <m:r>
                  <w:rPr>
                    <w:rFonts w:ascii="Cambria Math" w:hAnsi="Cambria Math" w:cs="Arial"/>
                    <w:sz w:val="22"/>
                    <w:szCs w:val="22"/>
                  </w:rPr>
                  <m:t>c</m:t>
                </m:r>
              </m:sub>
            </m:sSub>
          </m:num>
          <m:den>
            <m:sSub>
              <m:sSubPr>
                <m:ctrlPr>
                  <w:rPr>
                    <w:rFonts w:ascii="Cambria Math" w:eastAsia="Cambria Math" w:hAnsi="Cambria Math" w:cs="Cambria Math"/>
                    <w:i/>
                    <w:sz w:val="22"/>
                    <w:szCs w:val="22"/>
                  </w:rPr>
                </m:ctrlPr>
              </m:sSubPr>
              <m:e>
                <m:r>
                  <w:rPr>
                    <w:rFonts w:ascii="Cambria Math" w:hAnsi="Cambria Math" w:cs="Arial"/>
                    <w:sz w:val="22"/>
                    <w:szCs w:val="22"/>
                  </w:rPr>
                  <m:t>K</m:t>
                </m:r>
              </m:e>
              <m:sub>
                <m:r>
                  <w:rPr>
                    <w:rFonts w:ascii="Cambria Math" w:hAnsi="Cambria Math" w:cs="Arial"/>
                    <w:sz w:val="22"/>
                    <w:szCs w:val="22"/>
                  </w:rPr>
                  <m:t>e</m:t>
                </m:r>
              </m:sub>
            </m:sSub>
            <m:r>
              <w:rPr>
                <w:rFonts w:ascii="Cambria Math" w:hAnsi="Cambria Math" w:cs="Arial"/>
                <w:sz w:val="22"/>
                <w:szCs w:val="22"/>
              </w:rPr>
              <m:t xml:space="preserve">+ </m:t>
            </m:r>
            <m:sSub>
              <m:sSubPr>
                <m:ctrlPr>
                  <w:rPr>
                    <w:rFonts w:ascii="Cambria Math" w:eastAsia="Cambria Math" w:hAnsi="Cambria Math" w:cs="Cambria Math"/>
                    <w:i/>
                    <w:sz w:val="22"/>
                    <w:szCs w:val="22"/>
                  </w:rPr>
                </m:ctrlPr>
              </m:sSubPr>
              <m:e>
                <m:r>
                  <w:rPr>
                    <w:rFonts w:ascii="Cambria Math" w:hAnsi="Cambria Math" w:cs="Arial"/>
                    <w:sz w:val="22"/>
                    <w:szCs w:val="22"/>
                  </w:rPr>
                  <m:t>[ATP]</m:t>
                </m:r>
              </m:e>
              <m:sub>
                <m:r>
                  <w:rPr>
                    <w:rFonts w:ascii="Cambria Math" w:hAnsi="Cambria Math" w:cs="Arial"/>
                    <w:sz w:val="22"/>
                    <w:szCs w:val="22"/>
                  </w:rPr>
                  <m:t>c</m:t>
                </m:r>
              </m:sub>
            </m:sSub>
          </m:den>
        </m:f>
      </m:oMath>
      <w:bookmarkStart w:id="4" w:name="_Hlk97685563"/>
      <w:bookmarkEnd w:id="4"/>
      <w:r w:rsidR="00187C95">
        <w:rPr>
          <w:rFonts w:ascii="Arial" w:hAnsi="Arial" w:cs="Arial"/>
          <w:sz w:val="22"/>
          <w:szCs w:val="22"/>
        </w:rPr>
        <w:t>.</w:t>
      </w:r>
      <w:r w:rsidR="00150362">
        <w:rPr>
          <w:rFonts w:ascii="Arial" w:hAnsi="Arial" w:cs="Arial"/>
          <w:sz w:val="22"/>
          <w:szCs w:val="22"/>
        </w:rPr>
        <w:tab/>
      </w:r>
      <w:r w:rsidR="00150362">
        <w:rPr>
          <w:rFonts w:ascii="Arial" w:hAnsi="Arial" w:cs="Arial"/>
          <w:sz w:val="22"/>
          <w:szCs w:val="22"/>
        </w:rPr>
        <w:tab/>
        <w:t>(16)</w:t>
      </w:r>
    </w:p>
    <w:p w14:paraId="4D851ECB" w14:textId="77777777" w:rsidR="00187C95" w:rsidRDefault="00187C95" w:rsidP="00187C95">
      <w:pPr>
        <w:spacing w:after="0" w:line="300" w:lineRule="auto"/>
        <w:jc w:val="both"/>
        <w:rPr>
          <w:rFonts w:ascii="Arial" w:hAnsi="Arial" w:cs="Arial"/>
          <w:sz w:val="22"/>
          <w:szCs w:val="22"/>
        </w:rPr>
      </w:pPr>
      <w:r>
        <w:rPr>
          <w:rFonts w:ascii="Arial" w:hAnsi="Arial" w:cs="Arial"/>
          <w:sz w:val="22"/>
          <w:szCs w:val="22"/>
        </w:rPr>
        <w:t xml:space="preserve">                                                                                              </w:t>
      </w:r>
    </w:p>
    <w:p w14:paraId="06FB20B9" w14:textId="77777777" w:rsidR="00187C95" w:rsidRDefault="00187C95" w:rsidP="00187C95">
      <w:pPr>
        <w:spacing w:after="0" w:line="300" w:lineRule="auto"/>
        <w:jc w:val="both"/>
        <w:rPr>
          <w:rFonts w:ascii="Arial" w:hAnsi="Arial" w:cs="Arial"/>
          <w:sz w:val="22"/>
          <w:szCs w:val="22"/>
        </w:rPr>
      </w:pPr>
      <w:r>
        <w:rPr>
          <w:rFonts w:ascii="Arial" w:hAnsi="Arial" w:cs="Arial"/>
          <w:sz w:val="22"/>
          <w:szCs w:val="22"/>
        </w:rPr>
        <w:t>The Ohmic mitochondrial proton leak is given as</w:t>
      </w:r>
    </w:p>
    <w:p w14:paraId="6B231DEA" w14:textId="77777777" w:rsidR="00187C95" w:rsidRDefault="00DA725F" w:rsidP="00187C95">
      <w:pPr>
        <w:spacing w:after="0" w:line="300" w:lineRule="auto"/>
        <w:jc w:val="both"/>
        <w:rPr>
          <w:rFonts w:ascii="Arial" w:hAnsi="Arial" w:cs="Arial"/>
          <w:sz w:val="22"/>
          <w:szCs w:val="22"/>
        </w:rPr>
      </w:pPr>
      <m:oMath>
        <m:sSub>
          <m:sSubPr>
            <m:ctrlPr>
              <w:rPr>
                <w:rFonts w:ascii="Cambria Math" w:eastAsia="Cambria Math" w:hAnsi="Cambria Math" w:cs="Cambria Math"/>
                <w:i/>
                <w:sz w:val="22"/>
                <w:szCs w:val="22"/>
              </w:rPr>
            </m:ctrlPr>
          </m:sSubPr>
          <m:e>
            <m:r>
              <w:rPr>
                <w:rFonts w:ascii="Cambria Math" w:hAnsi="Cambria Math" w:cs="Arial"/>
                <w:sz w:val="22"/>
                <w:szCs w:val="22"/>
              </w:rPr>
              <m:t>J</m:t>
            </m:r>
          </m:e>
          <m:sub>
            <m:r>
              <w:rPr>
                <w:rFonts w:ascii="Cambria Math" w:hAnsi="Cambria Math" w:cs="Arial"/>
                <w:sz w:val="22"/>
                <w:szCs w:val="22"/>
              </w:rPr>
              <m:t>H,LEAK</m:t>
            </m:r>
          </m:sub>
        </m:sSub>
        <m:r>
          <w:rPr>
            <w:rFonts w:ascii="Cambria Math" w:hAnsi="Cambria Math" w:cs="Arial"/>
            <w:sz w:val="22"/>
            <w:szCs w:val="22"/>
          </w:rPr>
          <m:t xml:space="preserve">= </m:t>
        </m:r>
        <m:sSub>
          <m:sSubPr>
            <m:ctrlPr>
              <w:rPr>
                <w:rFonts w:ascii="Cambria Math" w:eastAsia="Cambria Math" w:hAnsi="Cambria Math" w:cs="Cambria Math"/>
                <w:i/>
                <w:sz w:val="22"/>
                <w:szCs w:val="22"/>
              </w:rPr>
            </m:ctrlPr>
          </m:sSubPr>
          <m:e>
            <m:r>
              <w:rPr>
                <w:rFonts w:ascii="Cambria Math" w:hAnsi="Cambria Math" w:cs="Arial"/>
                <w:sz w:val="22"/>
                <w:szCs w:val="22"/>
              </w:rPr>
              <m:t>q</m:t>
            </m:r>
          </m:e>
          <m:sub>
            <m:r>
              <w:rPr>
                <w:rFonts w:ascii="Cambria Math" w:hAnsi="Cambria Math" w:cs="Arial"/>
                <w:sz w:val="22"/>
                <w:szCs w:val="22"/>
              </w:rPr>
              <m:t>9</m:t>
            </m:r>
          </m:sub>
        </m:sSub>
        <m:r>
          <w:rPr>
            <w:rFonts w:ascii="Cambria Math" w:hAnsi="Cambria Math" w:cs="Arial"/>
            <w:sz w:val="22"/>
            <w:szCs w:val="22"/>
          </w:rPr>
          <m:t xml:space="preserve">∆ψ+ </m:t>
        </m:r>
        <m:sSub>
          <m:sSubPr>
            <m:ctrlPr>
              <w:rPr>
                <w:rFonts w:ascii="Cambria Math" w:eastAsia="Cambria Math" w:hAnsi="Cambria Math" w:cs="Cambria Math"/>
                <w:i/>
                <w:sz w:val="22"/>
                <w:szCs w:val="22"/>
              </w:rPr>
            </m:ctrlPr>
          </m:sSubPr>
          <m:e>
            <m:r>
              <w:rPr>
                <w:rFonts w:ascii="Cambria Math" w:hAnsi="Cambria Math" w:cs="Arial"/>
                <w:sz w:val="22"/>
                <w:szCs w:val="22"/>
              </w:rPr>
              <m:t>q</m:t>
            </m:r>
          </m:e>
          <m:sub>
            <m:r>
              <w:rPr>
                <w:rFonts w:ascii="Cambria Math" w:hAnsi="Cambria Math" w:cs="Arial"/>
                <w:sz w:val="22"/>
                <w:szCs w:val="22"/>
              </w:rPr>
              <m:t>10</m:t>
            </m:r>
          </m:sub>
        </m:sSub>
      </m:oMath>
      <w:r w:rsidR="00187C95">
        <w:rPr>
          <w:rFonts w:ascii="Arial" w:hAnsi="Arial" w:cs="Arial"/>
          <w:sz w:val="22"/>
          <w:szCs w:val="22"/>
        </w:rPr>
        <w:t>.</w:t>
      </w:r>
      <w:r w:rsidR="00150362">
        <w:rPr>
          <w:rFonts w:ascii="Arial" w:hAnsi="Arial" w:cs="Arial"/>
          <w:sz w:val="22"/>
          <w:szCs w:val="22"/>
        </w:rPr>
        <w:tab/>
      </w:r>
      <w:r w:rsidR="00150362">
        <w:rPr>
          <w:rFonts w:ascii="Arial" w:hAnsi="Arial" w:cs="Arial"/>
          <w:sz w:val="22"/>
          <w:szCs w:val="22"/>
        </w:rPr>
        <w:tab/>
      </w:r>
      <w:r w:rsidR="00150362">
        <w:rPr>
          <w:rFonts w:ascii="Arial" w:hAnsi="Arial" w:cs="Arial"/>
          <w:sz w:val="22"/>
          <w:szCs w:val="22"/>
        </w:rPr>
        <w:tab/>
        <w:t>(17)</w:t>
      </w:r>
      <w:r w:rsidR="00187C95">
        <w:rPr>
          <w:rFonts w:ascii="Arial" w:hAnsi="Arial" w:cs="Arial"/>
          <w:sz w:val="22"/>
          <w:szCs w:val="22"/>
        </w:rPr>
        <w:t xml:space="preserve">                                                                                                              </w:t>
      </w:r>
    </w:p>
    <w:p w14:paraId="3D3F8980" w14:textId="77777777" w:rsidR="00150362" w:rsidRDefault="00150362" w:rsidP="00187C95">
      <w:pPr>
        <w:spacing w:after="0" w:line="300" w:lineRule="auto"/>
        <w:jc w:val="both"/>
        <w:rPr>
          <w:rFonts w:ascii="Arial" w:hAnsi="Arial" w:cs="Arial"/>
          <w:sz w:val="22"/>
          <w:szCs w:val="22"/>
        </w:rPr>
      </w:pPr>
    </w:p>
    <w:p w14:paraId="498AD821" w14:textId="77777777" w:rsidR="00187C95" w:rsidRDefault="00187C95" w:rsidP="00187C95">
      <w:pPr>
        <w:spacing w:after="0" w:line="300" w:lineRule="auto"/>
        <w:jc w:val="both"/>
        <w:rPr>
          <w:rFonts w:ascii="Arial" w:hAnsi="Arial" w:cs="Arial"/>
          <w:sz w:val="22"/>
          <w:szCs w:val="22"/>
        </w:rPr>
      </w:pPr>
      <w:r>
        <w:rPr>
          <w:rFonts w:ascii="Arial" w:hAnsi="Arial" w:cs="Arial"/>
          <w:sz w:val="22"/>
          <w:szCs w:val="22"/>
        </w:rPr>
        <w:t>Finally, the total NADH, ADP, and ATP in the mitochondria and cytosol are given by conservation equations. That is,</w:t>
      </w:r>
    </w:p>
    <w:p w14:paraId="6E9241A7" w14:textId="77777777" w:rsidR="00150362" w:rsidRDefault="00150362" w:rsidP="00187C95">
      <w:pPr>
        <w:spacing w:after="0" w:line="300" w:lineRule="auto"/>
        <w:jc w:val="both"/>
        <w:rPr>
          <w:rFonts w:ascii="Arial" w:hAnsi="Arial" w:cs="Arial"/>
          <w:sz w:val="22"/>
          <w:szCs w:val="22"/>
        </w:rPr>
      </w:pPr>
    </w:p>
    <w:p w14:paraId="7BED916F" w14:textId="77777777" w:rsidR="00150362" w:rsidRDefault="00DA725F" w:rsidP="00187C95">
      <w:pPr>
        <w:spacing w:after="0" w:line="300" w:lineRule="auto"/>
        <w:jc w:val="both"/>
        <w:rPr>
          <w:rFonts w:ascii="Arial" w:hAnsi="Arial" w:cs="Arial"/>
          <w:sz w:val="22"/>
          <w:szCs w:val="22"/>
        </w:rPr>
      </w:pPr>
      <m:oMath>
        <m:sSub>
          <m:sSubPr>
            <m:ctrlPr>
              <w:rPr>
                <w:rFonts w:ascii="Cambria Math" w:eastAsia="Cambria Math" w:hAnsi="Cambria Math" w:cs="Cambria Math"/>
                <w:i/>
                <w:sz w:val="22"/>
                <w:szCs w:val="22"/>
              </w:rPr>
            </m:ctrlPr>
          </m:sSubPr>
          <m:e>
            <m:r>
              <w:rPr>
                <w:rFonts w:ascii="Cambria Math" w:hAnsi="Cambria Math" w:cs="Arial"/>
                <w:sz w:val="22"/>
                <w:szCs w:val="22"/>
              </w:rPr>
              <m:t>[NADH]</m:t>
            </m:r>
          </m:e>
          <m:sub>
            <m:r>
              <w:rPr>
                <w:rFonts w:ascii="Cambria Math" w:hAnsi="Cambria Math" w:cs="Arial"/>
                <w:sz w:val="22"/>
                <w:szCs w:val="22"/>
              </w:rPr>
              <m:t>m</m:t>
            </m:r>
          </m:sub>
        </m:sSub>
        <m:r>
          <w:rPr>
            <w:rFonts w:ascii="Cambria Math" w:hAnsi="Cambria Math" w:cs="Arial"/>
            <w:sz w:val="22"/>
            <w:szCs w:val="22"/>
          </w:rPr>
          <m:t xml:space="preserve">+ </m:t>
        </m:r>
        <m:sSub>
          <m:sSubPr>
            <m:ctrlPr>
              <w:rPr>
                <w:rFonts w:ascii="Cambria Math" w:eastAsia="Cambria Math" w:hAnsi="Cambria Math" w:cs="Cambria Math"/>
                <w:i/>
                <w:sz w:val="22"/>
                <w:szCs w:val="22"/>
              </w:rPr>
            </m:ctrlPr>
          </m:sSubPr>
          <m:e>
            <m:r>
              <w:rPr>
                <w:rFonts w:ascii="Cambria Math" w:hAnsi="Cambria Math" w:cs="Arial"/>
                <w:sz w:val="22"/>
                <w:szCs w:val="22"/>
              </w:rPr>
              <m:t>[</m:t>
            </m:r>
            <m:sSup>
              <m:sSupPr>
                <m:ctrlPr>
                  <w:rPr>
                    <w:rFonts w:ascii="Cambria Math" w:eastAsia="Cambria Math" w:hAnsi="Cambria Math" w:cs="Cambria Math"/>
                    <w:i/>
                    <w:sz w:val="22"/>
                    <w:szCs w:val="22"/>
                  </w:rPr>
                </m:ctrlPr>
              </m:sSupPr>
              <m:e>
                <m:r>
                  <w:rPr>
                    <w:rFonts w:ascii="Cambria Math" w:hAnsi="Cambria Math" w:cs="Arial"/>
                    <w:sz w:val="22"/>
                    <w:szCs w:val="22"/>
                  </w:rPr>
                  <m:t>NAD</m:t>
                </m:r>
              </m:e>
              <m:sup>
                <m:r>
                  <w:rPr>
                    <w:rFonts w:ascii="Cambria Math" w:hAnsi="Cambria Math" w:cs="Arial"/>
                    <w:sz w:val="22"/>
                    <w:szCs w:val="22"/>
                  </w:rPr>
                  <m:t>+</m:t>
                </m:r>
              </m:sup>
            </m:sSup>
            <m:r>
              <w:rPr>
                <w:rFonts w:ascii="Cambria Math" w:hAnsi="Cambria Math" w:cs="Arial"/>
                <w:sz w:val="22"/>
                <w:szCs w:val="22"/>
              </w:rPr>
              <m:t>]</m:t>
            </m:r>
          </m:e>
          <m:sub>
            <m:r>
              <w:rPr>
                <w:rFonts w:ascii="Cambria Math" w:hAnsi="Cambria Math" w:cs="Arial"/>
                <w:sz w:val="22"/>
                <w:szCs w:val="22"/>
              </w:rPr>
              <m:t>m</m:t>
            </m:r>
          </m:sub>
        </m:sSub>
        <m:r>
          <w:rPr>
            <w:rFonts w:ascii="Cambria Math" w:hAnsi="Cambria Math" w:cs="Arial"/>
            <w:sz w:val="22"/>
            <w:szCs w:val="22"/>
          </w:rPr>
          <m:t xml:space="preserve">= </m:t>
        </m:r>
        <m:sSubSup>
          <m:sSubSupPr>
            <m:ctrlPr>
              <w:rPr>
                <w:rFonts w:ascii="Cambria Math" w:eastAsia="Cambria Math" w:hAnsi="Cambria Math" w:cs="Cambria Math"/>
                <w:i/>
                <w:sz w:val="22"/>
                <w:szCs w:val="22"/>
              </w:rPr>
            </m:ctrlPr>
          </m:sSubSupPr>
          <m:e>
            <m:r>
              <w:rPr>
                <w:rFonts w:ascii="Cambria Math" w:hAnsi="Cambria Math" w:cs="Arial"/>
                <w:sz w:val="22"/>
                <w:szCs w:val="22"/>
              </w:rPr>
              <m:t>[NAD]</m:t>
            </m:r>
          </m:e>
          <m:sub>
            <m:r>
              <w:rPr>
                <w:rFonts w:ascii="Cambria Math" w:hAnsi="Cambria Math" w:cs="Arial"/>
                <w:sz w:val="22"/>
                <w:szCs w:val="22"/>
              </w:rPr>
              <m:t>m</m:t>
            </m:r>
          </m:sub>
          <m:sup>
            <m:r>
              <w:rPr>
                <w:rFonts w:ascii="Cambria Math" w:hAnsi="Cambria Math" w:cs="Arial"/>
                <w:sz w:val="22"/>
                <w:szCs w:val="22"/>
              </w:rPr>
              <m:t>TOT</m:t>
            </m:r>
          </m:sup>
        </m:sSubSup>
        <m:r>
          <w:rPr>
            <w:rFonts w:ascii="Cambria Math" w:hAnsi="Cambria Math" w:cs="Arial"/>
            <w:sz w:val="22"/>
            <w:szCs w:val="22"/>
          </w:rPr>
          <m:t xml:space="preserve"> </m:t>
        </m:r>
      </m:oMath>
      <w:r w:rsidR="00187C95">
        <w:rPr>
          <w:rFonts w:ascii="Arial" w:hAnsi="Arial" w:cs="Arial"/>
          <w:sz w:val="22"/>
          <w:szCs w:val="22"/>
        </w:rPr>
        <w:t>,</w:t>
      </w:r>
      <w:r w:rsidR="00150362">
        <w:rPr>
          <w:rFonts w:ascii="Arial" w:hAnsi="Arial" w:cs="Arial"/>
          <w:sz w:val="22"/>
          <w:szCs w:val="22"/>
        </w:rPr>
        <w:tab/>
      </w:r>
      <w:r w:rsidR="00150362">
        <w:rPr>
          <w:rFonts w:ascii="Arial" w:hAnsi="Arial" w:cs="Arial"/>
          <w:sz w:val="22"/>
          <w:szCs w:val="22"/>
        </w:rPr>
        <w:tab/>
        <w:t>(18)</w:t>
      </w:r>
    </w:p>
    <w:p w14:paraId="63F15392" w14:textId="77777777" w:rsidR="00187C95" w:rsidRDefault="00187C95" w:rsidP="00187C95">
      <w:pPr>
        <w:spacing w:after="0" w:line="300" w:lineRule="auto"/>
        <w:jc w:val="both"/>
        <w:rPr>
          <w:rFonts w:ascii="Arial" w:hAnsi="Arial" w:cs="Arial"/>
          <w:sz w:val="22"/>
          <w:szCs w:val="22"/>
        </w:rPr>
      </w:pPr>
      <w:r>
        <w:rPr>
          <w:rFonts w:ascii="Arial" w:hAnsi="Arial" w:cs="Arial"/>
          <w:sz w:val="22"/>
          <w:szCs w:val="22"/>
        </w:rPr>
        <w:t xml:space="preserve">                                                                                     </w:t>
      </w:r>
    </w:p>
    <w:p w14:paraId="3C1FF8CF" w14:textId="77777777" w:rsidR="00150362" w:rsidRDefault="00DA725F" w:rsidP="00187C95">
      <w:pPr>
        <w:spacing w:after="0" w:line="300" w:lineRule="auto"/>
        <w:jc w:val="both"/>
        <w:rPr>
          <w:rFonts w:ascii="Arial" w:hAnsi="Arial" w:cs="Arial"/>
          <w:sz w:val="22"/>
          <w:szCs w:val="22"/>
        </w:rPr>
      </w:pPr>
      <m:oMath>
        <m:sSub>
          <m:sSubPr>
            <m:ctrlPr>
              <w:rPr>
                <w:rFonts w:ascii="Cambria Math" w:eastAsia="Cambria Math" w:hAnsi="Cambria Math" w:cs="Cambria Math"/>
                <w:i/>
                <w:sz w:val="22"/>
                <w:szCs w:val="22"/>
              </w:rPr>
            </m:ctrlPr>
          </m:sSubPr>
          <m:e>
            <m:r>
              <w:rPr>
                <w:rFonts w:ascii="Cambria Math" w:hAnsi="Cambria Math" w:cs="Arial"/>
                <w:sz w:val="22"/>
                <w:szCs w:val="22"/>
              </w:rPr>
              <m:t>[ADP]</m:t>
            </m:r>
          </m:e>
          <m:sub>
            <m:r>
              <w:rPr>
                <w:rFonts w:ascii="Cambria Math" w:hAnsi="Cambria Math" w:cs="Arial"/>
                <w:sz w:val="22"/>
                <w:szCs w:val="22"/>
              </w:rPr>
              <m:t>m</m:t>
            </m:r>
          </m:sub>
        </m:sSub>
        <m:r>
          <w:rPr>
            <w:rFonts w:ascii="Cambria Math" w:hAnsi="Cambria Math" w:cs="Arial"/>
            <w:sz w:val="22"/>
            <w:szCs w:val="22"/>
          </w:rPr>
          <m:t xml:space="preserve">+ </m:t>
        </m:r>
        <m:sSub>
          <m:sSubPr>
            <m:ctrlPr>
              <w:rPr>
                <w:rFonts w:ascii="Cambria Math" w:eastAsia="Cambria Math" w:hAnsi="Cambria Math" w:cs="Cambria Math"/>
                <w:i/>
                <w:sz w:val="22"/>
                <w:szCs w:val="22"/>
              </w:rPr>
            </m:ctrlPr>
          </m:sSubPr>
          <m:e>
            <m:r>
              <w:rPr>
                <w:rFonts w:ascii="Cambria Math" w:hAnsi="Cambria Math" w:cs="Arial"/>
                <w:sz w:val="22"/>
                <w:szCs w:val="22"/>
              </w:rPr>
              <m:t>[ATP]</m:t>
            </m:r>
          </m:e>
          <m:sub>
            <m:r>
              <w:rPr>
                <w:rFonts w:ascii="Cambria Math" w:hAnsi="Cambria Math" w:cs="Arial"/>
                <w:sz w:val="22"/>
                <w:szCs w:val="22"/>
              </w:rPr>
              <m:t>m</m:t>
            </m:r>
          </m:sub>
        </m:sSub>
        <m:r>
          <w:rPr>
            <w:rFonts w:ascii="Cambria Math" w:hAnsi="Cambria Math" w:cs="Arial"/>
            <w:sz w:val="22"/>
            <w:szCs w:val="22"/>
          </w:rPr>
          <m:t xml:space="preserve">= </m:t>
        </m:r>
        <m:sSubSup>
          <m:sSubSupPr>
            <m:ctrlPr>
              <w:rPr>
                <w:rFonts w:ascii="Cambria Math" w:eastAsia="Cambria Math" w:hAnsi="Cambria Math" w:cs="Cambria Math"/>
                <w:i/>
                <w:sz w:val="22"/>
                <w:szCs w:val="22"/>
              </w:rPr>
            </m:ctrlPr>
          </m:sSubSupPr>
          <m:e>
            <m:r>
              <w:rPr>
                <w:rFonts w:ascii="Cambria Math" w:hAnsi="Cambria Math" w:cs="Arial"/>
                <w:sz w:val="22"/>
                <w:szCs w:val="22"/>
              </w:rPr>
              <m:t>[A]</m:t>
            </m:r>
          </m:e>
          <m:sub>
            <m:r>
              <w:rPr>
                <w:rFonts w:ascii="Cambria Math" w:hAnsi="Cambria Math" w:cs="Arial"/>
                <w:sz w:val="22"/>
                <w:szCs w:val="22"/>
              </w:rPr>
              <m:t>m</m:t>
            </m:r>
          </m:sub>
          <m:sup>
            <m:r>
              <w:rPr>
                <w:rFonts w:ascii="Cambria Math" w:hAnsi="Cambria Math" w:cs="Arial"/>
                <w:sz w:val="22"/>
                <w:szCs w:val="22"/>
              </w:rPr>
              <m:t>TOT</m:t>
            </m:r>
          </m:sup>
        </m:sSubSup>
        <m:r>
          <w:rPr>
            <w:rFonts w:ascii="Cambria Math" w:hAnsi="Cambria Math" w:cs="Arial"/>
            <w:sz w:val="22"/>
            <w:szCs w:val="22"/>
          </w:rPr>
          <m:t xml:space="preserve"> </m:t>
        </m:r>
      </m:oMath>
      <w:r w:rsidR="00187C95">
        <w:rPr>
          <w:rFonts w:ascii="Arial" w:hAnsi="Arial" w:cs="Arial"/>
          <w:sz w:val="22"/>
          <w:szCs w:val="22"/>
        </w:rPr>
        <w:t>,</w:t>
      </w:r>
      <w:r w:rsidR="00150362">
        <w:rPr>
          <w:rFonts w:ascii="Arial" w:hAnsi="Arial" w:cs="Arial"/>
          <w:sz w:val="22"/>
          <w:szCs w:val="22"/>
        </w:rPr>
        <w:tab/>
      </w:r>
      <w:r w:rsidR="00150362">
        <w:rPr>
          <w:rFonts w:ascii="Arial" w:hAnsi="Arial" w:cs="Arial"/>
          <w:sz w:val="22"/>
          <w:szCs w:val="22"/>
        </w:rPr>
        <w:tab/>
        <w:t>(19)</w:t>
      </w:r>
    </w:p>
    <w:p w14:paraId="3198DED6" w14:textId="77777777" w:rsidR="00187C95" w:rsidRDefault="00187C95" w:rsidP="00187C95">
      <w:pPr>
        <w:spacing w:after="0" w:line="300" w:lineRule="auto"/>
        <w:jc w:val="both"/>
        <w:rPr>
          <w:rFonts w:ascii="Arial" w:hAnsi="Arial" w:cs="Arial"/>
          <w:sz w:val="22"/>
          <w:szCs w:val="22"/>
        </w:rPr>
      </w:pPr>
      <w:r>
        <w:rPr>
          <w:rFonts w:ascii="Arial" w:hAnsi="Arial" w:cs="Arial"/>
          <w:sz w:val="22"/>
          <w:szCs w:val="22"/>
        </w:rPr>
        <w:t xml:space="preserve">                                                                                                </w:t>
      </w:r>
    </w:p>
    <w:p w14:paraId="50A99614" w14:textId="77777777" w:rsidR="00150362" w:rsidRDefault="00DA725F" w:rsidP="00187C95">
      <w:pPr>
        <w:spacing w:after="0" w:line="300" w:lineRule="auto"/>
        <w:jc w:val="both"/>
        <w:rPr>
          <w:rFonts w:ascii="Arial" w:hAnsi="Arial" w:cs="Arial"/>
          <w:sz w:val="22"/>
          <w:szCs w:val="22"/>
        </w:rPr>
      </w:pPr>
      <m:oMath>
        <m:sSub>
          <m:sSubPr>
            <m:ctrlPr>
              <w:rPr>
                <w:rFonts w:ascii="Cambria Math" w:eastAsia="Cambria Math" w:hAnsi="Cambria Math" w:cs="Cambria Math"/>
                <w:i/>
                <w:sz w:val="22"/>
                <w:szCs w:val="22"/>
              </w:rPr>
            </m:ctrlPr>
          </m:sSubPr>
          <m:e>
            <m:r>
              <w:rPr>
                <w:rFonts w:ascii="Cambria Math" w:hAnsi="Cambria Math" w:cs="Arial"/>
                <w:sz w:val="22"/>
                <w:szCs w:val="22"/>
              </w:rPr>
              <m:t>[ADP]</m:t>
            </m:r>
          </m:e>
          <m:sub>
            <m:r>
              <w:rPr>
                <w:rFonts w:ascii="Cambria Math" w:hAnsi="Cambria Math" w:cs="Arial"/>
                <w:sz w:val="22"/>
                <w:szCs w:val="22"/>
              </w:rPr>
              <m:t>c</m:t>
            </m:r>
          </m:sub>
        </m:sSub>
        <m:r>
          <w:rPr>
            <w:rFonts w:ascii="Cambria Math" w:hAnsi="Cambria Math" w:cs="Arial"/>
            <w:sz w:val="22"/>
            <w:szCs w:val="22"/>
          </w:rPr>
          <m:t xml:space="preserve">+ </m:t>
        </m:r>
        <m:sSub>
          <m:sSubPr>
            <m:ctrlPr>
              <w:rPr>
                <w:rFonts w:ascii="Cambria Math" w:eastAsia="Cambria Math" w:hAnsi="Cambria Math" w:cs="Cambria Math"/>
                <w:i/>
                <w:sz w:val="22"/>
                <w:szCs w:val="22"/>
              </w:rPr>
            </m:ctrlPr>
          </m:sSubPr>
          <m:e>
            <m:r>
              <w:rPr>
                <w:rFonts w:ascii="Cambria Math" w:hAnsi="Cambria Math" w:cs="Arial"/>
                <w:sz w:val="22"/>
                <w:szCs w:val="22"/>
              </w:rPr>
              <m:t>[ATP]</m:t>
            </m:r>
          </m:e>
          <m:sub>
            <m:r>
              <w:rPr>
                <w:rFonts w:ascii="Cambria Math" w:hAnsi="Cambria Math" w:cs="Arial"/>
                <w:sz w:val="22"/>
                <w:szCs w:val="22"/>
              </w:rPr>
              <m:t>c</m:t>
            </m:r>
          </m:sub>
        </m:sSub>
        <m:r>
          <w:rPr>
            <w:rFonts w:ascii="Cambria Math" w:hAnsi="Cambria Math" w:cs="Arial"/>
            <w:sz w:val="22"/>
            <w:szCs w:val="22"/>
          </w:rPr>
          <m:t xml:space="preserve">= </m:t>
        </m:r>
        <m:sSubSup>
          <m:sSubSupPr>
            <m:ctrlPr>
              <w:rPr>
                <w:rFonts w:ascii="Cambria Math" w:eastAsia="Cambria Math" w:hAnsi="Cambria Math" w:cs="Cambria Math"/>
                <w:i/>
                <w:sz w:val="22"/>
                <w:szCs w:val="22"/>
              </w:rPr>
            </m:ctrlPr>
          </m:sSubSupPr>
          <m:e>
            <m:r>
              <w:rPr>
                <w:rFonts w:ascii="Cambria Math" w:hAnsi="Cambria Math" w:cs="Arial"/>
                <w:sz w:val="22"/>
                <w:szCs w:val="22"/>
              </w:rPr>
              <m:t>[A]</m:t>
            </m:r>
          </m:e>
          <m:sub>
            <m:r>
              <w:rPr>
                <w:rFonts w:ascii="Cambria Math" w:hAnsi="Cambria Math" w:cs="Arial"/>
                <w:sz w:val="22"/>
                <w:szCs w:val="22"/>
              </w:rPr>
              <m:t>c</m:t>
            </m:r>
          </m:sub>
          <m:sup>
            <m:r>
              <w:rPr>
                <w:rFonts w:ascii="Cambria Math" w:hAnsi="Cambria Math" w:cs="Arial"/>
                <w:sz w:val="22"/>
                <w:szCs w:val="22"/>
              </w:rPr>
              <m:t>TOT</m:t>
            </m:r>
          </m:sup>
        </m:sSubSup>
        <m:r>
          <w:rPr>
            <w:rFonts w:ascii="Cambria Math" w:hAnsi="Cambria Math" w:cs="Arial"/>
            <w:sz w:val="22"/>
            <w:szCs w:val="22"/>
          </w:rPr>
          <m:t xml:space="preserve"> </m:t>
        </m:r>
      </m:oMath>
      <w:r w:rsidR="00187C95">
        <w:rPr>
          <w:rFonts w:ascii="Arial" w:hAnsi="Arial" w:cs="Arial"/>
          <w:sz w:val="22"/>
          <w:szCs w:val="22"/>
        </w:rPr>
        <w:t>.</w:t>
      </w:r>
      <w:r w:rsidR="00150362">
        <w:rPr>
          <w:rFonts w:ascii="Arial" w:hAnsi="Arial" w:cs="Arial"/>
          <w:sz w:val="22"/>
          <w:szCs w:val="22"/>
        </w:rPr>
        <w:tab/>
      </w:r>
      <w:r w:rsidR="00150362">
        <w:rPr>
          <w:rFonts w:ascii="Arial" w:hAnsi="Arial" w:cs="Arial"/>
          <w:sz w:val="22"/>
          <w:szCs w:val="22"/>
        </w:rPr>
        <w:tab/>
      </w:r>
      <w:r w:rsidR="00150362">
        <w:rPr>
          <w:rFonts w:ascii="Arial" w:hAnsi="Arial" w:cs="Arial"/>
          <w:sz w:val="22"/>
          <w:szCs w:val="22"/>
        </w:rPr>
        <w:tab/>
        <w:t>(20)</w:t>
      </w:r>
    </w:p>
    <w:p w14:paraId="14EF4B0B" w14:textId="77777777" w:rsidR="00187C95" w:rsidRDefault="00187C95" w:rsidP="00187C95">
      <w:pPr>
        <w:spacing w:after="0" w:line="300" w:lineRule="auto"/>
        <w:jc w:val="both"/>
        <w:rPr>
          <w:rFonts w:ascii="Arial" w:hAnsi="Arial" w:cs="Arial"/>
          <w:sz w:val="22"/>
          <w:szCs w:val="22"/>
        </w:rPr>
      </w:pPr>
      <w:r>
        <w:rPr>
          <w:rFonts w:ascii="Arial" w:hAnsi="Arial" w:cs="Arial"/>
          <w:sz w:val="22"/>
          <w:szCs w:val="22"/>
        </w:rPr>
        <w:t xml:space="preserve">                                                                                                    </w:t>
      </w:r>
    </w:p>
    <w:p w14:paraId="3B1EAD4D" w14:textId="55D67DEF" w:rsidR="00187C95" w:rsidRDefault="00187C95" w:rsidP="00187C95">
      <w:pPr>
        <w:spacing w:after="0" w:line="300" w:lineRule="auto"/>
        <w:jc w:val="both"/>
        <w:rPr>
          <w:rFonts w:ascii="Arial" w:hAnsi="Arial" w:cs="Arial"/>
          <w:sz w:val="22"/>
          <w:szCs w:val="22"/>
        </w:rPr>
      </w:pPr>
      <w:r>
        <w:rPr>
          <w:rFonts w:ascii="Arial" w:hAnsi="Arial" w:cs="Arial"/>
          <w:sz w:val="22"/>
          <w:szCs w:val="22"/>
        </w:rPr>
        <w:t xml:space="preserve">Various parameters used in the model are defined and listed in </w:t>
      </w:r>
      <w:r w:rsidRPr="00BA1797">
        <w:rPr>
          <w:rFonts w:ascii="Arial" w:hAnsi="Arial" w:cs="Arial"/>
          <w:b/>
          <w:bCs/>
          <w:sz w:val="22"/>
          <w:szCs w:val="22"/>
        </w:rPr>
        <w:t xml:space="preserve">Table </w:t>
      </w:r>
      <w:r>
        <w:rPr>
          <w:rFonts w:ascii="Arial" w:hAnsi="Arial" w:cs="Arial"/>
          <w:b/>
          <w:bCs/>
          <w:sz w:val="22"/>
          <w:szCs w:val="22"/>
        </w:rPr>
        <w:t>S</w:t>
      </w:r>
      <w:r w:rsidR="00B626D5">
        <w:rPr>
          <w:rFonts w:ascii="Arial" w:hAnsi="Arial" w:cs="Arial"/>
          <w:b/>
          <w:bCs/>
          <w:sz w:val="22"/>
          <w:szCs w:val="22"/>
        </w:rPr>
        <w:t>7</w:t>
      </w:r>
      <w:r>
        <w:rPr>
          <w:rFonts w:ascii="Arial" w:hAnsi="Arial" w:cs="Arial"/>
          <w:sz w:val="22"/>
          <w:szCs w:val="22"/>
        </w:rPr>
        <w:t>.</w:t>
      </w:r>
    </w:p>
    <w:p w14:paraId="22EB47AE" w14:textId="77777777" w:rsidR="00187C95" w:rsidRDefault="00187C95" w:rsidP="00187C95">
      <w:pPr>
        <w:spacing w:after="0" w:line="300" w:lineRule="auto"/>
        <w:rPr>
          <w:rFonts w:ascii="Arial" w:hAnsi="Arial" w:cs="Arial"/>
          <w:sz w:val="22"/>
          <w:szCs w:val="22"/>
        </w:rPr>
      </w:pPr>
    </w:p>
    <w:p w14:paraId="3729967C" w14:textId="77777777" w:rsidR="00187C95" w:rsidRPr="00D16BD2" w:rsidRDefault="00187C95" w:rsidP="00187C95">
      <w:pPr>
        <w:spacing w:after="0" w:line="300" w:lineRule="auto"/>
        <w:jc w:val="both"/>
        <w:rPr>
          <w:rFonts w:ascii="Arial" w:eastAsia="Times New Roman" w:hAnsi="Arial" w:cs="Arial"/>
          <w:b/>
          <w:color w:val="2F5496" w:themeColor="accent5" w:themeShade="BF"/>
          <w:sz w:val="22"/>
          <w:szCs w:val="22"/>
        </w:rPr>
      </w:pPr>
      <w:r w:rsidRPr="00D16BD2">
        <w:rPr>
          <w:rFonts w:ascii="Arial" w:eastAsia="Times New Roman" w:hAnsi="Arial" w:cs="Arial"/>
          <w:b/>
          <w:color w:val="2F5496" w:themeColor="accent5" w:themeShade="BF"/>
          <w:sz w:val="22"/>
          <w:szCs w:val="22"/>
        </w:rPr>
        <w:t>Human blood-brain barrier (BBB) model</w:t>
      </w:r>
    </w:p>
    <w:p w14:paraId="517ED655" w14:textId="249343CC" w:rsidR="00187C95" w:rsidRDefault="00187C95" w:rsidP="00187C95">
      <w:pPr>
        <w:spacing w:after="0" w:line="300" w:lineRule="auto"/>
        <w:jc w:val="both"/>
        <w:rPr>
          <w:rFonts w:ascii="Arial" w:eastAsia="Times New Roman" w:hAnsi="Arial" w:cs="Arial"/>
          <w:sz w:val="22"/>
          <w:szCs w:val="22"/>
        </w:rPr>
      </w:pPr>
      <w:r>
        <w:rPr>
          <w:rFonts w:ascii="Arial" w:eastAsia="Times New Roman" w:hAnsi="Arial" w:cs="Arial"/>
          <w:sz w:val="22"/>
          <w:szCs w:val="22"/>
        </w:rPr>
        <w:t>Control iPSCs (CTRL_8) and LS iPSCs (ATP6_2) were differentiated into brain capillary endothelial cells (BCECs) following previously described protocols.</w:t>
      </w:r>
      <w:r>
        <w:rPr>
          <w:rFonts w:ascii="Arial" w:eastAsia="Times New Roman" w:hAnsi="Arial" w:cs="Arial"/>
          <w:sz w:val="22"/>
          <w:szCs w:val="22"/>
        </w:rPr>
        <w:fldChar w:fldCharType="begin">
          <w:fldData xml:space="preserve">PEVuZE5vdGU+PENpdGU+PEF1dGhvcj5LcmFzZW1hbm48L0F1dGhvcj48WWVhcj4yMDIyPC9ZZWFy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</w:fldData>
        </w:fldChar>
      </w:r>
      <w:r>
        <w:rPr>
          <w:rFonts w:ascii="Arial" w:eastAsia="Times New Roman" w:hAnsi="Arial" w:cs="Arial"/>
          <w:sz w:val="22"/>
          <w:szCs w:val="22"/>
        </w:rPr>
        <w:instrText xml:space="preserve"> ADDIN EN.CITE </w:instrText>
      </w:r>
      <w:r>
        <w:rPr>
          <w:rFonts w:ascii="Arial" w:eastAsia="Times New Roman" w:hAnsi="Arial" w:cs="Arial"/>
          <w:sz w:val="22"/>
          <w:szCs w:val="22"/>
        </w:rPr>
        <w:fldChar w:fldCharType="begin">
          <w:fldData xml:space="preserve">PEVuZE5vdGU+PENpdGU+PEF1dGhvcj5LcmFzZW1hbm48L0F1dGhvcj48WWVhcj4yMDIyPC9ZZWFy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</w:fldData>
        </w:fldChar>
      </w:r>
      <w:r>
        <w:rPr>
          <w:rFonts w:ascii="Arial" w:eastAsia="Times New Roman" w:hAnsi="Arial" w:cs="Arial"/>
          <w:sz w:val="22"/>
          <w:szCs w:val="22"/>
        </w:rPr>
        <w:instrText xml:space="preserve"> ADDIN EN.CITE.DATA </w:instrText>
      </w:r>
      <w:r>
        <w:rPr>
          <w:rFonts w:ascii="Arial" w:eastAsia="Times New Roman" w:hAnsi="Arial" w:cs="Arial"/>
          <w:sz w:val="22"/>
          <w:szCs w:val="22"/>
        </w:rPr>
      </w:r>
      <w:r>
        <w:rPr>
          <w:rFonts w:ascii="Arial" w:eastAsia="Times New Roman" w:hAnsi="Arial" w:cs="Arial"/>
          <w:sz w:val="22"/>
          <w:szCs w:val="22"/>
        </w:rPr>
        <w:fldChar w:fldCharType="end"/>
      </w:r>
      <w:r>
        <w:rPr>
          <w:rFonts w:ascii="Arial" w:eastAsia="Times New Roman" w:hAnsi="Arial" w:cs="Arial"/>
          <w:sz w:val="22"/>
          <w:szCs w:val="22"/>
        </w:rPr>
      </w:r>
      <w:r>
        <w:rPr>
          <w:rFonts w:ascii="Arial" w:eastAsia="Times New Roman" w:hAnsi="Arial" w:cs="Arial"/>
          <w:sz w:val="22"/>
          <w:szCs w:val="22"/>
        </w:rPr>
        <w:fldChar w:fldCharType="separate"/>
      </w:r>
      <w:r>
        <w:rPr>
          <w:rFonts w:ascii="Arial" w:eastAsia="Times New Roman" w:hAnsi="Arial" w:cs="Arial"/>
          <w:sz w:val="22"/>
          <w:szCs w:val="22"/>
          <w:vertAlign w:val="superscript"/>
        </w:rPr>
        <w:t>10,11</w:t>
      </w:r>
      <w:r>
        <w:rPr>
          <w:rFonts w:ascii="Arial" w:eastAsia="Times New Roman" w:hAnsi="Arial" w:cs="Arial"/>
          <w:sz w:val="22"/>
          <w:szCs w:val="22"/>
        </w:rPr>
        <w:fldChar w:fldCharType="end"/>
      </w:r>
      <w:r>
        <w:rPr>
          <w:rFonts w:ascii="Arial" w:eastAsia="Times New Roman" w:hAnsi="Arial" w:cs="Arial"/>
          <w:sz w:val="22"/>
          <w:szCs w:val="22"/>
        </w:rPr>
        <w:t xml:space="preserve"> Single cells were isolated using Accutase (Thermo Fisher Scientific) and seeded onto Matrigel-coated 6-well plates (Nunc™, Thermo Fisher Scientific) in 2 ml/well mTeSR™ Plus supplemented with 10 µM Y-27632 (STEMCELL Technologies). The starting cell number was optimized for both cell lines respectively. After 3 days, medium was changed to 2 ml/well unconditioned medium (UM) when the optimal cell density of 2 - 4 x 10</w:t>
      </w:r>
      <w:r>
        <w:rPr>
          <w:rFonts w:ascii="Arial" w:eastAsia="Times New Roman" w:hAnsi="Arial" w:cs="Arial"/>
          <w:sz w:val="22"/>
          <w:szCs w:val="22"/>
          <w:vertAlign w:val="superscript"/>
        </w:rPr>
        <w:t>3</w:t>
      </w:r>
      <w:r>
        <w:rPr>
          <w:rFonts w:ascii="Arial" w:eastAsia="Times New Roman" w:hAnsi="Arial" w:cs="Arial"/>
          <w:sz w:val="22"/>
          <w:szCs w:val="22"/>
        </w:rPr>
        <w:t xml:space="preserve"> cells/cm</w:t>
      </w:r>
      <w:r>
        <w:rPr>
          <w:rFonts w:ascii="Arial" w:eastAsia="Times New Roman" w:hAnsi="Arial" w:cs="Arial"/>
          <w:sz w:val="22"/>
          <w:szCs w:val="22"/>
          <w:vertAlign w:val="superscript"/>
        </w:rPr>
        <w:t>2</w:t>
      </w:r>
      <w:r>
        <w:rPr>
          <w:rFonts w:ascii="Arial" w:eastAsia="Times New Roman" w:hAnsi="Arial" w:cs="Arial"/>
          <w:sz w:val="22"/>
          <w:szCs w:val="22"/>
        </w:rPr>
        <w:t xml:space="preserve"> was reached (referred to as day 0). UM was composed of 78.5% DMEM/F12 (ThermoFisher Scientific), 20% KnockOutTM serum replacement (ThermoFisher Scientific), 1% MEM NEAA (Thermo Fisher Scientific), 0.5% L-glutamine (Capricorn), and 0.1 mM β-mercaptoethanol (Thermo Fisher Scientific). UM was changed daily for the following five days to initiate co-differentiation of BCECs and neuronal cells. On day 6, medium was changed to 4 ml/well endothelial cell (EC) medium, composed of Human Endothelial-SFM (ThermoFisher Scientific) and 0.5 % B27 Supplement (Thermo Fisher Scientific), supplemented with 20 ng/ml hFGF and 10 µM retinoic acid (RA) for BCEC expansion. On day 8, BCECs were dissociated using Accutase for 30 min and seeded </w:t>
      </w:r>
      <w:r>
        <w:rPr>
          <w:rFonts w:ascii="Arial" w:eastAsia="Times New Roman" w:hAnsi="Arial" w:cs="Arial"/>
          <w:sz w:val="22"/>
          <w:szCs w:val="22"/>
        </w:rPr>
        <w:lastRenderedPageBreak/>
        <w:t>at a cell density of 1 x 10</w:t>
      </w:r>
      <w:r>
        <w:rPr>
          <w:rFonts w:ascii="Arial" w:eastAsia="Times New Roman" w:hAnsi="Arial" w:cs="Arial"/>
          <w:sz w:val="22"/>
          <w:szCs w:val="22"/>
          <w:vertAlign w:val="superscript"/>
        </w:rPr>
        <w:t>6</w:t>
      </w:r>
      <w:r>
        <w:rPr>
          <w:rFonts w:ascii="Arial" w:eastAsia="Times New Roman" w:hAnsi="Arial" w:cs="Arial"/>
          <w:sz w:val="22"/>
          <w:szCs w:val="22"/>
        </w:rPr>
        <w:t xml:space="preserve"> cell/cm</w:t>
      </w:r>
      <w:r>
        <w:rPr>
          <w:rFonts w:ascii="Arial" w:eastAsia="Times New Roman" w:hAnsi="Arial" w:cs="Arial"/>
          <w:sz w:val="22"/>
          <w:szCs w:val="22"/>
          <w:vertAlign w:val="superscript"/>
        </w:rPr>
        <w:t>2</w:t>
      </w:r>
      <w:r>
        <w:rPr>
          <w:rFonts w:ascii="Arial" w:eastAsia="Times New Roman" w:hAnsi="Arial" w:cs="Arial"/>
          <w:sz w:val="22"/>
          <w:szCs w:val="22"/>
        </w:rPr>
        <w:t xml:space="preserve"> onto collagen IV/fibronectin-coated transwell membranes (0.4 µm pore size, 24-well format, Greiner) in EC medium supplemented with 20 ng/mL hFGF and 10 µM RA. BCECs were adapted to EC medium without hFGF and RA at day 9 for 24 h. We measured transendothelial electrical resistance (TEER) values using an electrode to evaluate the integrity of the in vitro BBB. Only BBBs with TEER values ≥ 1000 Ω*cm</w:t>
      </w:r>
      <w:r>
        <w:rPr>
          <w:rFonts w:ascii="Arial" w:eastAsia="Times New Roman" w:hAnsi="Arial" w:cs="Arial"/>
          <w:sz w:val="22"/>
          <w:szCs w:val="22"/>
          <w:vertAlign w:val="superscript"/>
        </w:rPr>
        <w:t>2</w:t>
      </w:r>
      <w:r>
        <w:rPr>
          <w:rFonts w:ascii="Arial" w:eastAsia="Times New Roman" w:hAnsi="Arial" w:cs="Arial"/>
          <w:sz w:val="22"/>
          <w:szCs w:val="22"/>
        </w:rPr>
        <w:t xml:space="preserve"> at day 10 were included. </w:t>
      </w:r>
      <w:r>
        <w:rPr>
          <w:rFonts w:ascii="Arial" w:eastAsia="Arial" w:hAnsi="Arial" w:cs="Arial"/>
          <w:color w:val="1B1B1B"/>
          <w:sz w:val="22"/>
        </w:rPr>
        <w:t>To monitor monolayer integrity for both iPSC-derived BBB models, 10 µM sodium fluorescein (</w:t>
      </w:r>
      <w:r>
        <w:rPr>
          <w:rFonts w:ascii="Arial" w:eastAsia="Arial" w:hAnsi="Arial" w:cs="Arial"/>
          <w:color w:val="1B1B1B"/>
          <w:sz w:val="22"/>
          <w:highlight w:val="white"/>
        </w:rPr>
        <w:t>Sigma-Aldrich)</w:t>
      </w:r>
      <w:r>
        <w:rPr>
          <w:rFonts w:ascii="Arial" w:eastAsia="Arial" w:hAnsi="Arial" w:cs="Arial"/>
          <w:color w:val="1B1B1B"/>
          <w:sz w:val="22"/>
        </w:rPr>
        <w:t xml:space="preserve"> was added to the </w:t>
      </w:r>
      <w:r>
        <w:rPr>
          <w:rFonts w:ascii="Arial" w:eastAsia="Arial" w:hAnsi="Arial" w:cs="Arial"/>
          <w:color w:val="1B1B1B"/>
          <w:sz w:val="22"/>
          <w:highlight w:val="white"/>
        </w:rPr>
        <w:t xml:space="preserve">apical compartment of two reference inserts for each BCEC differentiation. </w:t>
      </w:r>
      <w:r>
        <w:rPr>
          <w:rFonts w:ascii="Arial" w:eastAsia="Arial" w:hAnsi="Arial" w:cs="Arial"/>
          <w:color w:val="1B1B1B"/>
          <w:sz w:val="22"/>
        </w:rPr>
        <w:t>The intensity of the fluorescent tracer molecule was measured in pooled samples of both compartments respectively using a fluorescent plate reader (</w:t>
      </w:r>
      <w:r>
        <w:rPr>
          <w:rFonts w:ascii="Arial" w:eastAsia="Arial" w:hAnsi="Arial" w:cs="Arial"/>
          <w:color w:val="000000"/>
          <w:sz w:val="22"/>
        </w:rPr>
        <w:t>Infinite M1000 Pro, TECAN, excitation: 490 nm, emission: 525 nm</w:t>
      </w:r>
      <w:r>
        <w:rPr>
          <w:rFonts w:ascii="Arial" w:eastAsia="Arial" w:hAnsi="Arial" w:cs="Arial"/>
          <w:color w:val="1B1B1B"/>
          <w:sz w:val="22"/>
        </w:rPr>
        <w:t>)</w:t>
      </w:r>
      <w:r>
        <w:rPr>
          <w:rFonts w:ascii="Arial" w:eastAsia="Times New Roman" w:hAnsi="Arial" w:cs="Arial"/>
          <w:sz w:val="22"/>
          <w:szCs w:val="22"/>
        </w:rPr>
        <w:t>. We applied 10 µM sildenafil, sildenafil citrate, or reference compounds in EC medium to the apical compartment of two inserts each and incubated the cells for 1 h at 37 °C, 5 % CO</w:t>
      </w:r>
      <w:r>
        <w:rPr>
          <w:rFonts w:ascii="Arial" w:eastAsia="Times New Roman" w:hAnsi="Arial" w:cs="Arial"/>
          <w:sz w:val="22"/>
          <w:szCs w:val="22"/>
          <w:vertAlign w:val="subscript"/>
        </w:rPr>
        <w:t>2</w:t>
      </w:r>
      <w:r>
        <w:rPr>
          <w:rFonts w:ascii="Arial" w:eastAsia="Times New Roman" w:hAnsi="Arial" w:cs="Arial"/>
          <w:sz w:val="22"/>
          <w:szCs w:val="22"/>
        </w:rPr>
        <w:t xml:space="preserve"> on an orbital shaker (300 rpm). Diazepam and atenolol were used as internal controls given their known high and low BBB permeability, as previously demonstrated.</w:t>
      </w:r>
      <w:r>
        <w:rPr>
          <w:rFonts w:ascii="Arial" w:eastAsia="Times New Roman" w:hAnsi="Arial" w:cs="Arial"/>
          <w:sz w:val="22"/>
          <w:szCs w:val="22"/>
        </w:rPr>
        <w:fldChar w:fldCharType="begin">
          <w:fldData xml:space="preserve">PEVuZE5vdGU+PENpdGU+PEF1dGhvcj5BcHBlbHQtTWVuemVsPC9BdXRob3I+PFllYXI+MjAxNzwv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</w:fldData>
        </w:fldChar>
      </w:r>
      <w:r>
        <w:rPr>
          <w:rFonts w:ascii="Arial" w:eastAsia="Times New Roman" w:hAnsi="Arial" w:cs="Arial"/>
          <w:sz w:val="22"/>
          <w:szCs w:val="22"/>
        </w:rPr>
        <w:instrText xml:space="preserve"> ADDIN EN.CITE </w:instrText>
      </w:r>
      <w:r>
        <w:rPr>
          <w:rFonts w:ascii="Arial" w:eastAsia="Times New Roman" w:hAnsi="Arial" w:cs="Arial"/>
          <w:sz w:val="22"/>
          <w:szCs w:val="22"/>
        </w:rPr>
        <w:fldChar w:fldCharType="begin">
          <w:fldData xml:space="preserve">PEVuZE5vdGU+PENpdGU+PEF1dGhvcj5BcHBlbHQtTWVuemVsPC9BdXRob3I+PFllYXI+MjAxNzwv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</w:fldData>
        </w:fldChar>
      </w:r>
      <w:r>
        <w:rPr>
          <w:rFonts w:ascii="Arial" w:eastAsia="Times New Roman" w:hAnsi="Arial" w:cs="Arial"/>
          <w:sz w:val="22"/>
          <w:szCs w:val="22"/>
        </w:rPr>
        <w:instrText xml:space="preserve"> ADDIN EN.CITE.DATA </w:instrText>
      </w:r>
      <w:r>
        <w:rPr>
          <w:rFonts w:ascii="Arial" w:eastAsia="Times New Roman" w:hAnsi="Arial" w:cs="Arial"/>
          <w:sz w:val="22"/>
          <w:szCs w:val="22"/>
        </w:rPr>
      </w:r>
      <w:r>
        <w:rPr>
          <w:rFonts w:ascii="Arial" w:eastAsia="Times New Roman" w:hAnsi="Arial" w:cs="Arial"/>
          <w:sz w:val="22"/>
          <w:szCs w:val="22"/>
        </w:rPr>
        <w:fldChar w:fldCharType="end"/>
      </w:r>
      <w:r>
        <w:rPr>
          <w:rFonts w:ascii="Arial" w:eastAsia="Times New Roman" w:hAnsi="Arial" w:cs="Arial"/>
          <w:sz w:val="22"/>
          <w:szCs w:val="22"/>
        </w:rPr>
      </w:r>
      <w:r>
        <w:rPr>
          <w:rFonts w:ascii="Arial" w:eastAsia="Times New Roman" w:hAnsi="Arial" w:cs="Arial"/>
          <w:sz w:val="22"/>
          <w:szCs w:val="22"/>
        </w:rPr>
        <w:fldChar w:fldCharType="separate"/>
      </w:r>
      <w:r>
        <w:rPr>
          <w:rFonts w:ascii="Arial" w:eastAsia="Times New Roman" w:hAnsi="Arial" w:cs="Arial"/>
          <w:sz w:val="22"/>
          <w:szCs w:val="22"/>
          <w:vertAlign w:val="superscript"/>
        </w:rPr>
        <w:t>12,13</w:t>
      </w:r>
      <w:r>
        <w:rPr>
          <w:rFonts w:ascii="Arial" w:eastAsia="Times New Roman" w:hAnsi="Arial" w:cs="Arial"/>
          <w:sz w:val="22"/>
          <w:szCs w:val="22"/>
        </w:rPr>
        <w:fldChar w:fldCharType="end"/>
      </w:r>
      <w:r>
        <w:rPr>
          <w:rFonts w:ascii="Arial" w:eastAsia="Times New Roman" w:hAnsi="Arial" w:cs="Arial"/>
          <w:sz w:val="22"/>
          <w:szCs w:val="22"/>
        </w:rPr>
        <w:t xml:space="preserve"> Media from both the apical (A) and basolateral (B) compartments were collected, pooled and stored at -80 °C until quantification. Sildenafil and reference compounds were quantified using mass spectrometry. Peak areas were used to calculate the apparent permeability (P</w:t>
      </w:r>
      <w:r>
        <w:rPr>
          <w:rFonts w:ascii="Arial" w:eastAsia="Times New Roman" w:hAnsi="Arial" w:cs="Arial"/>
          <w:sz w:val="22"/>
          <w:szCs w:val="22"/>
          <w:vertAlign w:val="subscript"/>
        </w:rPr>
        <w:t>app</w:t>
      </w:r>
      <w:r>
        <w:rPr>
          <w:rFonts w:ascii="Arial" w:eastAsia="Times New Roman" w:hAnsi="Arial" w:cs="Arial"/>
          <w:sz w:val="22"/>
          <w:szCs w:val="22"/>
        </w:rPr>
        <w:t>) of each substance using equation:</w:t>
      </w:r>
    </w:p>
    <w:p w14:paraId="09F15911" w14:textId="409CBB02" w:rsidR="00187C95" w:rsidRDefault="00B626D5" w:rsidP="00B626D5">
      <w:pPr>
        <w:spacing w:after="0" w:line="300" w:lineRule="auto"/>
        <w:rPr>
          <w:rFonts w:ascii="Arial" w:eastAsia="Times New Roman" w:hAnsi="Arial" w:cs="Arial"/>
          <w:color w:val="FF0000"/>
          <w:sz w:val="22"/>
          <w:szCs w:val="22"/>
          <w:vertAlign w:val="superscript"/>
        </w:rPr>
      </w:pPr>
      <w:r>
        <w:rPr>
          <w:rFonts w:ascii="Arial" w:hAnsi="Arial" w:cs="Arial"/>
          <w:noProof/>
          <w:sz w:val="22"/>
          <w:szCs w:val="22"/>
        </w:rPr>
        <mc:AlternateContent>
          <mc:Choice Requires="wps">
            <w:drawing>
              <wp:anchor distT="0" distB="0" distL="114300" distR="114300" simplePos="0" relativeHeight="251659264" behindDoc="0" locked="0" layoutInCell="1" allowOverlap="1" wp14:anchorId="29B63120" wp14:editId="04A6C49E">
                <wp:simplePos x="0" y="0"/>
                <wp:positionH relativeFrom="margin">
                  <wp:posOffset>5080</wp:posOffset>
                </wp:positionH>
                <wp:positionV relativeFrom="paragraph">
                  <wp:posOffset>49530</wp:posOffset>
                </wp:positionV>
                <wp:extent cx="2143125" cy="529569"/>
                <wp:effectExtent l="0" t="0" r="0" b="0"/>
                <wp:wrapNone/>
                <wp:docPr id="1" name="Textfeld 6"/>
                <wp:cNvGraphicFramePr/>
                <a:graphic xmlns:a="http://schemas.openxmlformats.org/drawingml/2006/main">
                  <a:graphicData uri="http://schemas.microsoft.com/office/word/2010/wordprocessingShape">
                    <wps:wsp>
                      <wps:cNvSpPr txBox="1"/>
                      <wps:spPr bwMode="auto">
                        <a:xfrm>
                          <a:off x="0" y="0"/>
                          <a:ext cx="2143125" cy="529569"/>
                        </a:xfrm>
                        <a:prstGeom prst="rect">
                          <a:avLst/>
                        </a:prstGeom>
                        <a:noFill/>
                      </wps:spPr>
                      <wps:style>
                        <a:lnRef idx="0">
                          <a:srgbClr val="000000"/>
                        </a:lnRef>
                        <a:fillRef idx="0">
                          <a:srgbClr val="000000"/>
                        </a:fillRef>
                        <a:effectRef idx="0">
                          <a:srgbClr val="000000"/>
                        </a:effectRef>
                        <a:fontRef idx="minor">
                          <a:schemeClr val="tx1"/>
                        </a:fontRef>
                      </wps:style>
                      <wps:txbx>
                        <w:txbxContent>
                          <w:p w14:paraId="1C94C53B" w14:textId="77777777" w:rsidR="00D16BD2" w:rsidRDefault="00DA725F" w:rsidP="00187C95">
                            <w:pPr>
                              <w:rPr>
                                <w:rFonts w:ascii="Cambria Math" w:hAnsi="+mn-cs"/>
                                <w:i/>
                                <w:iCs/>
                                <w:color w:val="000000" w:themeColor="text1"/>
                                <w:sz w:val="36"/>
                                <w:szCs w:val="36"/>
                              </w:rPr>
                            </w:pPr>
                            <m:oMath>
                              <m:sSub>
                                <m:sSubPr>
                                  <m:ctrlPr>
                                    <w:rPr>
                                      <w:rFonts w:ascii="Cambria Math" w:eastAsiaTheme="minorEastAsia" w:hAnsi="Cambria Math" w:cs="Cambria Math"/>
                                      <w:i/>
                                      <w:iCs/>
                                      <w:color w:val="000000" w:themeColor="text1"/>
                                      <w:sz w:val="36"/>
                                      <w:szCs w:val="36"/>
                                    </w:rPr>
                                  </m:ctrlPr>
                                </m:sSubPr>
                                <m:e>
                                  <m:r>
                                    <w:rPr>
                                      <w:rFonts w:ascii="Cambria Math" w:hAnsi="Cambria Math"/>
                                      <w:color w:val="000000" w:themeColor="text1"/>
                                      <w:sz w:val="36"/>
                                      <w:szCs w:val="36"/>
                                    </w:rPr>
                                    <m:t>P</m:t>
                                  </m:r>
                                </m:e>
                                <m:sub>
                                  <m:r>
                                    <w:rPr>
                                      <w:rFonts w:ascii="Cambria Math" w:hAnsi="Cambria Math"/>
                                      <w:color w:val="000000" w:themeColor="text1"/>
                                      <w:sz w:val="36"/>
                                      <w:szCs w:val="36"/>
                                    </w:rPr>
                                    <m:t>app</m:t>
                                  </m:r>
                                </m:sub>
                              </m:sSub>
                            </m:oMath>
                            <w:r w:rsidR="00D16BD2">
                              <w:rPr>
                                <w:rFonts w:hAnsi="Calibri"/>
                                <w:i/>
                                <w:iCs/>
                                <w:color w:val="000000" w:themeColor="text1"/>
                                <w:sz w:val="36"/>
                                <w:szCs w:val="36"/>
                              </w:rPr>
                              <w:t>=</w:t>
                            </w:r>
                            <m:oMath>
                              <m:f>
                                <m:fPr>
                                  <m:ctrlPr>
                                    <w:rPr>
                                      <w:rFonts w:ascii="Cambria Math" w:eastAsiaTheme="minorEastAsia" w:hAnsi="Cambria Math" w:cs="Cambria Math"/>
                                      <w:i/>
                                      <w:iCs/>
                                      <w:color w:val="000000" w:themeColor="text1"/>
                                      <w:sz w:val="36"/>
                                      <w:szCs w:val="36"/>
                                    </w:rPr>
                                  </m:ctrlPr>
                                </m:fPr>
                                <m:num>
                                  <m:r>
                                    <w:rPr>
                                      <w:rFonts w:ascii="Cambria Math" w:eastAsia="Cambria Math" w:hAnsi="Cambria Math"/>
                                      <w:color w:val="000000" w:themeColor="text1"/>
                                      <w:sz w:val="36"/>
                                      <w:szCs w:val="36"/>
                                    </w:rPr>
                                    <m:t>∆Q</m:t>
                                  </m:r>
                                </m:num>
                                <m:den>
                                  <m:r>
                                    <w:rPr>
                                      <w:rFonts w:ascii="Cambria Math" w:eastAsia="Cambria Math" w:hAnsi="Cambria Math"/>
                                      <w:color w:val="000000" w:themeColor="text1"/>
                                      <w:sz w:val="36"/>
                                      <w:szCs w:val="36"/>
                                    </w:rPr>
                                    <m:t>∆t×A</m:t>
                                  </m:r>
                                  <m:d>
                                    <m:dPr>
                                      <m:ctrlPr>
                                        <w:rPr>
                                          <w:rFonts w:ascii="Cambria Math" w:eastAsia="Cambria Math" w:hAnsi="Cambria Math" w:cs="Cambria Math"/>
                                          <w:i/>
                                          <w:iCs/>
                                          <w:color w:val="000000" w:themeColor="text1"/>
                                          <w:sz w:val="36"/>
                                          <w:szCs w:val="36"/>
                                        </w:rPr>
                                      </m:ctrlPr>
                                    </m:dPr>
                                    <m:e>
                                      <m:f>
                                        <m:fPr>
                                          <m:ctrlPr>
                                            <w:rPr>
                                              <w:rFonts w:ascii="Cambria Math" w:eastAsia="Cambria Math" w:hAnsi="Cambria Math" w:cs="Cambria Math"/>
                                              <w:i/>
                                              <w:iCs/>
                                              <w:color w:val="000000" w:themeColor="text1"/>
                                              <w:sz w:val="36"/>
                                              <w:szCs w:val="36"/>
                                            </w:rPr>
                                          </m:ctrlPr>
                                        </m:fPr>
                                        <m:num>
                                          <m:sSub>
                                            <m:sSubPr>
                                              <m:ctrlPr>
                                                <w:rPr>
                                                  <w:rFonts w:ascii="Cambria Math" w:eastAsia="Cambria Math" w:hAnsi="Cambria Math" w:cs="Cambria Math"/>
                                                  <w:i/>
                                                  <w:iCs/>
                                                  <w:color w:val="000000" w:themeColor="text1"/>
                                                  <w:sz w:val="36"/>
                                                  <w:szCs w:val="36"/>
                                                </w:rPr>
                                              </m:ctrlPr>
                                            </m:sSubPr>
                                            <m:e>
                                              <m:r>
                                                <w:rPr>
                                                  <w:rFonts w:ascii="Cambria Math" w:eastAsia="Cambria Math" w:hAnsi="Cambria Math"/>
                                                  <w:color w:val="000000" w:themeColor="text1"/>
                                                  <w:sz w:val="36"/>
                                                  <w:szCs w:val="36"/>
                                                </w:rPr>
                                                <m:t>C</m:t>
                                              </m:r>
                                            </m:e>
                                            <m:sub>
                                              <m:r>
                                                <w:rPr>
                                                  <w:rFonts w:ascii="Cambria Math" w:eastAsia="Cambria Math" w:hAnsi="Cambria Math"/>
                                                  <w:color w:val="000000" w:themeColor="text1"/>
                                                  <w:sz w:val="36"/>
                                                  <w:szCs w:val="36"/>
                                                </w:rPr>
                                                <m:t>D</m:t>
                                              </m:r>
                                            </m:sub>
                                          </m:sSub>
                                          <m:r>
                                            <w:rPr>
                                              <w:rFonts w:ascii="Cambria Math" w:eastAsia="Cambria Math" w:hAnsi="Cambria Math"/>
                                              <w:color w:val="000000" w:themeColor="text1"/>
                                              <w:sz w:val="36"/>
                                              <w:szCs w:val="36"/>
                                            </w:rPr>
                                            <m:t>+</m:t>
                                          </m:r>
                                          <m:sSub>
                                            <m:sSubPr>
                                              <m:ctrlPr>
                                                <w:rPr>
                                                  <w:rFonts w:ascii="Cambria Math" w:eastAsia="Cambria Math" w:hAnsi="Cambria Math" w:cs="Cambria Math"/>
                                                  <w:i/>
                                                  <w:iCs/>
                                                  <w:color w:val="000000" w:themeColor="text1"/>
                                                  <w:sz w:val="36"/>
                                                  <w:szCs w:val="36"/>
                                                </w:rPr>
                                              </m:ctrlPr>
                                            </m:sSubPr>
                                            <m:e>
                                              <m:r>
                                                <w:rPr>
                                                  <w:rFonts w:ascii="Cambria Math" w:eastAsia="Cambria Math" w:hAnsi="Cambria Math"/>
                                                  <w:color w:val="000000" w:themeColor="text1"/>
                                                  <w:sz w:val="36"/>
                                                  <w:szCs w:val="36"/>
                                                </w:rPr>
                                                <m:t>C</m:t>
                                              </m:r>
                                            </m:e>
                                            <m:sub>
                                              <m:r>
                                                <w:rPr>
                                                  <w:rFonts w:ascii="Cambria Math" w:eastAsia="Cambria Math" w:hAnsi="Cambria Math"/>
                                                  <w:color w:val="000000" w:themeColor="text1"/>
                                                  <w:sz w:val="36"/>
                                                  <w:szCs w:val="36"/>
                                                </w:rPr>
                                                <m:t>0</m:t>
                                              </m:r>
                                            </m:sub>
                                          </m:sSub>
                                        </m:num>
                                        <m:den>
                                          <m:r>
                                            <w:rPr>
                                              <w:rFonts w:ascii="Cambria Math" w:eastAsia="Cambria Math" w:hAnsi="Cambria Math"/>
                                              <w:color w:val="000000" w:themeColor="text1"/>
                                              <w:sz w:val="36"/>
                                              <w:szCs w:val="36"/>
                                            </w:rPr>
                                            <m:t>2</m:t>
                                          </m:r>
                                        </m:den>
                                      </m:f>
                                    </m:e>
                                  </m:d>
                                  <m:r>
                                    <w:rPr>
                                      <w:rFonts w:ascii="Cambria Math" w:eastAsia="Cambria Math" w:hAnsi="Cambria Math"/>
                                      <w:color w:val="000000" w:themeColor="text1"/>
                                      <w:sz w:val="36"/>
                                      <w:szCs w:val="36"/>
                                    </w:rPr>
                                    <m:t>×</m:t>
                                  </m:r>
                                  <m:sSup>
                                    <m:sSupPr>
                                      <m:ctrlPr>
                                        <w:rPr>
                                          <w:rFonts w:ascii="Cambria Math" w:eastAsia="Cambria Math" w:hAnsi="Cambria Math" w:cs="Cambria Math"/>
                                          <w:i/>
                                          <w:iCs/>
                                          <w:color w:val="000000" w:themeColor="text1"/>
                                          <w:sz w:val="36"/>
                                          <w:szCs w:val="36"/>
                                        </w:rPr>
                                      </m:ctrlPr>
                                    </m:sSupPr>
                                    <m:e>
                                      <m:r>
                                        <w:rPr>
                                          <w:rFonts w:ascii="Cambria Math" w:eastAsia="Cambria Math" w:hAnsi="Cambria Math"/>
                                          <w:color w:val="000000" w:themeColor="text1"/>
                                          <w:sz w:val="36"/>
                                          <w:szCs w:val="36"/>
                                        </w:rPr>
                                        <m:t>10</m:t>
                                      </m:r>
                                    </m:e>
                                    <m:sup>
                                      <m:r>
                                        <w:rPr>
                                          <w:rFonts w:ascii="Cambria Math" w:eastAsia="Cambria Math" w:hAnsi="Cambria Math"/>
                                          <w:color w:val="000000" w:themeColor="text1"/>
                                          <w:sz w:val="36"/>
                                          <w:szCs w:val="36"/>
                                        </w:rPr>
                                        <m:t>6</m:t>
                                      </m:r>
                                    </m:sup>
                                  </m:sSup>
                                </m:den>
                              </m:f>
                            </m:oMath>
                          </w:p>
                        </w:txbxContent>
                      </wps:txbx>
                      <wps:bodyPr vertOverflow="clip" horzOverflow="clip" wrap="square" lIns="0" tIns="0" rIns="0" bIns="0" rtlCol="0" anchor="t">
                        <a:spAutoFit/>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type w14:anchorId="29B63120" id="_x0000_t202" coordsize="21600,21600" o:spt="202" path="m,l,21600r21600,l21600,xe">
                <v:stroke joinstyle="miter"/>
                <v:path gradientshapeok="t" o:connecttype="rect"/>
              </v:shapetype>
              <v:shape id="Textfeld 6" o:spid="_x0000_s1026" type="#_x0000_t202" style="position:absolute;margin-left:.4pt;margin-top:3.9pt;width:168.75pt;height:41.7pt;z-index:251659264;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" filled="f" stroked="f">
                <v:textbox style="mso-fit-shape-to-text:t" inset="0,0,0,0">
                  <w:txbxContent>
                    <w:p w14:paraId="1C94C53B" w14:textId="77777777" w:rsidR="00D16BD2" w:rsidRDefault="00F353DA" w:rsidP="00187C95">
                      <w:pPr>
                        <w:rPr>
                          <w:rFonts w:ascii="Cambria Math" w:hAnsi="+mn-cs"/>
                          <w:i/>
                          <w:iCs/>
                          <w:color w:val="000000" w:themeColor="text1"/>
                          <w:sz w:val="36"/>
                          <w:szCs w:val="36"/>
                        </w:rPr>
                      </w:pPr>
                      <m:oMath>
                        <m:sSub>
                          <m:sSubPr>
                            <m:ctrlPr>
                              <w:rPr>
                                <w:rFonts w:ascii="Cambria Math" w:eastAsiaTheme="minorEastAsia" w:hAnsi="Cambria Math" w:cs="Cambria Math"/>
                                <w:i/>
                                <w:iCs/>
                                <w:color w:val="000000" w:themeColor="text1"/>
                                <w:sz w:val="36"/>
                                <w:szCs w:val="36"/>
                              </w:rPr>
                            </m:ctrlPr>
                          </m:sSubPr>
                          <m:e>
                            <m:r>
                              <w:rPr>
                                <w:rFonts w:ascii="Cambria Math" w:hAnsi="Cambria Math"/>
                                <w:color w:val="000000" w:themeColor="text1"/>
                                <w:sz w:val="36"/>
                                <w:szCs w:val="36"/>
                              </w:rPr>
                              <m:t>P</m:t>
                            </m:r>
                          </m:e>
                          <m:sub>
                            <m:r>
                              <w:rPr>
                                <w:rFonts w:ascii="Cambria Math" w:hAnsi="Cambria Math"/>
                                <w:color w:val="000000" w:themeColor="text1"/>
                                <w:sz w:val="36"/>
                                <w:szCs w:val="36"/>
                              </w:rPr>
                              <m:t>app</m:t>
                            </m:r>
                          </m:sub>
                        </m:sSub>
                      </m:oMath>
                      <w:r w:rsidR="00D16BD2">
                        <w:rPr>
                          <w:rFonts w:hAnsi="Calibri"/>
                          <w:i/>
                          <w:iCs/>
                          <w:color w:val="000000" w:themeColor="text1"/>
                          <w:sz w:val="36"/>
                          <w:szCs w:val="36"/>
                        </w:rPr>
                        <w:t>=</w:t>
                      </w:r>
                      <m:oMath>
                        <m:f>
                          <m:fPr>
                            <m:ctrlPr>
                              <w:rPr>
                                <w:rFonts w:ascii="Cambria Math" w:eastAsiaTheme="minorEastAsia" w:hAnsi="Cambria Math" w:cs="Cambria Math"/>
                                <w:i/>
                                <w:iCs/>
                                <w:color w:val="000000" w:themeColor="text1"/>
                                <w:sz w:val="36"/>
                                <w:szCs w:val="36"/>
                              </w:rPr>
                            </m:ctrlPr>
                          </m:fPr>
                          <m:num>
                            <m:r>
                              <w:rPr>
                                <w:rFonts w:ascii="Cambria Math" w:eastAsia="Cambria Math" w:hAnsi="Cambria Math"/>
                                <w:color w:val="000000" w:themeColor="text1"/>
                                <w:sz w:val="36"/>
                                <w:szCs w:val="36"/>
                              </w:rPr>
                              <m:t>∆Q</m:t>
                            </m:r>
                          </m:num>
                          <m:den>
                            <m:r>
                              <w:rPr>
                                <w:rFonts w:ascii="Cambria Math" w:eastAsia="Cambria Math" w:hAnsi="Cambria Math"/>
                                <w:color w:val="000000" w:themeColor="text1"/>
                                <w:sz w:val="36"/>
                                <w:szCs w:val="36"/>
                              </w:rPr>
                              <m:t>∆t×A</m:t>
                            </m:r>
                            <m:d>
                              <m:dPr>
                                <m:ctrlPr>
                                  <w:rPr>
                                    <w:rFonts w:ascii="Cambria Math" w:eastAsia="Cambria Math" w:hAnsi="Cambria Math" w:cs="Cambria Math"/>
                                    <w:i/>
                                    <w:iCs/>
                                    <w:color w:val="000000" w:themeColor="text1"/>
                                    <w:sz w:val="36"/>
                                    <w:szCs w:val="36"/>
                                  </w:rPr>
                                </m:ctrlPr>
                              </m:dPr>
                              <m:e>
                                <m:f>
                                  <m:fPr>
                                    <m:ctrlPr>
                                      <w:rPr>
                                        <w:rFonts w:ascii="Cambria Math" w:eastAsia="Cambria Math" w:hAnsi="Cambria Math" w:cs="Cambria Math"/>
                                        <w:i/>
                                        <w:iCs/>
                                        <w:color w:val="000000" w:themeColor="text1"/>
                                        <w:sz w:val="36"/>
                                        <w:szCs w:val="36"/>
                                      </w:rPr>
                                    </m:ctrlPr>
                                  </m:fPr>
                                  <m:num>
                                    <m:sSub>
                                      <m:sSubPr>
                                        <m:ctrlPr>
                                          <w:rPr>
                                            <w:rFonts w:ascii="Cambria Math" w:eastAsia="Cambria Math" w:hAnsi="Cambria Math" w:cs="Cambria Math"/>
                                            <w:i/>
                                            <w:iCs/>
                                            <w:color w:val="000000" w:themeColor="text1"/>
                                            <w:sz w:val="36"/>
                                            <w:szCs w:val="36"/>
                                          </w:rPr>
                                        </m:ctrlPr>
                                      </m:sSubPr>
                                      <m:e>
                                        <m:r>
                                          <w:rPr>
                                            <w:rFonts w:ascii="Cambria Math" w:eastAsia="Cambria Math" w:hAnsi="Cambria Math"/>
                                            <w:color w:val="000000" w:themeColor="text1"/>
                                            <w:sz w:val="36"/>
                                            <w:szCs w:val="36"/>
                                          </w:rPr>
                                          <m:t>C</m:t>
                                        </m:r>
                                      </m:e>
                                      <m:sub>
                                        <m:r>
                                          <w:rPr>
                                            <w:rFonts w:ascii="Cambria Math" w:eastAsia="Cambria Math" w:hAnsi="Cambria Math"/>
                                            <w:color w:val="000000" w:themeColor="text1"/>
                                            <w:sz w:val="36"/>
                                            <w:szCs w:val="36"/>
                                          </w:rPr>
                                          <m:t>D</m:t>
                                        </m:r>
                                      </m:sub>
                                    </m:sSub>
                                    <m:r>
                                      <w:rPr>
                                        <w:rFonts w:ascii="Cambria Math" w:eastAsia="Cambria Math" w:hAnsi="Cambria Math"/>
                                        <w:color w:val="000000" w:themeColor="text1"/>
                                        <w:sz w:val="36"/>
                                        <w:szCs w:val="36"/>
                                      </w:rPr>
                                      <m:t>+</m:t>
                                    </m:r>
                                    <m:sSub>
                                      <m:sSubPr>
                                        <m:ctrlPr>
                                          <w:rPr>
                                            <w:rFonts w:ascii="Cambria Math" w:eastAsia="Cambria Math" w:hAnsi="Cambria Math" w:cs="Cambria Math"/>
                                            <w:i/>
                                            <w:iCs/>
                                            <w:color w:val="000000" w:themeColor="text1"/>
                                            <w:sz w:val="36"/>
                                            <w:szCs w:val="36"/>
                                          </w:rPr>
                                        </m:ctrlPr>
                                      </m:sSubPr>
                                      <m:e>
                                        <m:r>
                                          <w:rPr>
                                            <w:rFonts w:ascii="Cambria Math" w:eastAsia="Cambria Math" w:hAnsi="Cambria Math"/>
                                            <w:color w:val="000000" w:themeColor="text1"/>
                                            <w:sz w:val="36"/>
                                            <w:szCs w:val="36"/>
                                          </w:rPr>
                                          <m:t>C</m:t>
                                        </m:r>
                                      </m:e>
                                      <m:sub>
                                        <m:r>
                                          <w:rPr>
                                            <w:rFonts w:ascii="Cambria Math" w:eastAsia="Cambria Math" w:hAnsi="Cambria Math"/>
                                            <w:color w:val="000000" w:themeColor="text1"/>
                                            <w:sz w:val="36"/>
                                            <w:szCs w:val="36"/>
                                          </w:rPr>
                                          <m:t>0</m:t>
                                        </m:r>
                                      </m:sub>
                                    </m:sSub>
                                  </m:num>
                                  <m:den>
                                    <m:r>
                                      <w:rPr>
                                        <w:rFonts w:ascii="Cambria Math" w:eastAsia="Cambria Math" w:hAnsi="Cambria Math"/>
                                        <w:color w:val="000000" w:themeColor="text1"/>
                                        <w:sz w:val="36"/>
                                        <w:szCs w:val="36"/>
                                      </w:rPr>
                                      <m:t>2</m:t>
                                    </m:r>
                                  </m:den>
                                </m:f>
                              </m:e>
                            </m:d>
                            <m:r>
                              <w:rPr>
                                <w:rFonts w:ascii="Cambria Math" w:eastAsia="Cambria Math" w:hAnsi="Cambria Math"/>
                                <w:color w:val="000000" w:themeColor="text1"/>
                                <w:sz w:val="36"/>
                                <w:szCs w:val="36"/>
                              </w:rPr>
                              <m:t>×</m:t>
                            </m:r>
                            <m:sSup>
                              <m:sSupPr>
                                <m:ctrlPr>
                                  <w:rPr>
                                    <w:rFonts w:ascii="Cambria Math" w:eastAsia="Cambria Math" w:hAnsi="Cambria Math" w:cs="Cambria Math"/>
                                    <w:i/>
                                    <w:iCs/>
                                    <w:color w:val="000000" w:themeColor="text1"/>
                                    <w:sz w:val="36"/>
                                    <w:szCs w:val="36"/>
                                  </w:rPr>
                                </m:ctrlPr>
                              </m:sSupPr>
                              <m:e>
                                <m:r>
                                  <w:rPr>
                                    <w:rFonts w:ascii="Cambria Math" w:eastAsia="Cambria Math" w:hAnsi="Cambria Math"/>
                                    <w:color w:val="000000" w:themeColor="text1"/>
                                    <w:sz w:val="36"/>
                                    <w:szCs w:val="36"/>
                                  </w:rPr>
                                  <m:t>10</m:t>
                                </m:r>
                              </m:e>
                              <m:sup>
                                <m:r>
                                  <w:rPr>
                                    <w:rFonts w:ascii="Cambria Math" w:eastAsia="Cambria Math" w:hAnsi="Cambria Math"/>
                                    <w:color w:val="000000" w:themeColor="text1"/>
                                    <w:sz w:val="36"/>
                                    <w:szCs w:val="36"/>
                                  </w:rPr>
                                  <m:t>6</m:t>
                                </m:r>
                              </m:sup>
                            </m:sSup>
                          </m:den>
                        </m:f>
                      </m:oMath>
                    </w:p>
                  </w:txbxContent>
                </v:textbox>
                <w10:wrap anchorx="margin"/>
              </v:shape>
            </w:pict>
          </mc:Fallback>
        </mc:AlternateContent>
      </w:r>
    </w:p>
    <w:p w14:paraId="0AF2A105" w14:textId="77777777" w:rsidR="00187C95" w:rsidRDefault="00187C95" w:rsidP="00187C95">
      <w:pPr>
        <w:spacing w:after="0" w:line="300" w:lineRule="auto"/>
        <w:jc w:val="both"/>
        <w:rPr>
          <w:rFonts w:ascii="Arial" w:eastAsia="Times New Roman" w:hAnsi="Arial" w:cs="Arial"/>
          <w:color w:val="FF0000"/>
          <w:sz w:val="22"/>
          <w:szCs w:val="22"/>
        </w:rPr>
      </w:pPr>
    </w:p>
    <w:p w14:paraId="1917E701" w14:textId="77777777" w:rsidR="00187C95" w:rsidRDefault="00187C95" w:rsidP="00187C95">
      <w:pPr>
        <w:spacing w:after="0" w:line="300" w:lineRule="auto"/>
        <w:jc w:val="both"/>
        <w:rPr>
          <w:rFonts w:ascii="Arial" w:eastAsia="Times New Roman" w:hAnsi="Arial" w:cs="Arial"/>
          <w:color w:val="FF0000"/>
          <w:sz w:val="22"/>
          <w:szCs w:val="22"/>
        </w:rPr>
      </w:pPr>
    </w:p>
    <w:p w14:paraId="4505CEF4" w14:textId="77777777" w:rsidR="00187C95" w:rsidRDefault="00187C95" w:rsidP="00187C95">
      <w:pPr>
        <w:spacing w:after="0" w:line="300" w:lineRule="auto"/>
        <w:jc w:val="both"/>
        <w:rPr>
          <w:rFonts w:ascii="Arial" w:eastAsia="Times New Roman" w:hAnsi="Arial" w:cs="Arial"/>
          <w:color w:val="FF0000"/>
          <w:sz w:val="22"/>
          <w:szCs w:val="22"/>
        </w:rPr>
      </w:pPr>
    </w:p>
    <w:p w14:paraId="0AE14C52" w14:textId="77777777" w:rsidR="00187C95" w:rsidRDefault="00187C95" w:rsidP="00187C95">
      <w:pPr>
        <w:spacing w:after="0" w:line="300" w:lineRule="auto"/>
        <w:jc w:val="both"/>
        <w:rPr>
          <w:rFonts w:ascii="Arial" w:eastAsia="Times New Roman" w:hAnsi="Arial" w:cs="Arial"/>
          <w:color w:val="FF0000"/>
          <w:sz w:val="22"/>
          <w:szCs w:val="22"/>
        </w:rPr>
      </w:pPr>
      <w:r>
        <w:rPr>
          <w:rFonts w:ascii="Arial" w:hAnsi="Arial" w:cs="Arial"/>
          <w:noProof/>
          <w:sz w:val="22"/>
          <w:szCs w:val="22"/>
        </w:rPr>
        <mc:AlternateContent>
          <mc:Choice Requires="wps">
            <w:drawing>
              <wp:anchor distT="0" distB="0" distL="114300" distR="114300" simplePos="0" relativeHeight="251660288" behindDoc="0" locked="0" layoutInCell="1" allowOverlap="1" wp14:anchorId="5DB56E21" wp14:editId="144ECC05">
                <wp:simplePos x="0" y="0"/>
                <wp:positionH relativeFrom="column">
                  <wp:posOffset>19050</wp:posOffset>
                </wp:positionH>
                <wp:positionV relativeFrom="paragraph">
                  <wp:posOffset>0</wp:posOffset>
                </wp:positionV>
                <wp:extent cx="1468928" cy="172227"/>
                <wp:effectExtent l="0" t="0" r="0" b="0"/>
                <wp:wrapNone/>
                <wp:docPr id="2" name="Textfeld 1"/>
                <wp:cNvGraphicFramePr/>
                <a:graphic xmlns:a="http://schemas.openxmlformats.org/drawingml/2006/main">
                  <a:graphicData uri="http://schemas.microsoft.com/office/word/2010/wordprocessingShape">
                    <wps:wsp>
                      <wps:cNvSpPr txBox="1"/>
                      <wps:spPr bwMode="auto">
                        <a:xfrm>
                          <a:off x="0" y="0"/>
                          <a:ext cx="1468928" cy="172227"/>
                        </a:xfrm>
                        <a:prstGeom prst="rect">
                          <a:avLst/>
                        </a:prstGeom>
                        <a:noFill/>
                      </wps:spPr>
                      <wps:style>
                        <a:lnRef idx="0">
                          <a:srgbClr val="000000"/>
                        </a:lnRef>
                        <a:fillRef idx="0">
                          <a:srgbClr val="000000"/>
                        </a:fillRef>
                        <a:effectRef idx="0">
                          <a:srgbClr val="000000"/>
                        </a:effectRef>
                        <a:fontRef idx="minor">
                          <a:schemeClr val="tx1"/>
                        </a:fontRef>
                      </wps:style>
                      <wps:txbx>
                        <w:txbxContent>
                          <w:p w14:paraId="6673A32B" w14:textId="77777777" w:rsidR="00D16BD2" w:rsidRDefault="00D16BD2" w:rsidP="00187C95">
                            <w:pPr>
                              <w:rPr>
                                <w:rFonts w:ascii="Cambria Math" w:eastAsia="Cambria Math" w:hAnsi="Cambria Math"/>
                                <w:i/>
                                <w:iCs/>
                                <w:color w:val="000000" w:themeColor="text1"/>
                              </w:rPr>
                            </w:pPr>
                            <m:oMathPara>
                              <m:oMathParaPr>
                                <m:jc m:val="centerGroup"/>
                              </m:oMathParaPr>
                              <m:oMath>
                                <m:r>
                                  <w:rPr>
                                    <w:rFonts w:ascii="Cambria Math" w:eastAsia="Cambria Math" w:hAnsi="Cambria Math"/>
                                    <w:color w:val="000000" w:themeColor="text1"/>
                                  </w:rPr>
                                  <m:t>∆Q=Conc. receiver ∆t</m:t>
                                </m:r>
                              </m:oMath>
                            </m:oMathPara>
                          </w:p>
                        </w:txbxContent>
                      </wps:txbx>
                      <wps:bodyPr vertOverflow="clip" horzOverflow="clip" wrap="none" lIns="0" tIns="0" rIns="0" bIns="0" rtlCol="0" anchor="t">
                        <a:spAutoFit/>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5DB56E21" id="Textfeld 1" o:spid="_x0000_s1027" type="#_x0000_t202" style="position:absolute;left:0;text-align:left;margin-left:1.5pt;margin-top:0;width:115.65pt;height:13.55pt;z-index:25166028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" filled="f" stroked="f">
                <v:textbox style="mso-fit-shape-to-text:t" inset="0,0,0,0">
                  <w:txbxContent>
                    <w:p w14:paraId="6673A32B" w14:textId="77777777" w:rsidR="00D16BD2" w:rsidRDefault="00D16BD2" w:rsidP="00187C95">
                      <w:pPr>
                        <w:rPr>
                          <w:rFonts w:ascii="Cambria Math" w:eastAsia="Cambria Math" w:hAnsi="Cambria Math"/>
                          <w:i/>
                          <w:iCs/>
                          <w:color w:val="000000" w:themeColor="text1"/>
                        </w:rPr>
                      </w:pPr>
                      <m:oMathPara>
                        <m:oMathParaPr>
                          <m:jc m:val="centerGroup"/>
                        </m:oMathParaPr>
                        <m:oMath>
                          <m:r>
                            <w:rPr>
                              <w:rFonts w:ascii="Cambria Math" w:eastAsia="Cambria Math" w:hAnsi="Cambria Math"/>
                              <w:color w:val="000000" w:themeColor="text1"/>
                            </w:rPr>
                            <m:t>∆Q=Conc. receiver ∆t</m:t>
                          </m:r>
                        </m:oMath>
                      </m:oMathPara>
                    </w:p>
                  </w:txbxContent>
                </v:textbox>
              </v:shape>
            </w:pict>
          </mc:Fallback>
        </mc:AlternateContent>
      </w:r>
      <w:r>
        <w:rPr>
          <w:rFonts w:ascii="Arial" w:hAnsi="Arial" w:cs="Arial"/>
          <w:noProof/>
          <w:sz w:val="22"/>
          <w:szCs w:val="22"/>
        </w:rPr>
        <mc:AlternateContent>
          <mc:Choice Requires="wps">
            <w:drawing>
              <wp:anchor distT="0" distB="0" distL="114300" distR="114300" simplePos="0" relativeHeight="251661312" behindDoc="0" locked="0" layoutInCell="1" allowOverlap="1" wp14:anchorId="2DF5A21A" wp14:editId="43588175">
                <wp:simplePos x="0" y="0"/>
                <wp:positionH relativeFrom="column">
                  <wp:posOffset>19050</wp:posOffset>
                </wp:positionH>
                <wp:positionV relativeFrom="paragraph">
                  <wp:posOffset>226060</wp:posOffset>
                </wp:positionV>
                <wp:extent cx="1366400" cy="172227"/>
                <wp:effectExtent l="0" t="0" r="0" b="0"/>
                <wp:wrapNone/>
                <wp:docPr id="3" name="Textfeld 2"/>
                <wp:cNvGraphicFramePr/>
                <a:graphic xmlns:a="http://schemas.openxmlformats.org/drawingml/2006/main">
                  <a:graphicData uri="http://schemas.microsoft.com/office/word/2010/wordprocessingShape">
                    <wps:wsp>
                      <wps:cNvSpPr txBox="1"/>
                      <wps:spPr bwMode="auto">
                        <a:xfrm>
                          <a:off x="0" y="0"/>
                          <a:ext cx="1366400" cy="172227"/>
                        </a:xfrm>
                        <a:prstGeom prst="rect">
                          <a:avLst/>
                        </a:prstGeom>
                        <a:noFill/>
                      </wps:spPr>
                      <wps:style>
                        <a:lnRef idx="0">
                          <a:srgbClr val="000000"/>
                        </a:lnRef>
                        <a:fillRef idx="0">
                          <a:srgbClr val="000000"/>
                        </a:fillRef>
                        <a:effectRef idx="0">
                          <a:srgbClr val="000000"/>
                        </a:effectRef>
                        <a:fontRef idx="minor">
                          <a:schemeClr val="tx1"/>
                        </a:fontRef>
                      </wps:style>
                      <wps:txbx>
                        <w:txbxContent>
                          <w:p w14:paraId="3CA98BED" w14:textId="77777777" w:rsidR="00D16BD2" w:rsidRDefault="00D16BD2" w:rsidP="00187C95">
                            <w:pPr>
                              <w:rPr>
                                <w:rFonts w:ascii="Cambria Math" w:eastAsia="Cambria Math" w:hAnsi="Cambria Math"/>
                                <w:i/>
                                <w:iCs/>
                                <w:color w:val="000000" w:themeColor="text1"/>
                              </w:rPr>
                            </w:pPr>
                            <m:oMathPara>
                              <m:oMathParaPr>
                                <m:jc m:val="centerGroup"/>
                              </m:oMathParaPr>
                              <m:oMath>
                                <m:r>
                                  <w:rPr>
                                    <w:rFonts w:ascii="Cambria Math" w:eastAsia="Cambria Math" w:hAnsi="Cambria Math"/>
                                    <w:color w:val="000000" w:themeColor="text1"/>
                                  </w:rPr>
                                  <m:t>∆t=incubation time</m:t>
                                </m:r>
                              </m:oMath>
                            </m:oMathPara>
                          </w:p>
                        </w:txbxContent>
                      </wps:txbx>
                      <wps:bodyPr vertOverflow="clip" horzOverflow="clip" wrap="none" lIns="0" tIns="0" rIns="0" bIns="0" rtlCol="0" anchor="t">
                        <a:spAutoFit/>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2DF5A21A" id="Textfeld 2" o:spid="_x0000_s1028" type="#_x0000_t202" style="position:absolute;left:0;text-align:left;margin-left:1.5pt;margin-top:17.8pt;width:107.6pt;height:13.55pt;z-index:25166131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" filled="f" stroked="f">
                <v:textbox style="mso-fit-shape-to-text:t" inset="0,0,0,0">
                  <w:txbxContent>
                    <w:p w14:paraId="3CA98BED" w14:textId="77777777" w:rsidR="00D16BD2" w:rsidRDefault="00D16BD2" w:rsidP="00187C95">
                      <w:pPr>
                        <w:rPr>
                          <w:rFonts w:ascii="Cambria Math" w:eastAsia="Cambria Math" w:hAnsi="Cambria Math"/>
                          <w:i/>
                          <w:iCs/>
                          <w:color w:val="000000" w:themeColor="text1"/>
                        </w:rPr>
                      </w:pPr>
                      <m:oMathPara>
                        <m:oMathParaPr>
                          <m:jc m:val="centerGroup"/>
                        </m:oMathParaPr>
                        <m:oMath>
                          <m:r>
                            <w:rPr>
                              <w:rFonts w:ascii="Cambria Math" w:eastAsia="Cambria Math" w:hAnsi="Cambria Math"/>
                              <w:color w:val="000000" w:themeColor="text1"/>
                            </w:rPr>
                            <m:t>∆t=incubation time</m:t>
                          </m:r>
                        </m:oMath>
                      </m:oMathPara>
                    </w:p>
                  </w:txbxContent>
                </v:textbox>
              </v:shape>
            </w:pict>
          </mc:Fallback>
        </mc:AlternateContent>
      </w:r>
      <w:r>
        <w:rPr>
          <w:rFonts w:ascii="Arial" w:hAnsi="Arial" w:cs="Arial"/>
          <w:noProof/>
          <w:sz w:val="22"/>
          <w:szCs w:val="22"/>
        </w:rPr>
        <mc:AlternateContent>
          <mc:Choice Requires="wps">
            <w:drawing>
              <wp:anchor distT="0" distB="0" distL="114300" distR="114300" simplePos="0" relativeHeight="251662336" behindDoc="0" locked="0" layoutInCell="1" allowOverlap="1" wp14:anchorId="356B4051" wp14:editId="6E8F42F5">
                <wp:simplePos x="0" y="0"/>
                <wp:positionH relativeFrom="column">
                  <wp:posOffset>0</wp:posOffset>
                </wp:positionH>
                <wp:positionV relativeFrom="paragraph">
                  <wp:posOffset>368935</wp:posOffset>
                </wp:positionV>
                <wp:extent cx="1933478" cy="339708"/>
                <wp:effectExtent l="0" t="0" r="0" b="0"/>
                <wp:wrapNone/>
                <wp:docPr id="4" name="Textfeld 3"/>
                <wp:cNvGraphicFramePr/>
                <a:graphic xmlns:a="http://schemas.openxmlformats.org/drawingml/2006/main">
                  <a:graphicData uri="http://schemas.microsoft.com/office/word/2010/wordprocessingShape">
                    <wps:wsp>
                      <wps:cNvSpPr txBox="1"/>
                      <wps:spPr bwMode="auto">
                        <a:xfrm>
                          <a:off x="0" y="0"/>
                          <a:ext cx="1933478" cy="339708"/>
                        </a:xfrm>
                        <a:prstGeom prst="rect">
                          <a:avLst/>
                        </a:prstGeom>
                        <a:noFill/>
                      </wps:spPr>
                      <wps:style>
                        <a:lnRef idx="0">
                          <a:srgbClr val="000000"/>
                        </a:lnRef>
                        <a:fillRef idx="0">
                          <a:srgbClr val="000000"/>
                        </a:fillRef>
                        <a:effectRef idx="0">
                          <a:srgbClr val="000000"/>
                        </a:effectRef>
                        <a:fontRef idx="minor">
                          <a:schemeClr val="tx1"/>
                        </a:fontRef>
                      </wps:style>
                      <wps:txbx>
                        <w:txbxContent>
                          <w:p w14:paraId="2A733EB1" w14:textId="77777777" w:rsidR="00D16BD2" w:rsidRDefault="00D16BD2" w:rsidP="00187C95">
                            <w:pPr>
                              <w:rPr>
                                <w:rFonts w:ascii="Cambria Math" w:hAnsi="Cambria Math"/>
                                <w:i/>
                                <w:iCs/>
                                <w:color w:val="000000" w:themeColor="text1"/>
                              </w:rPr>
                            </w:pPr>
                            <m:oMathPara>
                              <m:oMathParaPr>
                                <m:jc m:val="centerGroup"/>
                              </m:oMathParaPr>
                              <m:oMath>
                                <m:r>
                                  <w:rPr>
                                    <w:rFonts w:ascii="Cambria Math" w:hAnsi="Cambria Math"/>
                                    <w:color w:val="000000" w:themeColor="text1"/>
                                  </w:rPr>
                                  <m:t>A=filter surface area [</m:t>
                                </m:r>
                                <m:f>
                                  <m:fPr>
                                    <m:ctrlPr>
                                      <w:rPr>
                                        <w:rFonts w:ascii="Cambria Math" w:eastAsiaTheme="minorEastAsia" w:hAnsi="Cambria Math" w:cs="Cambria Math"/>
                                        <w:i/>
                                        <w:iCs/>
                                        <w:color w:val="000000" w:themeColor="text1"/>
                                      </w:rPr>
                                    </m:ctrlPr>
                                  </m:fPr>
                                  <m:num>
                                    <m:sSup>
                                      <m:sSupPr>
                                        <m:ctrlPr>
                                          <w:rPr>
                                            <w:rFonts w:ascii="Cambria Math" w:eastAsiaTheme="minorEastAsia" w:hAnsi="Cambria Math" w:cs="Cambria Math"/>
                                            <w:i/>
                                            <w:iCs/>
                                            <w:color w:val="000000" w:themeColor="text1"/>
                                          </w:rPr>
                                        </m:ctrlPr>
                                      </m:sSupPr>
                                      <m:e>
                                        <m:r>
                                          <w:rPr>
                                            <w:rFonts w:ascii="Cambria Math" w:hAnsi="Cambria Math"/>
                                            <w:color w:val="000000" w:themeColor="text1"/>
                                          </w:rPr>
                                          <m:t>cm</m:t>
                                        </m:r>
                                      </m:e>
                                      <m:sup>
                                        <m:r>
                                          <w:rPr>
                                            <w:rFonts w:ascii="Cambria Math" w:hAnsi="Cambria Math"/>
                                            <w:color w:val="000000" w:themeColor="text1"/>
                                          </w:rPr>
                                          <m:t>2</m:t>
                                        </m:r>
                                      </m:sup>
                                    </m:sSup>
                                  </m:num>
                                  <m:den>
                                    <m:r>
                                      <w:rPr>
                                        <w:rFonts w:ascii="Cambria Math" w:hAnsi="Cambria Math"/>
                                        <w:color w:val="000000" w:themeColor="text1"/>
                                      </w:rPr>
                                      <m:t>well</m:t>
                                    </m:r>
                                  </m:den>
                                </m:f>
                                <m:r>
                                  <w:rPr>
                                    <w:rFonts w:ascii="Cambria Math" w:hAnsi="Cambria Math"/>
                                    <w:color w:val="000000" w:themeColor="text1"/>
                                  </w:rPr>
                                  <m:t>]</m:t>
                                </m:r>
                              </m:oMath>
                            </m:oMathPara>
                          </w:p>
                        </w:txbxContent>
                      </wps:txbx>
                      <wps:bodyPr vertOverflow="clip" horzOverflow="clip" wrap="none" lIns="0" tIns="0" rIns="0" bIns="0" rtlCol="0" anchor="t">
                        <a:spAutoFit/>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356B4051" id="Textfeld 3" o:spid="_x0000_s1029" type="#_x0000_t202" style="position:absolute;left:0;text-align:left;margin-left:0;margin-top:29.05pt;width:152.25pt;height:26.75pt;z-index:25166233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" filled="f" stroked="f">
                <v:textbox style="mso-fit-shape-to-text:t" inset="0,0,0,0">
                  <w:txbxContent>
                    <w:p w14:paraId="2A733EB1" w14:textId="77777777" w:rsidR="00D16BD2" w:rsidRDefault="00D16BD2" w:rsidP="00187C95">
                      <w:pPr>
                        <w:rPr>
                          <w:rFonts w:ascii="Cambria Math" w:hAnsi="Cambria Math"/>
                          <w:i/>
                          <w:iCs/>
                          <w:color w:val="000000" w:themeColor="text1"/>
                        </w:rPr>
                      </w:pPr>
                      <m:oMathPara>
                        <m:oMathParaPr>
                          <m:jc m:val="centerGroup"/>
                        </m:oMathParaPr>
                        <m:oMath>
                          <m:r>
                            <w:rPr>
                              <w:rFonts w:ascii="Cambria Math" w:hAnsi="Cambria Math"/>
                              <w:color w:val="000000" w:themeColor="text1"/>
                            </w:rPr>
                            <m:t>A=filter surface area [</m:t>
                          </m:r>
                          <m:f>
                            <m:fPr>
                              <m:ctrlPr>
                                <w:rPr>
                                  <w:rFonts w:ascii="Cambria Math" w:eastAsiaTheme="minorEastAsia" w:hAnsi="Cambria Math" w:cs="Cambria Math"/>
                                  <w:i/>
                                  <w:iCs/>
                                  <w:color w:val="000000" w:themeColor="text1"/>
                                </w:rPr>
                              </m:ctrlPr>
                            </m:fPr>
                            <m:num>
                              <m:sSup>
                                <m:sSupPr>
                                  <m:ctrlPr>
                                    <w:rPr>
                                      <w:rFonts w:ascii="Cambria Math" w:eastAsiaTheme="minorEastAsia" w:hAnsi="Cambria Math" w:cs="Cambria Math"/>
                                      <w:i/>
                                      <w:iCs/>
                                      <w:color w:val="000000" w:themeColor="text1"/>
                                    </w:rPr>
                                  </m:ctrlPr>
                                </m:sSupPr>
                                <m:e>
                                  <m:r>
                                    <w:rPr>
                                      <w:rFonts w:ascii="Cambria Math" w:hAnsi="Cambria Math"/>
                                      <w:color w:val="000000" w:themeColor="text1"/>
                                    </w:rPr>
                                    <m:t>cm</m:t>
                                  </m:r>
                                </m:e>
                                <m:sup>
                                  <m:r>
                                    <w:rPr>
                                      <w:rFonts w:ascii="Cambria Math" w:hAnsi="Cambria Math"/>
                                      <w:color w:val="000000" w:themeColor="text1"/>
                                    </w:rPr>
                                    <m:t>2</m:t>
                                  </m:r>
                                </m:sup>
                              </m:sSup>
                            </m:num>
                            <m:den>
                              <m:r>
                                <w:rPr>
                                  <w:rFonts w:ascii="Cambria Math" w:hAnsi="Cambria Math"/>
                                  <w:color w:val="000000" w:themeColor="text1"/>
                                </w:rPr>
                                <m:t>well</m:t>
                              </m:r>
                            </m:den>
                          </m:f>
                          <m:r>
                            <w:rPr>
                              <w:rFonts w:ascii="Cambria Math" w:hAnsi="Cambria Math"/>
                              <w:color w:val="000000" w:themeColor="text1"/>
                            </w:rPr>
                            <m:t>]</m:t>
                          </m:r>
                        </m:oMath>
                      </m:oMathPara>
                    </w:p>
                  </w:txbxContent>
                </v:textbox>
              </v:shape>
            </w:pict>
          </mc:Fallback>
        </mc:AlternateContent>
      </w:r>
      <w:r>
        <w:rPr>
          <w:rFonts w:ascii="Arial" w:hAnsi="Arial" w:cs="Arial"/>
          <w:noProof/>
          <w:sz w:val="22"/>
          <w:szCs w:val="22"/>
        </w:rPr>
        <mc:AlternateContent>
          <mc:Choice Requires="wps">
            <w:drawing>
              <wp:anchor distT="0" distB="0" distL="114300" distR="114300" simplePos="0" relativeHeight="251663360" behindDoc="0" locked="0" layoutInCell="1" allowOverlap="1" wp14:anchorId="0908A18D" wp14:editId="2B2A4B1B">
                <wp:simplePos x="0" y="0"/>
                <wp:positionH relativeFrom="column">
                  <wp:posOffset>9525</wp:posOffset>
                </wp:positionH>
                <wp:positionV relativeFrom="paragraph">
                  <wp:posOffset>784860</wp:posOffset>
                </wp:positionV>
                <wp:extent cx="1293046" cy="172227"/>
                <wp:effectExtent l="0" t="0" r="0" b="0"/>
                <wp:wrapNone/>
                <wp:docPr id="5" name="Textfeld 4"/>
                <wp:cNvGraphicFramePr/>
                <a:graphic xmlns:a="http://schemas.openxmlformats.org/drawingml/2006/main">
                  <a:graphicData uri="http://schemas.microsoft.com/office/word/2010/wordprocessingShape">
                    <wps:wsp>
                      <wps:cNvSpPr txBox="1"/>
                      <wps:spPr bwMode="auto">
                        <a:xfrm>
                          <a:off x="0" y="0"/>
                          <a:ext cx="1293046" cy="172227"/>
                        </a:xfrm>
                        <a:prstGeom prst="rect">
                          <a:avLst/>
                        </a:prstGeom>
                        <a:noFill/>
                      </wps:spPr>
                      <wps:style>
                        <a:lnRef idx="0">
                          <a:srgbClr val="000000"/>
                        </a:lnRef>
                        <a:fillRef idx="0">
                          <a:srgbClr val="000000"/>
                        </a:fillRef>
                        <a:effectRef idx="0">
                          <a:srgbClr val="000000"/>
                        </a:effectRef>
                        <a:fontRef idx="minor">
                          <a:schemeClr val="tx1"/>
                        </a:fontRef>
                      </wps:style>
                      <wps:txbx>
                        <w:txbxContent>
                          <w:p w14:paraId="77023CE0" w14:textId="77777777" w:rsidR="00D16BD2" w:rsidRDefault="00DA725F" w:rsidP="00187C95">
                            <w:pPr>
                              <w:rPr>
                                <w:rFonts w:ascii="Cambria Math" w:hAnsi="+mn-cs"/>
                                <w:i/>
                                <w:iCs/>
                                <w:color w:val="000000" w:themeColor="text1"/>
                              </w:rPr>
                            </w:pPr>
                            <m:oMathPara>
                              <m:oMathParaPr>
                                <m:jc m:val="centerGroup"/>
                              </m:oMathParaPr>
                              <m:oMath>
                                <m:sSub>
                                  <m:sSubPr>
                                    <m:ctrlPr>
                                      <w:rPr>
                                        <w:rFonts w:ascii="Cambria Math" w:eastAsiaTheme="minorEastAsia" w:hAnsi="Cambria Math" w:cs="Cambria Math"/>
                                        <w:i/>
                                        <w:iCs/>
                                        <w:color w:val="000000" w:themeColor="text1"/>
                                      </w:rPr>
                                    </m:ctrlPr>
                                  </m:sSubPr>
                                  <m:e>
                                    <m:r>
                                      <w:rPr>
                                        <w:rFonts w:ascii="Cambria Math" w:hAnsi="Cambria Math"/>
                                        <w:color w:val="000000" w:themeColor="text1"/>
                                      </w:rPr>
                                      <m:t>C</m:t>
                                    </m:r>
                                  </m:e>
                                  <m:sub>
                                    <m:r>
                                      <w:rPr>
                                        <w:rFonts w:ascii="Cambria Math" w:hAnsi="Cambria Math"/>
                                        <w:color w:val="000000" w:themeColor="text1"/>
                                      </w:rPr>
                                      <m:t>D</m:t>
                                    </m:r>
                                  </m:sub>
                                </m:sSub>
                                <m:r>
                                  <w:rPr>
                                    <w:rFonts w:ascii="Cambria Math" w:hAnsi="Cambria Math"/>
                                    <w:color w:val="000000" w:themeColor="text1"/>
                                  </w:rPr>
                                  <m:t>=Conc. donor ∆</m:t>
                                </m:r>
                                <m:r>
                                  <w:rPr>
                                    <w:rFonts w:ascii="Cambria Math" w:eastAsia="Cambria Math" w:hAnsi="Cambria Math"/>
                                    <w:color w:val="000000" w:themeColor="text1"/>
                                  </w:rPr>
                                  <m:t>t</m:t>
                                </m:r>
                              </m:oMath>
                            </m:oMathPara>
                          </w:p>
                        </w:txbxContent>
                      </wps:txbx>
                      <wps:bodyPr vertOverflow="clip" horzOverflow="clip" wrap="none" lIns="0" tIns="0" rIns="0" bIns="0" rtlCol="0" anchor="t">
                        <a:spAutoFit/>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0908A18D" id="Textfeld 4" o:spid="_x0000_s1030" type="#_x0000_t202" style="position:absolute;left:0;text-align:left;margin-left:.75pt;margin-top:61.8pt;width:101.8pt;height:13.55pt;z-index:25166336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" filled="f" stroked="f">
                <v:textbox style="mso-fit-shape-to-text:t" inset="0,0,0,0">
                  <w:txbxContent>
                    <w:p w14:paraId="77023CE0" w14:textId="77777777" w:rsidR="00D16BD2" w:rsidRDefault="00F353DA" w:rsidP="00187C95">
                      <w:pPr>
                        <w:rPr>
                          <w:rFonts w:ascii="Cambria Math" w:hAnsi="+mn-cs"/>
                          <w:i/>
                          <w:iCs/>
                          <w:color w:val="000000" w:themeColor="text1"/>
                        </w:rPr>
                      </w:pPr>
                      <m:oMathPara>
                        <m:oMathParaPr>
                          <m:jc m:val="centerGroup"/>
                        </m:oMathParaPr>
                        <m:oMath>
                          <m:sSub>
                            <m:sSubPr>
                              <m:ctrlPr>
                                <w:rPr>
                                  <w:rFonts w:ascii="Cambria Math" w:eastAsiaTheme="minorEastAsia" w:hAnsi="Cambria Math" w:cs="Cambria Math"/>
                                  <w:i/>
                                  <w:iCs/>
                                  <w:color w:val="000000" w:themeColor="text1"/>
                                </w:rPr>
                              </m:ctrlPr>
                            </m:sSubPr>
                            <m:e>
                              <m:r>
                                <w:rPr>
                                  <w:rFonts w:ascii="Cambria Math" w:hAnsi="Cambria Math"/>
                                  <w:color w:val="000000" w:themeColor="text1"/>
                                </w:rPr>
                                <m:t>C</m:t>
                              </m:r>
                            </m:e>
                            <m:sub>
                              <m:r>
                                <w:rPr>
                                  <w:rFonts w:ascii="Cambria Math" w:hAnsi="Cambria Math"/>
                                  <w:color w:val="000000" w:themeColor="text1"/>
                                </w:rPr>
                                <m:t>D</m:t>
                              </m:r>
                            </m:sub>
                          </m:sSub>
                          <m:r>
                            <w:rPr>
                              <w:rFonts w:ascii="Cambria Math" w:hAnsi="Cambria Math"/>
                              <w:color w:val="000000" w:themeColor="text1"/>
                            </w:rPr>
                            <m:t>=Conc. donor ∆</m:t>
                          </m:r>
                          <m:r>
                            <w:rPr>
                              <w:rFonts w:ascii="Cambria Math" w:eastAsia="Cambria Math" w:hAnsi="Cambria Math"/>
                              <w:color w:val="000000" w:themeColor="text1"/>
                            </w:rPr>
                            <m:t>t</m:t>
                          </m:r>
                        </m:oMath>
                      </m:oMathPara>
                    </w:p>
                  </w:txbxContent>
                </v:textbox>
              </v:shape>
            </w:pict>
          </mc:Fallback>
        </mc:AlternateContent>
      </w:r>
      <w:r>
        <w:rPr>
          <w:rFonts w:ascii="Arial" w:hAnsi="Arial" w:cs="Arial"/>
          <w:noProof/>
          <w:sz w:val="22"/>
          <w:szCs w:val="22"/>
        </w:rPr>
        <mc:AlternateContent>
          <mc:Choice Requires="wps">
            <w:drawing>
              <wp:anchor distT="0" distB="0" distL="114300" distR="114300" simplePos="0" relativeHeight="251664384" behindDoc="0" locked="0" layoutInCell="1" allowOverlap="1" wp14:anchorId="10901D15" wp14:editId="03B8730B">
                <wp:simplePos x="0" y="0"/>
                <wp:positionH relativeFrom="column">
                  <wp:posOffset>4445</wp:posOffset>
                </wp:positionH>
                <wp:positionV relativeFrom="paragraph">
                  <wp:posOffset>1012825</wp:posOffset>
                </wp:positionV>
                <wp:extent cx="1289327" cy="172227"/>
                <wp:effectExtent l="0" t="0" r="0" b="0"/>
                <wp:wrapNone/>
                <wp:docPr id="6" name="Textfeld 5"/>
                <wp:cNvGraphicFramePr/>
                <a:graphic xmlns:a="http://schemas.openxmlformats.org/drawingml/2006/main">
                  <a:graphicData uri="http://schemas.microsoft.com/office/word/2010/wordprocessingShape">
                    <wps:wsp>
                      <wps:cNvSpPr txBox="1"/>
                      <wps:spPr bwMode="auto">
                        <a:xfrm>
                          <a:off x="0" y="0"/>
                          <a:ext cx="1289327" cy="172227"/>
                        </a:xfrm>
                        <a:prstGeom prst="rect">
                          <a:avLst/>
                        </a:prstGeom>
                        <a:noFill/>
                      </wps:spPr>
                      <wps:style>
                        <a:lnRef idx="0">
                          <a:srgbClr val="000000"/>
                        </a:lnRef>
                        <a:fillRef idx="0">
                          <a:srgbClr val="000000"/>
                        </a:fillRef>
                        <a:effectRef idx="0">
                          <a:srgbClr val="000000"/>
                        </a:effectRef>
                        <a:fontRef idx="minor">
                          <a:schemeClr val="tx1"/>
                        </a:fontRef>
                      </wps:style>
                      <wps:txbx>
                        <w:txbxContent>
                          <w:p w14:paraId="3D61E261" w14:textId="77777777" w:rsidR="00D16BD2" w:rsidRDefault="00DA725F" w:rsidP="00187C95">
                            <w:pPr>
                              <w:rPr>
                                <w:rFonts w:ascii="Cambria Math" w:hAnsi="+mn-cs"/>
                                <w:i/>
                                <w:iCs/>
                                <w:color w:val="000000" w:themeColor="text1"/>
                              </w:rPr>
                            </w:pPr>
                            <m:oMathPara>
                              <m:oMathParaPr>
                                <m:jc m:val="centerGroup"/>
                              </m:oMathParaPr>
                              <m:oMath>
                                <m:sSub>
                                  <m:sSubPr>
                                    <m:ctrlPr>
                                      <w:rPr>
                                        <w:rFonts w:ascii="Cambria Math" w:eastAsiaTheme="minorEastAsia" w:hAnsi="Cambria Math" w:cs="Cambria Math"/>
                                        <w:i/>
                                        <w:iCs/>
                                        <w:color w:val="000000" w:themeColor="text1"/>
                                      </w:rPr>
                                    </m:ctrlPr>
                                  </m:sSubPr>
                                  <m:e>
                                    <m:r>
                                      <w:rPr>
                                        <w:rFonts w:ascii="Cambria Math" w:hAnsi="Cambria Math"/>
                                        <w:color w:val="000000" w:themeColor="text1"/>
                                      </w:rPr>
                                      <m:t>C</m:t>
                                    </m:r>
                                  </m:e>
                                  <m:sub>
                                    <m:r>
                                      <w:rPr>
                                        <w:rFonts w:ascii="Cambria Math" w:hAnsi="Cambria Math"/>
                                        <w:color w:val="000000" w:themeColor="text1"/>
                                      </w:rPr>
                                      <m:t>0</m:t>
                                    </m:r>
                                  </m:sub>
                                </m:sSub>
                                <m:r>
                                  <w:rPr>
                                    <w:rFonts w:ascii="Cambria Math" w:hAnsi="Cambria Math"/>
                                    <w:color w:val="000000" w:themeColor="text1"/>
                                  </w:rPr>
                                  <m:t>=Conc. donor </m:t>
                                </m:r>
                                <m:sSub>
                                  <m:sSubPr>
                                    <m:ctrlPr>
                                      <w:rPr>
                                        <w:rFonts w:ascii="Cambria Math" w:eastAsiaTheme="minorEastAsia" w:hAnsi="Cambria Math" w:cs="Cambria Math"/>
                                        <w:i/>
                                        <w:iCs/>
                                        <w:color w:val="000000" w:themeColor="text1"/>
                                      </w:rPr>
                                    </m:ctrlPr>
                                  </m:sSubPr>
                                  <m:e>
                                    <m:r>
                                      <w:rPr>
                                        <w:rFonts w:ascii="Cambria Math" w:hAnsi="Cambria Math"/>
                                        <w:color w:val="000000" w:themeColor="text1"/>
                                      </w:rPr>
                                      <m:t>t</m:t>
                                    </m:r>
                                  </m:e>
                                  <m:sub>
                                    <m:r>
                                      <w:rPr>
                                        <w:rFonts w:ascii="Cambria Math" w:hAnsi="Cambria Math"/>
                                        <w:color w:val="000000" w:themeColor="text1"/>
                                      </w:rPr>
                                      <m:t>0</m:t>
                                    </m:r>
                                  </m:sub>
                                </m:sSub>
                              </m:oMath>
                            </m:oMathPara>
                          </w:p>
                        </w:txbxContent>
                      </wps:txbx>
                      <wps:bodyPr vertOverflow="clip" horzOverflow="clip" wrap="none" lIns="0" tIns="0" rIns="0" bIns="0" rtlCol="0" anchor="t">
                        <a:spAutoFit/>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10901D15" id="Textfeld 5" o:spid="_x0000_s1031" type="#_x0000_t202" style="position:absolute;left:0;text-align:left;margin-left:.35pt;margin-top:79.75pt;width:101.5pt;height:13.55pt;z-index:25166438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" filled="f" stroked="f">
                <v:textbox style="mso-fit-shape-to-text:t" inset="0,0,0,0">
                  <w:txbxContent>
                    <w:p w14:paraId="3D61E261" w14:textId="77777777" w:rsidR="00D16BD2" w:rsidRDefault="00F353DA" w:rsidP="00187C95">
                      <w:pPr>
                        <w:rPr>
                          <w:rFonts w:ascii="Cambria Math" w:hAnsi="+mn-cs"/>
                          <w:i/>
                          <w:iCs/>
                          <w:color w:val="000000" w:themeColor="text1"/>
                        </w:rPr>
                      </w:pPr>
                      <m:oMathPara>
                        <m:oMathParaPr>
                          <m:jc m:val="centerGroup"/>
                        </m:oMathParaPr>
                        <m:oMath>
                          <m:sSub>
                            <m:sSubPr>
                              <m:ctrlPr>
                                <w:rPr>
                                  <w:rFonts w:ascii="Cambria Math" w:eastAsiaTheme="minorEastAsia" w:hAnsi="Cambria Math" w:cs="Cambria Math"/>
                                  <w:i/>
                                  <w:iCs/>
                                  <w:color w:val="000000" w:themeColor="text1"/>
                                </w:rPr>
                              </m:ctrlPr>
                            </m:sSubPr>
                            <m:e>
                              <m:r>
                                <w:rPr>
                                  <w:rFonts w:ascii="Cambria Math" w:hAnsi="Cambria Math"/>
                                  <w:color w:val="000000" w:themeColor="text1"/>
                                </w:rPr>
                                <m:t>C</m:t>
                              </m:r>
                            </m:e>
                            <m:sub>
                              <m:r>
                                <w:rPr>
                                  <w:rFonts w:ascii="Cambria Math" w:hAnsi="Cambria Math"/>
                                  <w:color w:val="000000" w:themeColor="text1"/>
                                </w:rPr>
                                <m:t>0</m:t>
                              </m:r>
                            </m:sub>
                          </m:sSub>
                          <m:r>
                            <w:rPr>
                              <w:rFonts w:ascii="Cambria Math" w:hAnsi="Cambria Math"/>
                              <w:color w:val="000000" w:themeColor="text1"/>
                            </w:rPr>
                            <m:t>=Conc. donor </m:t>
                          </m:r>
                          <m:sSub>
                            <m:sSubPr>
                              <m:ctrlPr>
                                <w:rPr>
                                  <w:rFonts w:ascii="Cambria Math" w:eastAsiaTheme="minorEastAsia" w:hAnsi="Cambria Math" w:cs="Cambria Math"/>
                                  <w:i/>
                                  <w:iCs/>
                                  <w:color w:val="000000" w:themeColor="text1"/>
                                </w:rPr>
                              </m:ctrlPr>
                            </m:sSubPr>
                            <m:e>
                              <m:r>
                                <w:rPr>
                                  <w:rFonts w:ascii="Cambria Math" w:hAnsi="Cambria Math"/>
                                  <w:color w:val="000000" w:themeColor="text1"/>
                                </w:rPr>
                                <m:t>t</m:t>
                              </m:r>
                            </m:e>
                            <m:sub>
                              <m:r>
                                <w:rPr>
                                  <w:rFonts w:ascii="Cambria Math" w:hAnsi="Cambria Math"/>
                                  <w:color w:val="000000" w:themeColor="text1"/>
                                </w:rPr>
                                <m:t>0</m:t>
                              </m:r>
                            </m:sub>
                          </m:sSub>
                        </m:oMath>
                      </m:oMathPara>
                    </w:p>
                  </w:txbxContent>
                </v:textbox>
              </v:shape>
            </w:pict>
          </mc:Fallback>
        </mc:AlternateContent>
      </w:r>
    </w:p>
    <w:p w14:paraId="0039ABED" w14:textId="77777777" w:rsidR="00187C95" w:rsidRDefault="00187C95" w:rsidP="00187C95">
      <w:pPr>
        <w:spacing w:after="0" w:line="300" w:lineRule="auto"/>
        <w:rPr>
          <w:rFonts w:ascii="Arial" w:hAnsi="Arial" w:cs="Arial"/>
          <w:sz w:val="22"/>
          <w:szCs w:val="22"/>
        </w:rPr>
      </w:pPr>
    </w:p>
    <w:p w14:paraId="3F85572C" w14:textId="77777777" w:rsidR="00187C95" w:rsidRDefault="00187C95" w:rsidP="00187C95">
      <w:pPr>
        <w:spacing w:after="0" w:line="300" w:lineRule="auto"/>
        <w:rPr>
          <w:rFonts w:ascii="Arial" w:hAnsi="Arial" w:cs="Arial"/>
          <w:sz w:val="22"/>
          <w:szCs w:val="22"/>
        </w:rPr>
      </w:pPr>
    </w:p>
    <w:p w14:paraId="796E160A" w14:textId="77777777" w:rsidR="00187C95" w:rsidRDefault="00187C95" w:rsidP="00187C95">
      <w:pPr>
        <w:spacing w:after="0" w:line="300" w:lineRule="auto"/>
        <w:rPr>
          <w:rFonts w:ascii="Arial" w:hAnsi="Arial" w:cs="Arial"/>
          <w:sz w:val="22"/>
          <w:szCs w:val="22"/>
        </w:rPr>
      </w:pPr>
    </w:p>
    <w:p w14:paraId="0F506ACE" w14:textId="77777777" w:rsidR="00187C95" w:rsidRDefault="00187C95" w:rsidP="00187C95">
      <w:pPr>
        <w:spacing w:after="0" w:line="300" w:lineRule="auto"/>
        <w:rPr>
          <w:rFonts w:ascii="Arial" w:hAnsi="Arial" w:cs="Arial"/>
          <w:sz w:val="22"/>
          <w:szCs w:val="22"/>
        </w:rPr>
      </w:pPr>
    </w:p>
    <w:p w14:paraId="1B1E2D57" w14:textId="77777777" w:rsidR="00187C95" w:rsidRDefault="00187C95" w:rsidP="00187C95">
      <w:pPr>
        <w:spacing w:after="0" w:line="300" w:lineRule="auto"/>
        <w:rPr>
          <w:rFonts w:ascii="Arial" w:hAnsi="Arial" w:cs="Arial"/>
          <w:sz w:val="22"/>
          <w:szCs w:val="22"/>
        </w:rPr>
      </w:pPr>
    </w:p>
    <w:p w14:paraId="6FBE2789" w14:textId="77777777" w:rsidR="00187C95" w:rsidRDefault="00187C95" w:rsidP="00187C95">
      <w:pPr>
        <w:spacing w:after="0" w:line="300" w:lineRule="auto"/>
        <w:rPr>
          <w:rFonts w:ascii="Arial" w:hAnsi="Arial" w:cs="Arial"/>
          <w:sz w:val="22"/>
          <w:szCs w:val="22"/>
        </w:rPr>
      </w:pPr>
    </w:p>
    <w:p w14:paraId="6CFFB72A" w14:textId="77777777" w:rsidR="00187C95" w:rsidRDefault="00187C95" w:rsidP="00187C95">
      <w:pPr>
        <w:spacing w:after="0" w:line="300" w:lineRule="auto"/>
        <w:jc w:val="both"/>
        <w:rPr>
          <w:rFonts w:ascii="Arial" w:hAnsi="Arial" w:cs="Arial"/>
          <w:sz w:val="22"/>
          <w:szCs w:val="22"/>
        </w:rPr>
      </w:pPr>
      <w:r>
        <w:rPr>
          <w:rFonts w:ascii="Arial" w:hAnsi="Arial" w:cs="Arial"/>
          <w:sz w:val="22"/>
          <w:szCs w:val="22"/>
        </w:rPr>
        <w:t>Quantification of sildenafil, diazepam and atenolol in apical and basolateral media samples was performed using LC-MS/MS. The same instrumentation that was used to determine the Sildenafil blood concentration was used for this purpose. The settings were maintained except for minor adjustments. Chromatographic separation of atenolol (t</w:t>
      </w:r>
      <w:r>
        <w:rPr>
          <w:rFonts w:ascii="Arial" w:hAnsi="Arial" w:cs="Arial"/>
          <w:sz w:val="22"/>
          <w:szCs w:val="22"/>
          <w:vertAlign w:val="subscript"/>
        </w:rPr>
        <w:t xml:space="preserve">R </w:t>
      </w:r>
      <w:r>
        <w:rPr>
          <w:rFonts w:ascii="Arial" w:hAnsi="Arial" w:cs="Arial"/>
          <w:sz w:val="22"/>
          <w:szCs w:val="22"/>
        </w:rPr>
        <w:t>= 3.5 min), sildenafil (t</w:t>
      </w:r>
      <w:r>
        <w:rPr>
          <w:rFonts w:ascii="Arial" w:hAnsi="Arial" w:cs="Arial"/>
          <w:sz w:val="22"/>
          <w:szCs w:val="22"/>
          <w:vertAlign w:val="subscript"/>
        </w:rPr>
        <w:t xml:space="preserve">R </w:t>
      </w:r>
      <w:r>
        <w:rPr>
          <w:rFonts w:ascii="Arial" w:hAnsi="Arial" w:cs="Arial"/>
          <w:sz w:val="22"/>
          <w:szCs w:val="22"/>
        </w:rPr>
        <w:t>= 4.3 min) and diazepam (t</w:t>
      </w:r>
      <w:r>
        <w:rPr>
          <w:rFonts w:ascii="Arial" w:hAnsi="Arial" w:cs="Arial"/>
          <w:sz w:val="22"/>
          <w:szCs w:val="22"/>
          <w:vertAlign w:val="subscript"/>
        </w:rPr>
        <w:t xml:space="preserve">R </w:t>
      </w:r>
      <w:r>
        <w:rPr>
          <w:rFonts w:ascii="Arial" w:hAnsi="Arial" w:cs="Arial"/>
          <w:sz w:val="22"/>
          <w:szCs w:val="22"/>
        </w:rPr>
        <w:t xml:space="preserve">= 5.5 min) was achieved with gradient elution within 10 min of total run-time. After positive electrospray ionization, the MS/MS detector recorded three mass transitions per drug compound (fragmentor voltage [FV] and collision energies [CE] in parentheses): Sildenafil: </w:t>
      </w:r>
      <w:r>
        <w:rPr>
          <w:rFonts w:ascii="Arial" w:hAnsi="Arial" w:cs="Arial"/>
          <w:i/>
          <w:sz w:val="22"/>
          <w:szCs w:val="22"/>
        </w:rPr>
        <w:t>m/z</w:t>
      </w:r>
      <w:r>
        <w:rPr>
          <w:rFonts w:ascii="Arial" w:hAnsi="Arial" w:cs="Arial"/>
          <w:sz w:val="22"/>
          <w:szCs w:val="22"/>
        </w:rPr>
        <w:t xml:space="preserve"> 475.2 → 58.0 (FV: 220 V, CE: 68 eV, </w:t>
      </w:r>
      <w:r>
        <w:rPr>
          <w:rFonts w:ascii="Arial" w:hAnsi="Arial" w:cs="Arial"/>
          <w:i/>
          <w:sz w:val="22"/>
          <w:szCs w:val="22"/>
        </w:rPr>
        <w:t>quantifier</w:t>
      </w:r>
      <w:r>
        <w:rPr>
          <w:rFonts w:ascii="Arial" w:hAnsi="Arial" w:cs="Arial"/>
          <w:sz w:val="22"/>
          <w:szCs w:val="22"/>
        </w:rPr>
        <w:t xml:space="preserve">), </w:t>
      </w:r>
      <w:r>
        <w:rPr>
          <w:rFonts w:ascii="Arial" w:hAnsi="Arial" w:cs="Arial"/>
          <w:i/>
          <w:sz w:val="22"/>
          <w:szCs w:val="22"/>
        </w:rPr>
        <w:t>m/z</w:t>
      </w:r>
      <w:r>
        <w:rPr>
          <w:rFonts w:ascii="Arial" w:hAnsi="Arial" w:cs="Arial"/>
          <w:sz w:val="22"/>
          <w:szCs w:val="22"/>
        </w:rPr>
        <w:t xml:space="preserve"> 475.2 → 100.0 (FV: 220 V, CE: 28 eV), </w:t>
      </w:r>
      <w:r>
        <w:rPr>
          <w:rFonts w:ascii="Arial" w:hAnsi="Arial" w:cs="Arial"/>
          <w:i/>
          <w:sz w:val="22"/>
          <w:szCs w:val="22"/>
        </w:rPr>
        <w:t>m/z</w:t>
      </w:r>
      <w:r>
        <w:rPr>
          <w:rFonts w:ascii="Arial" w:hAnsi="Arial" w:cs="Arial"/>
          <w:sz w:val="22"/>
          <w:szCs w:val="22"/>
        </w:rPr>
        <w:t xml:space="preserve"> 475.2 → 283.1 (FV: 220 V, CE: 44 eV); Diazepam: </w:t>
      </w:r>
      <w:r>
        <w:rPr>
          <w:rFonts w:ascii="Arial" w:hAnsi="Arial" w:cs="Arial"/>
          <w:i/>
          <w:sz w:val="22"/>
          <w:szCs w:val="22"/>
        </w:rPr>
        <w:t>m/z</w:t>
      </w:r>
      <w:r>
        <w:rPr>
          <w:rFonts w:ascii="Arial" w:hAnsi="Arial" w:cs="Arial"/>
          <w:sz w:val="22"/>
          <w:szCs w:val="22"/>
        </w:rPr>
        <w:t xml:space="preserve"> 285.1 → 154.1 (FV: 144 V, CE: 28 eV), </w:t>
      </w:r>
      <w:r>
        <w:rPr>
          <w:rFonts w:ascii="Arial" w:hAnsi="Arial" w:cs="Arial"/>
          <w:i/>
          <w:sz w:val="22"/>
          <w:szCs w:val="22"/>
        </w:rPr>
        <w:t>m/z</w:t>
      </w:r>
      <w:r>
        <w:rPr>
          <w:rFonts w:ascii="Arial" w:hAnsi="Arial" w:cs="Arial"/>
          <w:sz w:val="22"/>
          <w:szCs w:val="22"/>
        </w:rPr>
        <w:t xml:space="preserve"> 285.1 → 193.1 (FV: 144 V, CE: 36 eV, </w:t>
      </w:r>
      <w:r>
        <w:rPr>
          <w:rFonts w:ascii="Arial" w:hAnsi="Arial" w:cs="Arial"/>
          <w:i/>
          <w:sz w:val="22"/>
          <w:szCs w:val="22"/>
        </w:rPr>
        <w:t>quantifier</w:t>
      </w:r>
      <w:r>
        <w:rPr>
          <w:rFonts w:ascii="Arial" w:hAnsi="Arial" w:cs="Arial"/>
          <w:sz w:val="22"/>
          <w:szCs w:val="22"/>
        </w:rPr>
        <w:t xml:space="preserve">), </w:t>
      </w:r>
      <w:r>
        <w:rPr>
          <w:rFonts w:ascii="Arial" w:hAnsi="Arial" w:cs="Arial"/>
          <w:i/>
          <w:sz w:val="22"/>
          <w:szCs w:val="22"/>
        </w:rPr>
        <w:t>m/z</w:t>
      </w:r>
      <w:r>
        <w:rPr>
          <w:rFonts w:ascii="Arial" w:hAnsi="Arial" w:cs="Arial"/>
          <w:sz w:val="22"/>
          <w:szCs w:val="22"/>
        </w:rPr>
        <w:t xml:space="preserve"> 285.1 → 222.1 (FV: 144 V, CE: 28 eV) and Atenolol: </w:t>
      </w:r>
      <w:r>
        <w:rPr>
          <w:rFonts w:ascii="Arial" w:hAnsi="Arial" w:cs="Arial"/>
          <w:i/>
          <w:sz w:val="22"/>
          <w:szCs w:val="22"/>
        </w:rPr>
        <w:t>m/z</w:t>
      </w:r>
      <w:r>
        <w:rPr>
          <w:rFonts w:ascii="Arial" w:hAnsi="Arial" w:cs="Arial"/>
          <w:sz w:val="22"/>
          <w:szCs w:val="22"/>
        </w:rPr>
        <w:t xml:space="preserve"> 267.2 → 56.0 (FV: 128 V, CE: 32 eV), </w:t>
      </w:r>
      <w:r>
        <w:rPr>
          <w:rFonts w:ascii="Arial" w:hAnsi="Arial" w:cs="Arial"/>
          <w:i/>
          <w:sz w:val="22"/>
          <w:szCs w:val="22"/>
        </w:rPr>
        <w:t>m/z</w:t>
      </w:r>
      <w:r>
        <w:rPr>
          <w:rFonts w:ascii="Arial" w:hAnsi="Arial" w:cs="Arial"/>
          <w:sz w:val="22"/>
          <w:szCs w:val="22"/>
        </w:rPr>
        <w:t xml:space="preserve"> 267.2 → 74.1  (FV: 128 V, CE: 24 eV), </w:t>
      </w:r>
      <w:r>
        <w:rPr>
          <w:rFonts w:ascii="Arial" w:hAnsi="Arial" w:cs="Arial"/>
          <w:i/>
          <w:sz w:val="22"/>
          <w:szCs w:val="22"/>
        </w:rPr>
        <w:t>m/z</w:t>
      </w:r>
      <w:r>
        <w:rPr>
          <w:rFonts w:ascii="Arial" w:hAnsi="Arial" w:cs="Arial"/>
          <w:sz w:val="22"/>
          <w:szCs w:val="22"/>
        </w:rPr>
        <w:t xml:space="preserve"> 267.2 → 144.9 (FV: 128 V, CE: 28 eV, </w:t>
      </w:r>
      <w:r>
        <w:rPr>
          <w:rFonts w:ascii="Arial" w:hAnsi="Arial" w:cs="Arial"/>
          <w:i/>
          <w:sz w:val="22"/>
          <w:szCs w:val="22"/>
        </w:rPr>
        <w:t>quantifier</w:t>
      </w:r>
      <w:r>
        <w:rPr>
          <w:rFonts w:ascii="Arial" w:hAnsi="Arial" w:cs="Arial"/>
          <w:sz w:val="22"/>
          <w:szCs w:val="22"/>
        </w:rPr>
        <w:t>). Peak areas were determined with MassHunter Quantitative Analysis software (version 10.1, Agilent Technologies) and the three drugs were quantified using matrix-matched external calibration in the concentration range of 0.001 to 10 µM.</w:t>
      </w:r>
    </w:p>
    <w:p w14:paraId="2922C4F7" w14:textId="77777777" w:rsidR="002563A7" w:rsidRDefault="002563A7" w:rsidP="00187C95"/>
    <w:p w14:paraId="67C2895B" w14:textId="1D58A379" w:rsidR="00B626D5" w:rsidRPr="0088792C" w:rsidRDefault="00B626D5" w:rsidP="0088792C">
      <w:pPr>
        <w:spacing w:after="0" w:line="300" w:lineRule="auto"/>
        <w:rPr>
          <w:rFonts w:ascii="Arial" w:hAnsi="Arial" w:cs="Arial"/>
          <w:b/>
          <w:bCs/>
          <w:color w:val="2F5496" w:themeColor="accent5" w:themeShade="BF"/>
          <w:sz w:val="28"/>
          <w:szCs w:val="28"/>
        </w:rPr>
      </w:pPr>
      <w:r>
        <w:rPr>
          <w:rFonts w:ascii="Arial" w:hAnsi="Arial" w:cs="Arial"/>
          <w:b/>
          <w:bCs/>
          <w:color w:val="2F5496" w:themeColor="accent5" w:themeShade="BF"/>
          <w:sz w:val="28"/>
          <w:szCs w:val="28"/>
        </w:rPr>
        <w:br w:type="column"/>
      </w:r>
      <w:r w:rsidRPr="00D16BD2">
        <w:rPr>
          <w:rFonts w:ascii="Arial" w:hAnsi="Arial" w:cs="Arial"/>
          <w:b/>
          <w:bCs/>
          <w:color w:val="2F5496" w:themeColor="accent5" w:themeShade="BF"/>
          <w:sz w:val="28"/>
          <w:szCs w:val="28"/>
        </w:rPr>
        <w:lastRenderedPageBreak/>
        <w:t>Supplementary Figures</w:t>
      </w:r>
    </w:p>
    <w:p w14:paraId="2D1C5CF3" w14:textId="78A867CC" w:rsidR="00B626D5" w:rsidRPr="004D49C5" w:rsidRDefault="00A37FE9" w:rsidP="00B626D5">
      <w:pPr>
        <w:rPr>
          <w:rFonts w:ascii="Arial" w:hAnsi="Arial" w:cs="Arial"/>
          <w:sz w:val="22"/>
          <w:szCs w:val="22"/>
        </w:rPr>
      </w:pPr>
      <w:r>
        <w:rPr>
          <w:rFonts w:ascii="Arial" w:hAnsi="Arial" w:cs="Arial"/>
          <w:noProof/>
          <w:sz w:val="22"/>
          <w:szCs w:val="22"/>
          <w14:ligatures w14:val="none"/>
        </w:rPr>
        <w:drawing>
          <wp:inline distT="0" distB="0" distL="0" distR="0" wp14:anchorId="6FA2EC3A" wp14:editId="0BAABC1F">
            <wp:extent cx="6645910" cy="8994775"/>
            <wp:effectExtent l="0" t="0" r="2540" b="0"/>
            <wp:docPr id="1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pic:cNvPicPr>
                  </pic:nvPicPr>
                  <pic:blipFill>
                    <a:blip r:embed="rId7"/>
                    <a:stretch/>
                  </pic:blipFill>
                  <pic:spPr bwMode="auto">
                    <a:xfrm>
                      <a:off x="0" y="0"/>
                      <a:ext cx="6645910" cy="8994775"/>
                    </a:xfrm>
                    <a:prstGeom prst="rect">
                      <a:avLst/>
                    </a:prstGeom>
                  </pic:spPr>
                </pic:pic>
              </a:graphicData>
            </a:graphic>
          </wp:inline>
        </w:drawing>
      </w:r>
    </w:p>
    <w:p w14:paraId="59F1096A" w14:textId="12A78738" w:rsidR="00073E4F" w:rsidRPr="0088792C" w:rsidRDefault="00B626D5" w:rsidP="0088792C">
      <w:pPr>
        <w:spacing w:after="0" w:line="300" w:lineRule="auto"/>
        <w:jc w:val="both"/>
        <w:rPr>
          <w:rFonts w:ascii="Arial" w:hAnsi="Arial" w:cs="Arial"/>
          <w:b/>
          <w:bCs/>
          <w:sz w:val="22"/>
          <w:szCs w:val="22"/>
        </w:rPr>
      </w:pPr>
      <w:r w:rsidRPr="00B626D5">
        <w:rPr>
          <w:rFonts w:ascii="Arial" w:hAnsi="Arial" w:cs="Arial"/>
          <w:b/>
          <w:bCs/>
          <w:color w:val="2F5496" w:themeColor="accent5" w:themeShade="BF"/>
          <w:sz w:val="22"/>
          <w:szCs w:val="22"/>
        </w:rPr>
        <w:t>Figure S1. Generation of LS NPCs (related to Figure 1).</w:t>
      </w:r>
      <w:r w:rsidRPr="00B626D5">
        <w:rPr>
          <w:rFonts w:ascii="Arial" w:hAnsi="Arial" w:cs="Arial"/>
          <w:b/>
          <w:bCs/>
          <w:sz w:val="22"/>
          <w:szCs w:val="22"/>
        </w:rPr>
        <w:t xml:space="preserve"> </w:t>
      </w:r>
      <w:r w:rsidR="006805D4">
        <w:rPr>
          <w:rFonts w:ascii="Arial" w:hAnsi="Arial" w:cs="Arial"/>
          <w:b/>
          <w:bCs/>
          <w:sz w:val="22"/>
          <w:szCs w:val="22"/>
        </w:rPr>
        <w:t>a.</w:t>
      </w:r>
      <w:r w:rsidRPr="00B626D5">
        <w:rPr>
          <w:rFonts w:ascii="Arial" w:hAnsi="Arial" w:cs="Arial"/>
          <w:sz w:val="22"/>
          <w:szCs w:val="22"/>
        </w:rPr>
        <w:t xml:space="preserve"> Genotyping of LS NPCs by Sanger sequencing confirmed the presence of </w:t>
      </w:r>
      <w:r w:rsidRPr="00B626D5">
        <w:rPr>
          <w:rFonts w:ascii="Arial" w:hAnsi="Arial" w:cs="Arial"/>
          <w:i/>
          <w:iCs/>
          <w:sz w:val="22"/>
          <w:szCs w:val="22"/>
        </w:rPr>
        <w:t>MT-ATP6</w:t>
      </w:r>
      <w:r w:rsidRPr="00B626D5">
        <w:rPr>
          <w:rFonts w:ascii="Arial" w:hAnsi="Arial" w:cs="Arial"/>
          <w:sz w:val="22"/>
          <w:szCs w:val="22"/>
        </w:rPr>
        <w:t xml:space="preserve"> mutations: m.9176T&gt;C (ATP6_1, ATP6_2, ATP6_3), m.8993T&gt;C </w:t>
      </w:r>
      <w:r w:rsidRPr="00B626D5">
        <w:rPr>
          <w:rFonts w:ascii="Arial" w:hAnsi="Arial" w:cs="Arial"/>
          <w:sz w:val="22"/>
          <w:szCs w:val="22"/>
        </w:rPr>
        <w:lastRenderedPageBreak/>
        <w:t xml:space="preserve">(ATP6_4), m.8993T&gt;G (ATP6_5, ATP6_6), and m.9176T&gt;G (ATP6_7). </w:t>
      </w:r>
      <w:r w:rsidR="006805D4">
        <w:rPr>
          <w:rFonts w:ascii="Arial" w:hAnsi="Arial" w:cs="Arial"/>
          <w:b/>
          <w:bCs/>
          <w:sz w:val="22"/>
          <w:szCs w:val="22"/>
        </w:rPr>
        <w:t>b.</w:t>
      </w:r>
      <w:r w:rsidRPr="00B626D5">
        <w:rPr>
          <w:rFonts w:ascii="Arial" w:hAnsi="Arial" w:cs="Arial"/>
          <w:sz w:val="22"/>
          <w:szCs w:val="22"/>
        </w:rPr>
        <w:t xml:space="preserve"> Representative immunoblot  analysis repeated in n=3 independent experiments showing ATP6 protein expression in control NPCs (CTRL_1 and CTRL_2) and LS NPCs representing the four </w:t>
      </w:r>
      <w:r w:rsidRPr="00B626D5">
        <w:rPr>
          <w:rFonts w:ascii="Arial" w:hAnsi="Arial" w:cs="Arial"/>
          <w:i/>
          <w:iCs/>
          <w:sz w:val="22"/>
          <w:szCs w:val="22"/>
        </w:rPr>
        <w:t>MT-ATP6</w:t>
      </w:r>
      <w:r w:rsidRPr="00B626D5">
        <w:rPr>
          <w:rFonts w:ascii="Arial" w:hAnsi="Arial" w:cs="Arial"/>
          <w:sz w:val="22"/>
          <w:szCs w:val="22"/>
        </w:rPr>
        <w:t xml:space="preserve"> mutations: ATP6_2 for m.9176T&gt;C, ATP6_4 for m.8993T&gt;C, ATP6_5 for m.8993T&gt;G, and ATP6_7 for m.9176T&gt;G. </w:t>
      </w:r>
      <w:r w:rsidR="006805D4">
        <w:rPr>
          <w:rFonts w:ascii="Arial" w:hAnsi="Arial" w:cs="Arial"/>
          <w:b/>
          <w:bCs/>
          <w:sz w:val="22"/>
          <w:szCs w:val="22"/>
        </w:rPr>
        <w:t>c.</w:t>
      </w:r>
      <w:r w:rsidR="007D7BF0">
        <w:rPr>
          <w:rFonts w:ascii="Arial" w:hAnsi="Arial" w:cs="Arial"/>
          <w:b/>
          <w:bCs/>
          <w:sz w:val="22"/>
          <w:szCs w:val="22"/>
        </w:rPr>
        <w:t xml:space="preserve"> </w:t>
      </w:r>
      <w:r w:rsidRPr="00B626D5">
        <w:rPr>
          <w:rFonts w:ascii="Arial" w:hAnsi="Arial" w:cs="Arial"/>
          <w:sz w:val="22"/>
          <w:szCs w:val="22"/>
        </w:rPr>
        <w:t xml:space="preserve">Representative immunostaining of LS NPCs showing the presence of NPC markers NESTIN and PAX6 similarly to control NPCs. Scale bar: 50 µm. </w:t>
      </w:r>
      <w:r w:rsidR="006805D4">
        <w:rPr>
          <w:rFonts w:ascii="Arial" w:hAnsi="Arial" w:cs="Arial"/>
          <w:b/>
          <w:bCs/>
          <w:sz w:val="22"/>
          <w:szCs w:val="22"/>
        </w:rPr>
        <w:t>d.</w:t>
      </w:r>
      <w:r w:rsidRPr="00B626D5">
        <w:rPr>
          <w:rFonts w:ascii="Arial" w:hAnsi="Arial" w:cs="Arial"/>
          <w:sz w:val="22"/>
          <w:szCs w:val="22"/>
        </w:rPr>
        <w:t xml:space="preserve"> Gene expression analysis by qPCR showing downregulation of iPSC markers </w:t>
      </w:r>
      <w:r w:rsidRPr="00B626D5">
        <w:rPr>
          <w:rFonts w:ascii="Arial" w:hAnsi="Arial" w:cs="Arial"/>
          <w:i/>
          <w:iCs/>
          <w:sz w:val="22"/>
          <w:szCs w:val="22"/>
        </w:rPr>
        <w:t>OCT4</w:t>
      </w:r>
      <w:r w:rsidRPr="00B626D5">
        <w:rPr>
          <w:rFonts w:ascii="Arial" w:hAnsi="Arial" w:cs="Arial"/>
          <w:sz w:val="22"/>
          <w:szCs w:val="22"/>
        </w:rPr>
        <w:t xml:space="preserve"> and </w:t>
      </w:r>
      <w:r w:rsidRPr="00B626D5">
        <w:rPr>
          <w:rFonts w:ascii="Arial" w:hAnsi="Arial" w:cs="Arial"/>
          <w:i/>
          <w:iCs/>
          <w:sz w:val="22"/>
          <w:szCs w:val="22"/>
        </w:rPr>
        <w:t>NANOG</w:t>
      </w:r>
      <w:r w:rsidRPr="00B626D5">
        <w:rPr>
          <w:rFonts w:ascii="Arial" w:hAnsi="Arial" w:cs="Arial"/>
          <w:sz w:val="22"/>
          <w:szCs w:val="22"/>
        </w:rPr>
        <w:t xml:space="preserve">, and upregulation of NPC markers </w:t>
      </w:r>
      <w:r w:rsidRPr="00B626D5">
        <w:rPr>
          <w:rFonts w:ascii="Arial" w:hAnsi="Arial" w:cs="Arial"/>
          <w:i/>
          <w:iCs/>
          <w:sz w:val="22"/>
          <w:szCs w:val="22"/>
        </w:rPr>
        <w:t>NESTIN</w:t>
      </w:r>
      <w:r w:rsidRPr="00B626D5">
        <w:rPr>
          <w:rFonts w:ascii="Arial" w:hAnsi="Arial" w:cs="Arial"/>
          <w:sz w:val="22"/>
          <w:szCs w:val="22"/>
        </w:rPr>
        <w:t xml:space="preserve"> and </w:t>
      </w:r>
      <w:r w:rsidRPr="00B626D5">
        <w:rPr>
          <w:rFonts w:ascii="Arial" w:hAnsi="Arial" w:cs="Arial"/>
          <w:i/>
          <w:iCs/>
          <w:sz w:val="22"/>
          <w:szCs w:val="22"/>
        </w:rPr>
        <w:t>PAX6</w:t>
      </w:r>
      <w:r w:rsidRPr="00B626D5">
        <w:rPr>
          <w:rFonts w:ascii="Arial" w:hAnsi="Arial" w:cs="Arial"/>
          <w:sz w:val="22"/>
          <w:szCs w:val="22"/>
        </w:rPr>
        <w:t xml:space="preserve"> in LS NPCs compared to their respective LS iPSC lines. Relative transcript levels were calculated based on the 2-ΔΔCT method. Data were normalized to the housekeeping gene ornithine decarboxylase antizyme 1 (OAZ1) and presented as mean Log2 ratios (mean +/- SD) in relation to control iPSCs (CTRL_1). </w:t>
      </w:r>
      <w:r w:rsidR="006805D4">
        <w:rPr>
          <w:rFonts w:ascii="Arial" w:hAnsi="Arial" w:cs="Arial"/>
          <w:b/>
          <w:bCs/>
          <w:sz w:val="22"/>
          <w:szCs w:val="22"/>
        </w:rPr>
        <w:t>e.</w:t>
      </w:r>
      <w:r w:rsidRPr="00B626D5">
        <w:rPr>
          <w:rFonts w:ascii="Arial" w:hAnsi="Arial" w:cs="Arial"/>
          <w:sz w:val="22"/>
          <w:szCs w:val="22"/>
        </w:rPr>
        <w:t xml:space="preserve"> Details of the lines used in this study from controls and from patients with LS carrying </w:t>
      </w:r>
      <w:r w:rsidRPr="00B626D5">
        <w:rPr>
          <w:rFonts w:ascii="Arial" w:hAnsi="Arial" w:cs="Arial"/>
          <w:i/>
          <w:iCs/>
          <w:sz w:val="22"/>
          <w:szCs w:val="22"/>
        </w:rPr>
        <w:t>MT-ATP6</w:t>
      </w:r>
      <w:r w:rsidRPr="00B626D5">
        <w:rPr>
          <w:rFonts w:ascii="Arial" w:hAnsi="Arial" w:cs="Arial"/>
          <w:sz w:val="22"/>
          <w:szCs w:val="22"/>
        </w:rPr>
        <w:t xml:space="preserve"> mutations including the mutation load (heteroplasmy) in the original fibroblasts (Fibs) and related iPSCs and NPCs.</w:t>
      </w:r>
    </w:p>
    <w:p w14:paraId="5E9BC4DD" w14:textId="77777777" w:rsidR="00073E4F" w:rsidRDefault="00073E4F" w:rsidP="00073E4F">
      <w:pPr>
        <w:pStyle w:val="EndNoteBibliography"/>
        <w:spacing w:after="0"/>
        <w:jc w:val="both"/>
        <w:rPr>
          <w:rFonts w:ascii="Arial" w:hAnsi="Arial" w:cs="Arial"/>
          <w:sz w:val="22"/>
          <w:szCs w:val="22"/>
        </w:rPr>
      </w:pPr>
    </w:p>
    <w:p w14:paraId="55F6A6DC" w14:textId="77777777" w:rsidR="00073E4F" w:rsidRPr="00073E4F" w:rsidRDefault="00073E4F" w:rsidP="00073E4F">
      <w:pPr>
        <w:pStyle w:val="EndNoteBibliography"/>
        <w:spacing w:after="0"/>
        <w:jc w:val="both"/>
        <w:rPr>
          <w:rFonts w:ascii="Arial" w:hAnsi="Arial" w:cs="Arial"/>
          <w:sz w:val="22"/>
          <w:szCs w:val="22"/>
        </w:rPr>
      </w:pPr>
    </w:p>
    <w:p w14:paraId="0F031E59" w14:textId="2FFFA5A3" w:rsidR="00073E4F" w:rsidRDefault="00073E4F" w:rsidP="00073E4F">
      <w:pPr>
        <w:spacing w:after="0" w:line="300" w:lineRule="auto"/>
        <w:jc w:val="both"/>
        <w:rPr>
          <w:rFonts w:ascii="Arial" w:hAnsi="Arial" w:cs="Arial"/>
          <w:b/>
          <w:bCs/>
          <w:sz w:val="22"/>
          <w:szCs w:val="22"/>
        </w:rPr>
      </w:pPr>
    </w:p>
    <w:p w14:paraId="05AFF2F5" w14:textId="16B79DB5" w:rsidR="00073E4F" w:rsidRPr="00073E4F" w:rsidRDefault="00A37FE9" w:rsidP="00073E4F">
      <w:pPr>
        <w:spacing w:after="0" w:line="300" w:lineRule="auto"/>
        <w:jc w:val="both"/>
        <w:rPr>
          <w:rFonts w:ascii="Arial" w:hAnsi="Arial" w:cs="Arial"/>
          <w:sz w:val="22"/>
          <w:szCs w:val="22"/>
        </w:rPr>
      </w:pPr>
      <w:r>
        <w:rPr>
          <w:rFonts w:ascii="Arial" w:hAnsi="Arial" w:cs="Arial"/>
          <w:b/>
          <w:bCs/>
          <w:noProof/>
          <w:color w:val="2F5496" w:themeColor="accent5" w:themeShade="BF"/>
          <w:sz w:val="22"/>
          <w:szCs w:val="22"/>
        </w:rPr>
        <w:lastRenderedPageBreak/>
        <w:drawing>
          <wp:inline distT="0" distB="0" distL="0" distR="0" wp14:anchorId="0C1A00C3" wp14:editId="5C9BF65B">
            <wp:extent cx="6635750" cy="91376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635750" cy="9137650"/>
                    </a:xfrm>
                    <a:prstGeom prst="rect">
                      <a:avLst/>
                    </a:prstGeom>
                    <a:noFill/>
                    <a:ln>
                      <a:noFill/>
                    </a:ln>
                  </pic:spPr>
                </pic:pic>
              </a:graphicData>
            </a:graphic>
          </wp:inline>
        </w:drawing>
      </w:r>
      <w:r w:rsidR="00073E4F" w:rsidRPr="00073E4F">
        <w:rPr>
          <w:rFonts w:ascii="Arial" w:hAnsi="Arial" w:cs="Arial"/>
          <w:b/>
          <w:bCs/>
          <w:color w:val="2F5496" w:themeColor="accent5" w:themeShade="BF"/>
          <w:sz w:val="22"/>
          <w:szCs w:val="22"/>
        </w:rPr>
        <w:t>Figure S2. Compound screening in LS NPCs (related to Figure 1).</w:t>
      </w:r>
      <w:r w:rsidR="00073E4F" w:rsidRPr="00073E4F">
        <w:rPr>
          <w:rFonts w:ascii="Arial" w:hAnsi="Arial" w:cs="Arial"/>
          <w:b/>
          <w:bCs/>
          <w:sz w:val="22"/>
          <w:szCs w:val="22"/>
        </w:rPr>
        <w:t xml:space="preserve"> </w:t>
      </w:r>
      <w:r w:rsidR="006805D4">
        <w:rPr>
          <w:rFonts w:ascii="Arial" w:hAnsi="Arial" w:cs="Arial"/>
          <w:b/>
          <w:bCs/>
          <w:sz w:val="22"/>
          <w:szCs w:val="22"/>
        </w:rPr>
        <w:t>a.</w:t>
      </w:r>
      <w:r w:rsidR="00073E4F" w:rsidRPr="00073E4F">
        <w:rPr>
          <w:rFonts w:ascii="Arial" w:hAnsi="Arial" w:cs="Arial"/>
          <w:b/>
          <w:bCs/>
          <w:sz w:val="22"/>
          <w:szCs w:val="22"/>
        </w:rPr>
        <w:t xml:space="preserve"> </w:t>
      </w:r>
      <w:r w:rsidR="00073E4F" w:rsidRPr="00073E4F">
        <w:rPr>
          <w:rFonts w:ascii="Arial" w:hAnsi="Arial" w:cs="Arial"/>
          <w:sz w:val="22"/>
          <w:szCs w:val="22"/>
        </w:rPr>
        <w:t xml:space="preserve">Schematic of compound screening workflow in LS NPCs using Operetta CLS high-content analysis (HCA) system. </w:t>
      </w:r>
      <w:r w:rsidR="006805D4">
        <w:rPr>
          <w:rFonts w:ascii="Arial" w:hAnsi="Arial" w:cs="Arial"/>
          <w:b/>
          <w:bCs/>
          <w:sz w:val="22"/>
          <w:szCs w:val="22"/>
        </w:rPr>
        <w:t>b.</w:t>
      </w:r>
      <w:r w:rsidR="00073E4F" w:rsidRPr="00073E4F">
        <w:rPr>
          <w:rFonts w:ascii="Arial" w:hAnsi="Arial" w:cs="Arial"/>
          <w:sz w:val="22"/>
          <w:szCs w:val="22"/>
        </w:rPr>
        <w:t xml:space="preserve"> Representative images of LS NPCs (ATP6_2) treated with either DMSO or 5 µM FCCP and 5 µM antimycin A (AA) to uncouple MMP </w:t>
      </w:r>
      <w:r w:rsidR="00073E4F" w:rsidRPr="00073E4F">
        <w:rPr>
          <w:rFonts w:ascii="Arial" w:hAnsi="Arial" w:cs="Arial"/>
          <w:sz w:val="22"/>
          <w:szCs w:val="22"/>
        </w:rPr>
        <w:lastRenderedPageBreak/>
        <w:t xml:space="preserve">and live-cell stained with the dye TMRM and Hoechst. Images obtained with Operetta CLS microscope using 20 x water objective. </w:t>
      </w:r>
      <w:r w:rsidR="00073E4F" w:rsidRPr="00073E4F">
        <w:rPr>
          <w:rFonts w:ascii="Arial" w:hAnsi="Arial" w:cs="Arial"/>
          <w:color w:val="000000" w:themeColor="text1"/>
          <w:sz w:val="22"/>
          <w:szCs w:val="22"/>
        </w:rPr>
        <w:t>Scale bar: 100 µm.</w:t>
      </w:r>
      <w:r w:rsidR="00073E4F" w:rsidRPr="00073E4F">
        <w:rPr>
          <w:rFonts w:ascii="Arial" w:hAnsi="Arial" w:cs="Arial"/>
          <w:color w:val="FF0000"/>
          <w:sz w:val="22"/>
          <w:szCs w:val="22"/>
        </w:rPr>
        <w:t xml:space="preserve"> </w:t>
      </w:r>
      <w:r w:rsidR="006805D4">
        <w:rPr>
          <w:rFonts w:ascii="Arial" w:hAnsi="Arial" w:cs="Arial"/>
          <w:b/>
          <w:bCs/>
          <w:sz w:val="22"/>
          <w:szCs w:val="22"/>
        </w:rPr>
        <w:t>c.</w:t>
      </w:r>
      <w:r w:rsidR="00073E4F" w:rsidRPr="00073E4F">
        <w:rPr>
          <w:rFonts w:ascii="Arial" w:hAnsi="Arial" w:cs="Arial"/>
          <w:sz w:val="22"/>
          <w:szCs w:val="22"/>
        </w:rPr>
        <w:t xml:space="preserve"> Quantification of cell viability with Cell Titer-Glo assay in LS NPCs (ATP6_2). Dots represent mean values per well. ***p&lt;0.001, ****p&lt;0.0001, ns (not significant); ordinary one-way ANOVA with Dunnett’s multiple comparison. </w:t>
      </w:r>
      <w:r w:rsidR="006805D4">
        <w:rPr>
          <w:rFonts w:ascii="Arial" w:hAnsi="Arial" w:cs="Arial"/>
          <w:b/>
          <w:bCs/>
          <w:sz w:val="22"/>
          <w:szCs w:val="22"/>
        </w:rPr>
        <w:t>d.</w:t>
      </w:r>
      <w:r w:rsidR="00073E4F" w:rsidRPr="00073E4F">
        <w:rPr>
          <w:rFonts w:ascii="Arial" w:hAnsi="Arial" w:cs="Arial"/>
          <w:sz w:val="22"/>
          <w:szCs w:val="22"/>
        </w:rPr>
        <w:t xml:space="preserve"> HCA-based MMP quantification with TMRM in different control NPCs. Dots represent mean values per well out of n=3 independent experiments. ns (not significant); ordinary one-way ANOVA with Dunnett’s multiple comparison.</w:t>
      </w:r>
      <w:r w:rsidR="00073E4F" w:rsidRPr="00073E4F">
        <w:rPr>
          <w:rFonts w:ascii="Arial" w:hAnsi="Arial" w:cs="Arial"/>
          <w:b/>
          <w:bCs/>
          <w:sz w:val="22"/>
          <w:szCs w:val="22"/>
        </w:rPr>
        <w:t xml:space="preserve"> </w:t>
      </w:r>
      <w:r w:rsidR="006805D4">
        <w:rPr>
          <w:rFonts w:ascii="Arial" w:hAnsi="Arial" w:cs="Arial"/>
          <w:b/>
          <w:bCs/>
          <w:sz w:val="22"/>
          <w:szCs w:val="22"/>
        </w:rPr>
        <w:t>e.</w:t>
      </w:r>
      <w:r w:rsidR="00073E4F" w:rsidRPr="00073E4F">
        <w:rPr>
          <w:rFonts w:ascii="Arial" w:hAnsi="Arial" w:cs="Arial"/>
          <w:sz w:val="22"/>
          <w:szCs w:val="22"/>
        </w:rPr>
        <w:t xml:space="preserve"> HCA-based quantification of cell viability using Cell Titer-Glo assay in LS NPCs (ATP6_2) after 16 h treatment with increasing FCCP+AA concentrations normalized to DMSO concentration. Dots represent mean values per well. ****p&lt;0.0001, ns (not significant); ordinary one-way ANOVA with Dunnett’s multiple comparison. </w:t>
      </w:r>
      <w:r w:rsidR="006805D4">
        <w:rPr>
          <w:rFonts w:ascii="Arial" w:hAnsi="Arial" w:cs="Arial"/>
          <w:b/>
          <w:bCs/>
          <w:sz w:val="22"/>
          <w:szCs w:val="22"/>
        </w:rPr>
        <w:t>f.</w:t>
      </w:r>
      <w:r w:rsidR="00073E4F" w:rsidRPr="00073E4F">
        <w:rPr>
          <w:rFonts w:ascii="Arial" w:hAnsi="Arial" w:cs="Arial"/>
          <w:sz w:val="22"/>
          <w:szCs w:val="22"/>
        </w:rPr>
        <w:t xml:space="preserve"> HCA-based MMP quantification with TMRM in LS NPCs (ATP6_2) treated for 16 h with either 0.05 % DMSO or 5 µM FCCP+AA.  Dots represent mean values per well. </w:t>
      </w:r>
      <w:r w:rsidR="006805D4">
        <w:rPr>
          <w:rFonts w:ascii="Arial" w:hAnsi="Arial" w:cs="Arial"/>
          <w:b/>
          <w:bCs/>
          <w:sz w:val="22"/>
          <w:szCs w:val="22"/>
        </w:rPr>
        <w:t>g.</w:t>
      </w:r>
      <w:r w:rsidR="00073E4F" w:rsidRPr="00073E4F">
        <w:rPr>
          <w:rFonts w:ascii="Arial" w:hAnsi="Arial" w:cs="Arial"/>
          <w:sz w:val="22"/>
          <w:szCs w:val="22"/>
        </w:rPr>
        <w:t xml:space="preserve"> Assay window for the HCA-based MMP screen in LS NPCs (ATP6_2) in independent screening plates. Z’ factor was calculated as described previously</w:t>
      </w:r>
      <w:r w:rsidR="00073E4F" w:rsidRPr="00073E4F">
        <w:rPr>
          <w:rFonts w:ascii="Arial" w:hAnsi="Arial" w:cs="Arial"/>
          <w:sz w:val="22"/>
          <w:szCs w:val="22"/>
        </w:rPr>
        <w:fldChar w:fldCharType="begin"/>
      </w:r>
      <w:r w:rsidR="00073E4F" w:rsidRPr="00073E4F">
        <w:rPr>
          <w:rFonts w:ascii="Arial" w:hAnsi="Arial" w:cs="Arial"/>
          <w:sz w:val="22"/>
          <w:szCs w:val="22"/>
        </w:rPr>
        <w:instrText xml:space="preserve"> ADDIN EN.CITE &lt;EndNote&gt;&lt;Cite&gt;&lt;Author&gt;Zhang&lt;/Author&gt;&lt;Year&gt;1999&lt;/Year&gt;&lt;RecNum&gt;406&lt;/RecNum&gt;&lt;DisplayText&gt;&lt;style face="superscript"&gt;14&lt;/style&gt;&lt;/DisplayText&gt;&lt;record&gt;&lt;rec-number&gt;406&lt;/rec-number&gt;&lt;foreign-keys&gt;&lt;key app="EN" db-id="9rre0swecrswetepfz85tawyetvfdeffe0xx" timestamp="1591562527"&gt;406&lt;/key&gt;&lt;/foreign-keys&gt;&lt;ref-type name="Journal Article"&gt;17&lt;/ref-type&gt;&lt;contributors&gt;&lt;authors&gt;&lt;author&gt;Zhang, J. H.&lt;/author&gt;&lt;author&gt;Chung, T. D.&lt;/author&gt;&lt;author&gt;Oldenburg, K. R.&lt;/author&gt;&lt;/authors&gt;&lt;/contributors&gt;&lt;auth-address&gt;DuPont Pharmaceuticals Research Laboratories, Leads Discovery, DuPont Pharmaceuticals Company, Wilmington, Delaware.&lt;/auth-address&gt;&lt;titles&gt;&lt;title&gt;A Simple Statistical Parameter for Use in Evaluation and Validation of High Throughput Screening Assays&lt;/title&gt;&lt;secondary-title&gt;J Biomol Screen&lt;/secondary-title&gt;&lt;/titles&gt;&lt;periodical&gt;&lt;full-title&gt;J Biomol Screen&lt;/full-title&gt;&lt;/periodical&gt;&lt;pages&gt;67-73&lt;/pages&gt;&lt;volume&gt;4&lt;/volume&gt;&lt;number&gt;2&lt;/number&gt;&lt;edition&gt;2000/06/06&lt;/edition&gt;&lt;dates&gt;&lt;year&gt;1999&lt;/year&gt;&lt;/dates&gt;&lt;isbn&gt;1552-454X (Electronic)&amp;#xD;1087-0571 (Linking)&lt;/isbn&gt;&lt;accession-num&gt;10838414&lt;/accession-num&gt;&lt;urls&gt;&lt;related-urls&gt;&lt;url&gt;https://www.ncbi.nlm.nih.gov/pubmed/10838414&lt;/url&gt;&lt;/related-urls&gt;&lt;/urls&gt;&lt;electronic-resource-num&gt;10.1177/108705719900400206&lt;/electronic-resource-num&gt;&lt;/record&gt;&lt;/Cite&gt;&lt;/EndNote&gt;</w:instrText>
      </w:r>
      <w:r w:rsidR="00073E4F" w:rsidRPr="00073E4F">
        <w:rPr>
          <w:rFonts w:ascii="Arial" w:hAnsi="Arial" w:cs="Arial"/>
          <w:sz w:val="22"/>
          <w:szCs w:val="22"/>
        </w:rPr>
        <w:fldChar w:fldCharType="separate"/>
      </w:r>
      <w:r w:rsidR="00073E4F" w:rsidRPr="00073E4F">
        <w:rPr>
          <w:rFonts w:ascii="Arial" w:hAnsi="Arial" w:cs="Arial"/>
          <w:sz w:val="22"/>
          <w:szCs w:val="22"/>
          <w:vertAlign w:val="superscript"/>
        </w:rPr>
        <w:t>14</w:t>
      </w:r>
      <w:r w:rsidR="00073E4F" w:rsidRPr="00073E4F">
        <w:rPr>
          <w:rFonts w:ascii="Arial" w:hAnsi="Arial" w:cs="Arial"/>
          <w:sz w:val="22"/>
          <w:szCs w:val="22"/>
        </w:rPr>
        <w:fldChar w:fldCharType="end"/>
      </w:r>
      <w:r w:rsidR="00073E4F" w:rsidRPr="00073E4F">
        <w:rPr>
          <w:rFonts w:ascii="Arial" w:hAnsi="Arial" w:cs="Arial"/>
          <w:sz w:val="22"/>
          <w:szCs w:val="22"/>
        </w:rPr>
        <w:t xml:space="preserve"> and remained between 0.68-0.85 across screening plates indicating an excellent assay window. </w:t>
      </w:r>
      <w:r w:rsidR="006805D4">
        <w:rPr>
          <w:rFonts w:ascii="Arial" w:hAnsi="Arial" w:cs="Arial"/>
          <w:b/>
          <w:bCs/>
          <w:sz w:val="22"/>
          <w:szCs w:val="22"/>
        </w:rPr>
        <w:t>h.</w:t>
      </w:r>
      <w:r w:rsidR="00073E4F" w:rsidRPr="00073E4F">
        <w:rPr>
          <w:rFonts w:ascii="Arial" w:hAnsi="Arial" w:cs="Arial"/>
          <w:sz w:val="22"/>
          <w:szCs w:val="22"/>
        </w:rPr>
        <w:t xml:space="preserve"> Screening tests with 16 h treatment of 352 compounds using the HCA-based MMP quantification with TMRM and Hoechst in LS NPCs (ATP6_2). Blue dots: LS NPCs with the compounds dissolved in DMSO; orange dots: LS NPCs treated with only DMSO; purple dots: LS NPCs treated with 5 µM FCCP+AA as positive controls. Upper dotted line marks 3 x DMSO standard deviation (SD) and was set as the threshold for MMP depolarization to calculate and compare hit rates using different compound concentrations.</w:t>
      </w:r>
      <w:r w:rsidR="00073E4F" w:rsidRPr="00073E4F">
        <w:rPr>
          <w:rFonts w:ascii="Arial" w:hAnsi="Arial" w:cs="Arial"/>
          <w:b/>
          <w:bCs/>
          <w:sz w:val="22"/>
          <w:szCs w:val="22"/>
        </w:rPr>
        <w:t xml:space="preserve"> </w:t>
      </w:r>
      <w:r w:rsidR="006805D4">
        <w:rPr>
          <w:rFonts w:ascii="Arial" w:hAnsi="Arial" w:cs="Arial"/>
          <w:b/>
          <w:bCs/>
          <w:sz w:val="22"/>
          <w:szCs w:val="22"/>
        </w:rPr>
        <w:t>i.</w:t>
      </w:r>
      <w:r w:rsidR="00073E4F" w:rsidRPr="00073E4F">
        <w:rPr>
          <w:rFonts w:ascii="Arial" w:hAnsi="Arial" w:cs="Arial"/>
          <w:sz w:val="22"/>
          <w:szCs w:val="22"/>
        </w:rPr>
        <w:t xml:space="preserve"> HCA-based MMP quantification with TMRM and Hoechst in LS NPCs (ATP6_2) with 352 compounds (10 µM after 16 h) demonstrating good reproducibility of independent screening plates.</w:t>
      </w:r>
    </w:p>
    <w:p w14:paraId="4A086470" w14:textId="77777777" w:rsidR="00073E4F" w:rsidRDefault="00073E4F" w:rsidP="00073E4F">
      <w:pPr>
        <w:spacing w:after="0" w:line="300" w:lineRule="auto"/>
        <w:jc w:val="both"/>
        <w:rPr>
          <w:rFonts w:ascii="Arial" w:hAnsi="Arial" w:cs="Arial"/>
          <w:sz w:val="22"/>
          <w:szCs w:val="22"/>
        </w:rPr>
      </w:pPr>
    </w:p>
    <w:p w14:paraId="3F0208CF" w14:textId="77777777" w:rsidR="00073E4F" w:rsidRDefault="00073E4F" w:rsidP="00073E4F">
      <w:pPr>
        <w:spacing w:after="0" w:line="300" w:lineRule="auto"/>
        <w:jc w:val="both"/>
        <w:rPr>
          <w:rFonts w:ascii="Arial" w:hAnsi="Arial" w:cs="Arial"/>
          <w:sz w:val="22"/>
          <w:szCs w:val="22"/>
        </w:rPr>
      </w:pPr>
    </w:p>
    <w:p w14:paraId="4C18CB29" w14:textId="77777777" w:rsidR="00073E4F" w:rsidRDefault="00073E4F" w:rsidP="00073E4F">
      <w:pPr>
        <w:spacing w:after="0" w:line="300" w:lineRule="auto"/>
        <w:jc w:val="both"/>
        <w:rPr>
          <w:rFonts w:ascii="Arial" w:hAnsi="Arial" w:cs="Arial"/>
          <w:sz w:val="22"/>
          <w:szCs w:val="22"/>
        </w:rPr>
      </w:pPr>
    </w:p>
    <w:p w14:paraId="6E36B530" w14:textId="77777777" w:rsidR="00073E4F" w:rsidRDefault="00073E4F" w:rsidP="00073E4F">
      <w:pPr>
        <w:spacing w:after="0" w:line="300" w:lineRule="auto"/>
        <w:jc w:val="both"/>
        <w:rPr>
          <w:rFonts w:ascii="Arial" w:hAnsi="Arial" w:cs="Arial"/>
          <w:sz w:val="22"/>
          <w:szCs w:val="22"/>
        </w:rPr>
      </w:pPr>
    </w:p>
    <w:p w14:paraId="43D1F5B6" w14:textId="77777777" w:rsidR="00073E4F" w:rsidRDefault="00073E4F" w:rsidP="00073E4F">
      <w:pPr>
        <w:spacing w:after="0" w:line="300" w:lineRule="auto"/>
        <w:jc w:val="both"/>
        <w:rPr>
          <w:rFonts w:ascii="Arial" w:hAnsi="Arial" w:cs="Arial"/>
          <w:sz w:val="22"/>
          <w:szCs w:val="22"/>
        </w:rPr>
      </w:pPr>
    </w:p>
    <w:p w14:paraId="68CC29F2" w14:textId="77777777" w:rsidR="00073E4F" w:rsidRDefault="00073E4F" w:rsidP="00073E4F">
      <w:pPr>
        <w:spacing w:after="0" w:line="300" w:lineRule="auto"/>
        <w:jc w:val="both"/>
        <w:rPr>
          <w:rFonts w:ascii="Arial" w:hAnsi="Arial" w:cs="Arial"/>
          <w:sz w:val="22"/>
          <w:szCs w:val="22"/>
        </w:rPr>
      </w:pPr>
    </w:p>
    <w:p w14:paraId="7B721927" w14:textId="77777777" w:rsidR="00073E4F" w:rsidRDefault="00073E4F" w:rsidP="00073E4F">
      <w:pPr>
        <w:spacing w:after="0" w:line="300" w:lineRule="auto"/>
        <w:jc w:val="both"/>
        <w:rPr>
          <w:rFonts w:ascii="Arial" w:hAnsi="Arial" w:cs="Arial"/>
          <w:sz w:val="22"/>
          <w:szCs w:val="22"/>
        </w:rPr>
      </w:pPr>
    </w:p>
    <w:p w14:paraId="633BF11D" w14:textId="77777777" w:rsidR="00073E4F" w:rsidRDefault="00073E4F" w:rsidP="00073E4F">
      <w:pPr>
        <w:spacing w:after="0" w:line="300" w:lineRule="auto"/>
        <w:jc w:val="both"/>
        <w:rPr>
          <w:rFonts w:ascii="Arial" w:hAnsi="Arial" w:cs="Arial"/>
          <w:sz w:val="22"/>
          <w:szCs w:val="22"/>
        </w:rPr>
      </w:pPr>
    </w:p>
    <w:p w14:paraId="0D9DE0CC" w14:textId="77777777" w:rsidR="00073E4F" w:rsidRDefault="00073E4F" w:rsidP="00073E4F">
      <w:pPr>
        <w:spacing w:after="0" w:line="300" w:lineRule="auto"/>
        <w:jc w:val="both"/>
        <w:rPr>
          <w:rFonts w:ascii="Arial" w:hAnsi="Arial" w:cs="Arial"/>
          <w:sz w:val="22"/>
          <w:szCs w:val="22"/>
        </w:rPr>
      </w:pPr>
    </w:p>
    <w:p w14:paraId="7CC59DDD" w14:textId="77777777" w:rsidR="00073E4F" w:rsidRDefault="00073E4F" w:rsidP="00073E4F">
      <w:pPr>
        <w:spacing w:after="0" w:line="300" w:lineRule="auto"/>
        <w:jc w:val="both"/>
        <w:rPr>
          <w:rFonts w:ascii="Arial" w:hAnsi="Arial" w:cs="Arial"/>
          <w:sz w:val="22"/>
          <w:szCs w:val="22"/>
        </w:rPr>
      </w:pPr>
    </w:p>
    <w:p w14:paraId="44462A7C" w14:textId="77777777" w:rsidR="00073E4F" w:rsidRDefault="00073E4F" w:rsidP="00073E4F">
      <w:pPr>
        <w:spacing w:after="0" w:line="300" w:lineRule="auto"/>
        <w:jc w:val="both"/>
        <w:rPr>
          <w:rFonts w:ascii="Arial" w:hAnsi="Arial" w:cs="Arial"/>
          <w:sz w:val="22"/>
          <w:szCs w:val="22"/>
        </w:rPr>
      </w:pPr>
      <w:r>
        <w:rPr>
          <w:rFonts w:ascii="Arial" w:hAnsi="Arial" w:cs="Arial"/>
          <w:sz w:val="22"/>
          <w:szCs w:val="22"/>
        </w:rPr>
        <w:br w:type="page"/>
      </w:r>
    </w:p>
    <w:p w14:paraId="52D8B2FC" w14:textId="428D1C5A" w:rsidR="00073E4F" w:rsidRDefault="00073E4F" w:rsidP="00073E4F">
      <w:pPr>
        <w:spacing w:after="0" w:line="300" w:lineRule="auto"/>
        <w:jc w:val="both"/>
        <w:rPr>
          <w:rFonts w:ascii="Arial" w:hAnsi="Arial" w:cs="Arial"/>
          <w:b/>
          <w:bCs/>
          <w:sz w:val="22"/>
          <w:szCs w:val="22"/>
        </w:rPr>
      </w:pPr>
    </w:p>
    <w:p w14:paraId="5E574284" w14:textId="72C135FC" w:rsidR="00073E4F" w:rsidRPr="00073E4F" w:rsidRDefault="006805D4" w:rsidP="00073E4F">
      <w:pPr>
        <w:spacing w:after="0" w:line="300" w:lineRule="auto"/>
        <w:jc w:val="both"/>
        <w:rPr>
          <w:rFonts w:ascii="Arial" w:hAnsi="Arial" w:cs="Arial"/>
          <w:bCs/>
          <w:sz w:val="22"/>
          <w:szCs w:val="22"/>
        </w:rPr>
      </w:pPr>
      <w:r>
        <w:rPr>
          <w:rFonts w:ascii="Arial" w:hAnsi="Arial" w:cs="Arial"/>
          <w:b/>
          <w:bCs/>
          <w:noProof/>
          <w:color w:val="2F5496" w:themeColor="accent5" w:themeShade="BF"/>
          <w:sz w:val="22"/>
          <w:szCs w:val="22"/>
        </w:rPr>
        <w:drawing>
          <wp:inline distT="0" distB="0" distL="0" distR="0" wp14:anchorId="794102B9" wp14:editId="4E126EEA">
            <wp:extent cx="6642100" cy="64198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642100" cy="6419850"/>
                    </a:xfrm>
                    <a:prstGeom prst="rect">
                      <a:avLst/>
                    </a:prstGeom>
                    <a:noFill/>
                    <a:ln>
                      <a:noFill/>
                    </a:ln>
                  </pic:spPr>
                </pic:pic>
              </a:graphicData>
            </a:graphic>
          </wp:inline>
        </w:drawing>
      </w:r>
      <w:r w:rsidR="00073E4F" w:rsidRPr="00073E4F">
        <w:rPr>
          <w:rFonts w:ascii="Arial" w:hAnsi="Arial" w:cs="Arial"/>
          <w:b/>
          <w:bCs/>
          <w:color w:val="2F5496" w:themeColor="accent5" w:themeShade="BF"/>
          <w:sz w:val="22"/>
          <w:szCs w:val="22"/>
        </w:rPr>
        <w:t xml:space="preserve">Figure S3. PDE5 inhibitors as leads in normalizing MMP in LS NPCs (related to Figure </w:t>
      </w:r>
      <w:r w:rsidR="00073E4F" w:rsidRPr="00073E4F">
        <w:rPr>
          <w:rFonts w:ascii="Arial" w:hAnsi="Arial" w:cs="Arial"/>
          <w:b/>
          <w:bCs/>
          <w:color w:val="0563C1"/>
          <w:sz w:val="22"/>
          <w:szCs w:val="22"/>
        </w:rPr>
        <w:t>1).</w:t>
      </w:r>
      <w:r w:rsidR="00073E4F" w:rsidRPr="00073E4F">
        <w:rPr>
          <w:rFonts w:ascii="Arial" w:hAnsi="Arial" w:cs="Arial"/>
          <w:b/>
          <w:bCs/>
          <w:color w:val="4472C4" w:themeColor="accent5"/>
          <w:sz w:val="22"/>
          <w:szCs w:val="22"/>
        </w:rPr>
        <w:t xml:space="preserve"> </w:t>
      </w:r>
      <w:r>
        <w:rPr>
          <w:rFonts w:ascii="Arial" w:hAnsi="Arial" w:cs="Arial"/>
          <w:b/>
          <w:bCs/>
          <w:sz w:val="22"/>
          <w:szCs w:val="22"/>
        </w:rPr>
        <w:t>a-d.</w:t>
      </w:r>
      <w:r w:rsidR="00073E4F" w:rsidRPr="00073E4F">
        <w:rPr>
          <w:rFonts w:ascii="Arial" w:hAnsi="Arial" w:cs="Arial"/>
          <w:b/>
          <w:bCs/>
          <w:sz w:val="22"/>
          <w:szCs w:val="22"/>
        </w:rPr>
        <w:t xml:space="preserve"> </w:t>
      </w:r>
      <w:r w:rsidR="00073E4F" w:rsidRPr="00073E4F">
        <w:rPr>
          <w:rFonts w:ascii="Arial" w:hAnsi="Arial" w:cs="Arial"/>
          <w:sz w:val="22"/>
          <w:szCs w:val="22"/>
        </w:rPr>
        <w:t xml:space="preserve">HCA-based MMP quantification with TMRM and cell viability using Cell Titer-Glo assay in LS NPCs (ATP6_2) treated with increasing concentrations of PDE5i T-0156 or vardenafil hydrochloride compared to DMSO only. Dots represent mean values per well out of n=3 independent experiments. *p&lt;0.05, **p&lt;0.01, ***p&lt;0.001, ns (not significant); ordinary one-way ANOVA with Dunnett’s multiple comparison. </w:t>
      </w:r>
      <w:r>
        <w:rPr>
          <w:rFonts w:ascii="Arial" w:hAnsi="Arial" w:cs="Arial"/>
          <w:b/>
          <w:bCs/>
          <w:sz w:val="22"/>
          <w:szCs w:val="22"/>
        </w:rPr>
        <w:t>e.</w:t>
      </w:r>
      <w:r w:rsidR="00073E4F" w:rsidRPr="00073E4F">
        <w:rPr>
          <w:rFonts w:ascii="Arial" w:hAnsi="Arial" w:cs="Arial"/>
          <w:sz w:val="22"/>
          <w:szCs w:val="22"/>
        </w:rPr>
        <w:t xml:space="preserve"> HCA-based cell viability with Hoechst in LS NPCs (ATP6_2) treated with increasing concentrations of PDE5i sildenafil. Dots represent mean values per well. ns (not significant); ordinary one-way ANOVA with Dunnett’s multiple comparison. </w:t>
      </w:r>
      <w:r>
        <w:rPr>
          <w:rFonts w:ascii="Arial" w:hAnsi="Arial" w:cs="Arial"/>
          <w:b/>
          <w:bCs/>
          <w:sz w:val="22"/>
          <w:szCs w:val="22"/>
        </w:rPr>
        <w:t>f.</w:t>
      </w:r>
      <w:r w:rsidR="00073E4F" w:rsidRPr="00073E4F">
        <w:rPr>
          <w:rFonts w:ascii="Arial" w:hAnsi="Arial" w:cs="Arial"/>
          <w:sz w:val="22"/>
          <w:szCs w:val="22"/>
        </w:rPr>
        <w:t xml:space="preserve"> Representative images of LS NPCs (ATP6_2) treated with either 0.1 % DMSO or 9 µM sildenafil (in a final concentration of 0.1 % DMSO) for 16 h stained with Hoechst. Images obtained with Operetta CLS microscope using 20 x objective. </w:t>
      </w:r>
      <w:r w:rsidR="00073E4F" w:rsidRPr="00073E4F">
        <w:rPr>
          <w:rFonts w:ascii="Arial" w:hAnsi="Arial" w:cs="Arial"/>
          <w:color w:val="000000" w:themeColor="text1"/>
          <w:sz w:val="22"/>
          <w:szCs w:val="22"/>
        </w:rPr>
        <w:t>Scale bar: 100 µm.</w:t>
      </w:r>
      <w:r w:rsidR="00073E4F" w:rsidRPr="00073E4F">
        <w:rPr>
          <w:rFonts w:ascii="Arial" w:hAnsi="Arial" w:cs="Arial"/>
          <w:color w:val="FF0000"/>
          <w:sz w:val="22"/>
          <w:szCs w:val="22"/>
        </w:rPr>
        <w:t xml:space="preserve"> </w:t>
      </w:r>
      <w:r>
        <w:rPr>
          <w:rFonts w:ascii="Arial" w:hAnsi="Arial" w:cs="Arial"/>
          <w:b/>
          <w:bCs/>
          <w:sz w:val="22"/>
          <w:szCs w:val="22"/>
        </w:rPr>
        <w:t>g.</w:t>
      </w:r>
      <w:r w:rsidR="00073E4F" w:rsidRPr="00073E4F">
        <w:rPr>
          <w:rFonts w:ascii="Arial" w:hAnsi="Arial" w:cs="Arial"/>
          <w:sz w:val="22"/>
          <w:szCs w:val="22"/>
        </w:rPr>
        <w:t xml:space="preserve"> Half-maximal inhibitory concentration (IC50) values calculated in LS NPCs (ATP6_2) treated with 0 (0.1 % DMSO), 0.33, 3 or 9 µM sildenafil for 12 h (light blue), 16 h (black), or 24 h (dark blue). Data represents mean values of 6 wells each. </w:t>
      </w:r>
      <w:r>
        <w:rPr>
          <w:rFonts w:ascii="Arial" w:hAnsi="Arial" w:cs="Arial"/>
          <w:b/>
          <w:bCs/>
          <w:sz w:val="22"/>
          <w:szCs w:val="22"/>
        </w:rPr>
        <w:t>h.</w:t>
      </w:r>
      <w:r w:rsidR="00073E4F" w:rsidRPr="00073E4F">
        <w:rPr>
          <w:rFonts w:ascii="Arial" w:hAnsi="Arial" w:cs="Arial"/>
          <w:sz w:val="22"/>
          <w:szCs w:val="22"/>
        </w:rPr>
        <w:t xml:space="preserve"> Toxicity assessment of sildenafil in LS NPCs (ATP6_2, ATP6_4, ATP6_5 and ATP6_7) either treated with 0.1 % DMSO (orange) or 10 µM sildenafil in 0.1 % DMSO (cyan) using Cellcyte live-cell analyzer. Dots and bars (SD) represent individual signal for each line of n=3 independent experiments. </w:t>
      </w:r>
      <w:r>
        <w:rPr>
          <w:rFonts w:ascii="Arial" w:hAnsi="Arial" w:cs="Arial"/>
          <w:b/>
          <w:bCs/>
          <w:sz w:val="22"/>
          <w:szCs w:val="22"/>
        </w:rPr>
        <w:t>i.</w:t>
      </w:r>
      <w:r w:rsidR="00073E4F" w:rsidRPr="00073E4F">
        <w:rPr>
          <w:rFonts w:ascii="Arial" w:hAnsi="Arial" w:cs="Arial"/>
          <w:sz w:val="22"/>
          <w:szCs w:val="22"/>
        </w:rPr>
        <w:t xml:space="preserve"> MMP quantification by either HCA or cytofluorimetry in control </w:t>
      </w:r>
      <w:r w:rsidR="00073E4F" w:rsidRPr="00073E4F">
        <w:rPr>
          <w:rFonts w:ascii="Arial" w:hAnsi="Arial" w:cs="Arial"/>
          <w:sz w:val="22"/>
          <w:szCs w:val="22"/>
        </w:rPr>
        <w:lastRenderedPageBreak/>
        <w:t>NPCs (CTRL_1)</w:t>
      </w:r>
      <w:r w:rsidR="00073E4F" w:rsidRPr="00073E4F">
        <w:rPr>
          <w:rFonts w:ascii="Arial" w:hAnsi="Arial" w:cs="Arial"/>
          <w:color w:val="FF0000"/>
          <w:sz w:val="22"/>
          <w:szCs w:val="22"/>
        </w:rPr>
        <w:t xml:space="preserve"> </w:t>
      </w:r>
      <w:r w:rsidR="00073E4F" w:rsidRPr="00073E4F">
        <w:rPr>
          <w:rFonts w:ascii="Arial" w:hAnsi="Arial" w:cs="Arial"/>
          <w:sz w:val="22"/>
          <w:szCs w:val="22"/>
        </w:rPr>
        <w:t xml:space="preserve">treated with 10 µM sildenafil for 16 h. </w:t>
      </w:r>
      <w:r>
        <w:rPr>
          <w:rFonts w:ascii="Arial" w:hAnsi="Arial" w:cs="Arial"/>
          <w:b/>
          <w:bCs/>
          <w:sz w:val="22"/>
          <w:szCs w:val="22"/>
        </w:rPr>
        <w:t>j.</w:t>
      </w:r>
      <w:r w:rsidR="00073E4F" w:rsidRPr="00073E4F">
        <w:rPr>
          <w:rFonts w:ascii="Arial" w:hAnsi="Arial" w:cs="Arial"/>
          <w:b/>
          <w:bCs/>
          <w:sz w:val="22"/>
          <w:szCs w:val="22"/>
        </w:rPr>
        <w:t xml:space="preserve"> </w:t>
      </w:r>
      <w:r w:rsidR="00073E4F" w:rsidRPr="00073E4F">
        <w:rPr>
          <w:rFonts w:ascii="Arial" w:hAnsi="Arial" w:cs="Arial"/>
          <w:sz w:val="22"/>
          <w:szCs w:val="22"/>
        </w:rPr>
        <w:t xml:space="preserve">Representative image of control NPCs (CTRL_1) stained with MIC60 and DAPI. </w:t>
      </w:r>
      <w:r w:rsidR="00073E4F" w:rsidRPr="00073E4F">
        <w:rPr>
          <w:rFonts w:ascii="Arial" w:hAnsi="Arial" w:cs="Arial"/>
          <w:color w:val="000000" w:themeColor="text1"/>
          <w:sz w:val="22"/>
          <w:szCs w:val="22"/>
        </w:rPr>
        <w:t xml:space="preserve">Scale bar: 5 µm. </w:t>
      </w:r>
      <w:r>
        <w:rPr>
          <w:rFonts w:ascii="Arial" w:hAnsi="Arial" w:cs="Arial"/>
          <w:b/>
          <w:bCs/>
          <w:sz w:val="22"/>
          <w:szCs w:val="22"/>
        </w:rPr>
        <w:t>k.</w:t>
      </w:r>
      <w:r w:rsidR="00073E4F" w:rsidRPr="00073E4F">
        <w:rPr>
          <w:rFonts w:ascii="Arial" w:hAnsi="Arial" w:cs="Arial"/>
          <w:sz w:val="22"/>
          <w:szCs w:val="22"/>
        </w:rPr>
        <w:t xml:space="preserve"> Representative images of MIC60 staining taken by confocal or stimulated emission depletion microscopy (STED) in control NPCs (CTRL_1) and LS NPCs (ATP6_2) treated with either DMSO or 10 µM sildenafil for 16 h. Scale bar: 500 nm. </w:t>
      </w:r>
      <w:r>
        <w:rPr>
          <w:rFonts w:ascii="Arial" w:hAnsi="Arial" w:cs="Arial"/>
          <w:b/>
          <w:bCs/>
          <w:sz w:val="22"/>
          <w:szCs w:val="22"/>
        </w:rPr>
        <w:t>l.</w:t>
      </w:r>
      <w:r w:rsidR="00073E4F" w:rsidRPr="00073E4F">
        <w:rPr>
          <w:rFonts w:ascii="Arial" w:hAnsi="Arial" w:cs="Arial"/>
          <w:sz w:val="22"/>
          <w:szCs w:val="22"/>
        </w:rPr>
        <w:t xml:space="preserve"> Ratio of MIC60 central fluorescence intensity to MICO60 maximal fluorescence intensity recorded with STED microscopy for the transversal profiles shown in m. ***p&lt;0.001, ****p&lt;0.0001, ns; ordinary one-way ANOVA with Dunnett’s multiple comparison. </w:t>
      </w:r>
      <w:r>
        <w:rPr>
          <w:rFonts w:ascii="Arial" w:hAnsi="Arial" w:cs="Arial"/>
          <w:b/>
          <w:bCs/>
          <w:sz w:val="22"/>
          <w:szCs w:val="22"/>
        </w:rPr>
        <w:t>m.</w:t>
      </w:r>
      <w:r w:rsidR="00073E4F" w:rsidRPr="00073E4F">
        <w:rPr>
          <w:rFonts w:ascii="Arial" w:hAnsi="Arial" w:cs="Arial"/>
          <w:sz w:val="22"/>
          <w:szCs w:val="22"/>
        </w:rPr>
        <w:t xml:space="preserve"> MIC60 average fluorescence intensity profiles across the transverse axis of mitochondria recorded with STED microscopy in control NPCs (CTRL_1) and LS NPCs (ATP6_2) treated with either DMSO or 1 µM sildenafil for 24 h. The mean transversal profile is shown in black; dashed lines indicate SD. </w:t>
      </w:r>
      <w:r>
        <w:rPr>
          <w:rFonts w:ascii="Arial" w:hAnsi="Arial" w:cs="Arial"/>
          <w:b/>
          <w:sz w:val="22"/>
          <w:szCs w:val="22"/>
        </w:rPr>
        <w:t>n.</w:t>
      </w:r>
      <w:r w:rsidR="00073E4F" w:rsidRPr="00073E4F">
        <w:rPr>
          <w:rFonts w:ascii="Arial" w:hAnsi="Arial" w:cs="Arial"/>
          <w:bCs/>
          <w:sz w:val="22"/>
          <w:szCs w:val="22"/>
        </w:rPr>
        <w:t xml:space="preserve"> Cartoon depicting the distribution pattern of MIC60 in mitochondrial cristae. Left, homogeneous distribution resulting in a fluorescence intensity profile with a broad plateau at the central maximum along the transversal mitochondrial axis was seen in control NPCs and in LS NPCs treated with sildenafil. Right, peripheral distribution of MIC60 was seen in untreated LS NPCs.</w:t>
      </w:r>
      <w:r w:rsidR="00073E4F" w:rsidRPr="00073E4F">
        <w:rPr>
          <w:rFonts w:ascii="Arial" w:hAnsi="Arial" w:cs="Arial"/>
          <w:bCs/>
          <w:sz w:val="22"/>
          <w:szCs w:val="22"/>
        </w:rPr>
        <w:br w:type="page"/>
      </w:r>
    </w:p>
    <w:p w14:paraId="549F9B0B" w14:textId="3E248EE0" w:rsidR="00073E4F" w:rsidRDefault="00073E4F" w:rsidP="00073E4F">
      <w:pPr>
        <w:spacing w:after="0" w:line="300" w:lineRule="auto"/>
        <w:jc w:val="both"/>
        <w:rPr>
          <w:rFonts w:ascii="Arial" w:hAnsi="Arial" w:cs="Arial"/>
          <w:b/>
          <w:bCs/>
          <w:sz w:val="22"/>
          <w:szCs w:val="22"/>
        </w:rPr>
      </w:pPr>
    </w:p>
    <w:p w14:paraId="0A0BCDB7" w14:textId="04D0C284" w:rsidR="00073E4F" w:rsidRPr="002C028A" w:rsidRDefault="006805D4" w:rsidP="00073E4F">
      <w:pPr>
        <w:spacing w:after="0" w:line="300" w:lineRule="auto"/>
        <w:jc w:val="both"/>
        <w:rPr>
          <w:rFonts w:ascii="Arial" w:hAnsi="Arial" w:cs="Arial"/>
          <w:sz w:val="22"/>
          <w:szCs w:val="22"/>
        </w:rPr>
      </w:pPr>
      <w:r>
        <w:rPr>
          <w:rFonts w:ascii="Arial" w:hAnsi="Arial" w:cs="Arial"/>
          <w:b/>
          <w:bCs/>
          <w:noProof/>
          <w:color w:val="2F5496" w:themeColor="accent5" w:themeShade="BF"/>
          <w:sz w:val="22"/>
          <w:szCs w:val="22"/>
        </w:rPr>
        <w:drawing>
          <wp:inline distT="0" distB="0" distL="0" distR="0" wp14:anchorId="57C30038" wp14:editId="4E69ADED">
            <wp:extent cx="6645910" cy="7744040"/>
            <wp:effectExtent l="0" t="0" r="254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645910" cy="7744040"/>
                    </a:xfrm>
                    <a:prstGeom prst="rect">
                      <a:avLst/>
                    </a:prstGeom>
                    <a:noFill/>
                    <a:ln>
                      <a:noFill/>
                    </a:ln>
                  </pic:spPr>
                </pic:pic>
              </a:graphicData>
            </a:graphic>
          </wp:inline>
        </w:drawing>
      </w:r>
      <w:r w:rsidR="00A37FE9">
        <w:rPr>
          <w:rFonts w:ascii="Arial" w:hAnsi="Arial" w:cs="Arial"/>
          <w:b/>
          <w:bCs/>
          <w:color w:val="2F5496" w:themeColor="accent5" w:themeShade="BF"/>
          <w:sz w:val="22"/>
          <w:szCs w:val="22"/>
        </w:rPr>
        <w:t>F</w:t>
      </w:r>
      <w:r w:rsidR="00073E4F" w:rsidRPr="002C028A">
        <w:rPr>
          <w:rFonts w:ascii="Arial" w:hAnsi="Arial" w:cs="Arial"/>
          <w:b/>
          <w:bCs/>
          <w:color w:val="2F5496" w:themeColor="accent5" w:themeShade="BF"/>
          <w:sz w:val="22"/>
          <w:szCs w:val="22"/>
        </w:rPr>
        <w:t>igure S4. Disease signature and sildenafil signature unveiled by multi-omics (related to Figure 2).</w:t>
      </w:r>
      <w:r w:rsidR="00073E4F" w:rsidRPr="002C028A">
        <w:rPr>
          <w:rFonts w:ascii="Arial" w:hAnsi="Arial" w:cs="Arial"/>
          <w:b/>
          <w:bCs/>
          <w:sz w:val="22"/>
          <w:szCs w:val="22"/>
        </w:rPr>
        <w:t xml:space="preserve"> </w:t>
      </w:r>
      <w:r>
        <w:rPr>
          <w:rFonts w:ascii="Arial" w:hAnsi="Arial" w:cs="Arial"/>
          <w:b/>
          <w:bCs/>
          <w:sz w:val="22"/>
          <w:szCs w:val="22"/>
        </w:rPr>
        <w:t>a-b.</w:t>
      </w:r>
      <w:r w:rsidR="00073E4F" w:rsidRPr="002C028A">
        <w:rPr>
          <w:rFonts w:ascii="Arial" w:hAnsi="Arial" w:cs="Arial"/>
          <w:b/>
          <w:bCs/>
          <w:sz w:val="22"/>
          <w:szCs w:val="22"/>
        </w:rPr>
        <w:t xml:space="preserve"> </w:t>
      </w:r>
      <w:r w:rsidR="00073E4F" w:rsidRPr="002C028A">
        <w:rPr>
          <w:rFonts w:ascii="Arial" w:hAnsi="Arial" w:cs="Arial"/>
          <w:sz w:val="22"/>
          <w:szCs w:val="22"/>
        </w:rPr>
        <w:t>Dot plot highlighting top ten enriched Gene Ontology (GO) biological processes (BP) and GO cellular components (CC) in LS NPCs (ATP6_2, ATP_4, ATP6_5, ATP6_7) compared to control NPCs (CTRL_1, CTRL_2, CTRL_3, CTRL_4) based on transcriptomics.</w:t>
      </w:r>
      <w:r w:rsidR="00073E4F" w:rsidRPr="002C028A">
        <w:rPr>
          <w:rFonts w:ascii="Arial" w:hAnsi="Arial" w:cs="Arial"/>
          <w:b/>
          <w:bCs/>
          <w:sz w:val="22"/>
          <w:szCs w:val="22"/>
        </w:rPr>
        <w:t xml:space="preserve"> </w:t>
      </w:r>
      <w:r>
        <w:rPr>
          <w:rFonts w:ascii="Arial" w:hAnsi="Arial" w:cs="Arial"/>
          <w:b/>
          <w:bCs/>
          <w:sz w:val="22"/>
          <w:szCs w:val="22"/>
        </w:rPr>
        <w:t>c.</w:t>
      </w:r>
      <w:r w:rsidR="00073E4F" w:rsidRPr="002C028A">
        <w:rPr>
          <w:rFonts w:ascii="Arial" w:hAnsi="Arial" w:cs="Arial"/>
          <w:sz w:val="22"/>
          <w:szCs w:val="22"/>
        </w:rPr>
        <w:t xml:space="preserve"> Dot plot highlighting top ten enriched GO CC in ATP6 NPCs (ATP6_2, ATP_4, ATP6_5, ATP6_7) treated with sildenafil for 16 h compared to DMSO based on transcriptomics. </w:t>
      </w:r>
      <w:r>
        <w:rPr>
          <w:rFonts w:ascii="Arial" w:hAnsi="Arial" w:cs="Arial"/>
          <w:b/>
          <w:bCs/>
          <w:sz w:val="22"/>
          <w:szCs w:val="22"/>
        </w:rPr>
        <w:t>d-e.</w:t>
      </w:r>
      <w:r w:rsidR="00073E4F" w:rsidRPr="002C028A">
        <w:rPr>
          <w:rFonts w:ascii="Arial" w:hAnsi="Arial" w:cs="Arial"/>
          <w:sz w:val="22"/>
          <w:szCs w:val="22"/>
        </w:rPr>
        <w:t xml:space="preserve"> Volcano plots of bulk transcriptomics depicting genes differentially regulated (red dots) in LS NPCs (ATP6_2, ATP_4, ATP6_5, ATP6_7) compared to control NPCs (CTRL_1, CTRL_2, CTRL_3, CTRL_4) or in LS NPCs (ATP6_2, ATP_4, ATP6_5, ATP6_7) treated with sildenafil compared to DMSO. </w:t>
      </w:r>
      <w:r>
        <w:rPr>
          <w:rFonts w:ascii="Arial" w:hAnsi="Arial" w:cs="Arial"/>
          <w:b/>
          <w:bCs/>
          <w:sz w:val="22"/>
          <w:szCs w:val="22"/>
        </w:rPr>
        <w:t>f-g</w:t>
      </w:r>
      <w:r w:rsidR="00073E4F" w:rsidRPr="002C028A">
        <w:rPr>
          <w:rFonts w:ascii="Arial" w:hAnsi="Arial" w:cs="Arial"/>
          <w:b/>
          <w:bCs/>
          <w:sz w:val="22"/>
          <w:szCs w:val="22"/>
        </w:rPr>
        <w:t xml:space="preserve">. </w:t>
      </w:r>
      <w:r w:rsidR="00073E4F" w:rsidRPr="002C028A">
        <w:rPr>
          <w:rFonts w:ascii="Arial" w:hAnsi="Arial" w:cs="Arial"/>
          <w:sz w:val="22"/>
          <w:szCs w:val="22"/>
        </w:rPr>
        <w:t xml:space="preserve">Dot plot highlighting top ten enriched GO BP and GO CC in LS NPCs (ATP6_2, ATP_4, ATP6_5, </w:t>
      </w:r>
      <w:r w:rsidR="00073E4F" w:rsidRPr="002C028A">
        <w:rPr>
          <w:rFonts w:ascii="Arial" w:hAnsi="Arial" w:cs="Arial"/>
          <w:sz w:val="22"/>
          <w:szCs w:val="22"/>
        </w:rPr>
        <w:lastRenderedPageBreak/>
        <w:t>ATP6_7) compared to control NPCs (CTRL_1, CTRL_2, CTRL_3, CTRL_4) based on proteomics.</w:t>
      </w:r>
      <w:r w:rsidR="00073E4F" w:rsidRPr="002C028A">
        <w:rPr>
          <w:rFonts w:ascii="Arial" w:hAnsi="Arial" w:cs="Arial"/>
          <w:b/>
          <w:bCs/>
          <w:sz w:val="22"/>
          <w:szCs w:val="22"/>
        </w:rPr>
        <w:t xml:space="preserve"> </w:t>
      </w:r>
      <w:r>
        <w:rPr>
          <w:rFonts w:ascii="Arial" w:hAnsi="Arial" w:cs="Arial"/>
          <w:b/>
          <w:bCs/>
          <w:sz w:val="22"/>
          <w:szCs w:val="22"/>
        </w:rPr>
        <w:t>h.</w:t>
      </w:r>
      <w:r w:rsidR="00073E4F" w:rsidRPr="002C028A">
        <w:rPr>
          <w:rFonts w:ascii="Arial" w:hAnsi="Arial" w:cs="Arial"/>
          <w:sz w:val="22"/>
          <w:szCs w:val="22"/>
        </w:rPr>
        <w:t xml:space="preserve"> Dot plot highlighting top ten enriched GO CC in LS NPCs (ATP6_2, ATP_4, ATP6_5, ATP6_7) treated with sildenafil for 16 h compared to DMSO based on proteomics. </w:t>
      </w:r>
      <w:r>
        <w:rPr>
          <w:rFonts w:ascii="Arial" w:hAnsi="Arial" w:cs="Arial"/>
          <w:b/>
          <w:bCs/>
          <w:sz w:val="22"/>
          <w:szCs w:val="22"/>
        </w:rPr>
        <w:t>i-j.</w:t>
      </w:r>
      <w:r w:rsidR="00073E4F" w:rsidRPr="002C028A">
        <w:rPr>
          <w:rFonts w:ascii="Arial" w:hAnsi="Arial" w:cs="Arial"/>
          <w:sz w:val="22"/>
          <w:szCs w:val="22"/>
        </w:rPr>
        <w:t xml:space="preserve"> Volcano plots of proteomics depicting proteins differentially regulated (red dots) in LS NPCs (ATP6_2, ATP_4, ATP6_5, ATP6_7) compared to control NPCs (CTRL_1, CTRL_2, CTRL_3, CTRL_4) or in LS NPCs (ATP6_2, ATP_4, ATP6_5, ATP6_7) treated with sildenafil compared to DMSO. </w:t>
      </w:r>
      <w:r>
        <w:rPr>
          <w:rFonts w:ascii="Arial" w:hAnsi="Arial" w:cs="Arial"/>
          <w:b/>
          <w:bCs/>
          <w:sz w:val="22"/>
          <w:szCs w:val="22"/>
        </w:rPr>
        <w:t>k.</w:t>
      </w:r>
      <w:r w:rsidR="00073E4F" w:rsidRPr="002C028A">
        <w:rPr>
          <w:rFonts w:ascii="Arial" w:hAnsi="Arial" w:cs="Arial"/>
          <w:sz w:val="22"/>
          <w:szCs w:val="22"/>
        </w:rPr>
        <w:t xml:space="preserve"> Volcano plot of bulk transcriptomics of control NPCs (CTRL_1, CTRL_2, CTRL_3, CTRL_4) treated with sildenafil compared to DMSO.</w:t>
      </w:r>
    </w:p>
    <w:p w14:paraId="01DF9B5C" w14:textId="77777777" w:rsidR="00073E4F" w:rsidRDefault="00073E4F" w:rsidP="00073E4F">
      <w:pPr>
        <w:spacing w:after="0" w:line="300" w:lineRule="auto"/>
        <w:jc w:val="both"/>
        <w:rPr>
          <w:rFonts w:ascii="Arial" w:hAnsi="Arial" w:cs="Arial"/>
          <w:sz w:val="22"/>
          <w:szCs w:val="22"/>
        </w:rPr>
      </w:pPr>
    </w:p>
    <w:p w14:paraId="7A57BC89" w14:textId="77777777" w:rsidR="00073E4F" w:rsidRDefault="00073E4F" w:rsidP="00073E4F">
      <w:pPr>
        <w:spacing w:after="0" w:line="300" w:lineRule="auto"/>
        <w:jc w:val="both"/>
        <w:rPr>
          <w:rFonts w:ascii="Arial" w:hAnsi="Arial" w:cs="Arial"/>
          <w:sz w:val="22"/>
          <w:szCs w:val="22"/>
        </w:rPr>
      </w:pPr>
    </w:p>
    <w:p w14:paraId="12E8C2BE" w14:textId="77777777" w:rsidR="00073E4F" w:rsidRDefault="00073E4F" w:rsidP="00073E4F">
      <w:pPr>
        <w:spacing w:after="0" w:line="300" w:lineRule="auto"/>
        <w:jc w:val="both"/>
        <w:rPr>
          <w:rFonts w:ascii="Arial" w:hAnsi="Arial" w:cs="Arial"/>
          <w:sz w:val="22"/>
          <w:szCs w:val="22"/>
        </w:rPr>
      </w:pPr>
    </w:p>
    <w:p w14:paraId="4509947C" w14:textId="77777777" w:rsidR="002C028A" w:rsidRDefault="002C028A" w:rsidP="00073E4F">
      <w:pPr>
        <w:spacing w:after="0" w:line="300" w:lineRule="auto"/>
        <w:jc w:val="both"/>
        <w:rPr>
          <w:rFonts w:ascii="Arial" w:hAnsi="Arial" w:cs="Arial"/>
          <w:sz w:val="22"/>
          <w:szCs w:val="22"/>
        </w:rPr>
      </w:pPr>
    </w:p>
    <w:p w14:paraId="554382C7" w14:textId="77777777" w:rsidR="002C028A" w:rsidRDefault="002C028A" w:rsidP="00073E4F">
      <w:pPr>
        <w:spacing w:after="0" w:line="300" w:lineRule="auto"/>
        <w:jc w:val="both"/>
        <w:rPr>
          <w:rFonts w:ascii="Arial" w:hAnsi="Arial" w:cs="Arial"/>
          <w:sz w:val="22"/>
          <w:szCs w:val="22"/>
        </w:rPr>
      </w:pPr>
    </w:p>
    <w:p w14:paraId="0683BDE1" w14:textId="77777777" w:rsidR="00073E4F" w:rsidRDefault="00073E4F" w:rsidP="00073E4F">
      <w:pPr>
        <w:spacing w:after="0" w:line="300" w:lineRule="auto"/>
        <w:jc w:val="both"/>
        <w:rPr>
          <w:rFonts w:ascii="Arial" w:hAnsi="Arial" w:cs="Arial"/>
          <w:sz w:val="22"/>
          <w:szCs w:val="22"/>
        </w:rPr>
      </w:pPr>
    </w:p>
    <w:p w14:paraId="071825D3" w14:textId="77777777" w:rsidR="00073E4F" w:rsidRPr="0006137E" w:rsidRDefault="00073E4F" w:rsidP="00073E4F">
      <w:pPr>
        <w:spacing w:after="0" w:line="300" w:lineRule="auto"/>
        <w:jc w:val="both"/>
        <w:rPr>
          <w:rFonts w:ascii="Arial" w:hAnsi="Arial" w:cs="Arial"/>
          <w:sz w:val="22"/>
          <w:szCs w:val="22"/>
        </w:rPr>
      </w:pPr>
    </w:p>
    <w:p w14:paraId="446FD543" w14:textId="15BCCAEB" w:rsidR="00073E4F" w:rsidRDefault="00073E4F" w:rsidP="00073E4F">
      <w:pPr>
        <w:spacing w:after="0" w:line="300" w:lineRule="auto"/>
        <w:jc w:val="both"/>
        <w:rPr>
          <w:rFonts w:ascii="Arial" w:hAnsi="Arial" w:cs="Arial"/>
          <w:b/>
          <w:bCs/>
          <w:sz w:val="22"/>
          <w:szCs w:val="22"/>
        </w:rPr>
      </w:pPr>
    </w:p>
    <w:p w14:paraId="7C6982CD" w14:textId="77777777" w:rsidR="002C028A" w:rsidRDefault="002C028A" w:rsidP="00073E4F">
      <w:pPr>
        <w:spacing w:after="0" w:line="300" w:lineRule="auto"/>
        <w:jc w:val="both"/>
        <w:rPr>
          <w:rFonts w:ascii="Arial" w:hAnsi="Arial" w:cs="Arial"/>
          <w:b/>
          <w:bCs/>
          <w:color w:val="2F5496" w:themeColor="accent5" w:themeShade="BF"/>
          <w:sz w:val="22"/>
          <w:szCs w:val="22"/>
        </w:rPr>
      </w:pPr>
    </w:p>
    <w:p w14:paraId="11553B5E" w14:textId="24AC09DD" w:rsidR="00073E4F" w:rsidRPr="002C028A" w:rsidRDefault="00A37FE9" w:rsidP="00073E4F">
      <w:pPr>
        <w:spacing w:after="0" w:line="300" w:lineRule="auto"/>
        <w:jc w:val="both"/>
        <w:rPr>
          <w:rFonts w:ascii="Arial" w:hAnsi="Arial" w:cs="Arial"/>
          <w:sz w:val="22"/>
          <w:szCs w:val="22"/>
        </w:rPr>
      </w:pPr>
      <w:r>
        <w:rPr>
          <w:rFonts w:ascii="Arial" w:hAnsi="Arial" w:cs="Arial"/>
          <w:b/>
          <w:bCs/>
          <w:noProof/>
          <w:color w:val="2F5496" w:themeColor="accent5" w:themeShade="BF"/>
          <w:sz w:val="22"/>
          <w:szCs w:val="22"/>
        </w:rPr>
        <w:lastRenderedPageBreak/>
        <w:drawing>
          <wp:inline distT="0" distB="0" distL="0" distR="0" wp14:anchorId="4C752952" wp14:editId="45BF0867">
            <wp:extent cx="6642100" cy="8007350"/>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642100" cy="8007350"/>
                    </a:xfrm>
                    <a:prstGeom prst="rect">
                      <a:avLst/>
                    </a:prstGeom>
                    <a:noFill/>
                    <a:ln>
                      <a:noFill/>
                    </a:ln>
                  </pic:spPr>
                </pic:pic>
              </a:graphicData>
            </a:graphic>
          </wp:inline>
        </w:drawing>
      </w:r>
      <w:r w:rsidR="00073E4F" w:rsidRPr="002C028A">
        <w:rPr>
          <w:rFonts w:ascii="Arial" w:hAnsi="Arial" w:cs="Arial"/>
          <w:b/>
          <w:bCs/>
          <w:color w:val="2F5496" w:themeColor="accent5" w:themeShade="BF"/>
          <w:sz w:val="22"/>
          <w:szCs w:val="22"/>
        </w:rPr>
        <w:t xml:space="preserve">Figure S5. Metabolic signature of LS NPCs and multi-omics integration (related to Figure 2). </w:t>
      </w:r>
      <w:r w:rsidR="006805D4">
        <w:rPr>
          <w:rFonts w:ascii="Arial" w:hAnsi="Arial" w:cs="Arial"/>
          <w:b/>
          <w:bCs/>
          <w:sz w:val="22"/>
          <w:szCs w:val="22"/>
        </w:rPr>
        <w:t>a-b.</w:t>
      </w:r>
      <w:r w:rsidR="00073E4F" w:rsidRPr="002C028A">
        <w:rPr>
          <w:rFonts w:ascii="Arial" w:hAnsi="Arial" w:cs="Arial"/>
          <w:b/>
          <w:bCs/>
          <w:sz w:val="22"/>
          <w:szCs w:val="22"/>
        </w:rPr>
        <w:t xml:space="preserve"> </w:t>
      </w:r>
      <w:r w:rsidR="00073E4F" w:rsidRPr="002C028A">
        <w:rPr>
          <w:rFonts w:ascii="Arial" w:hAnsi="Arial" w:cs="Arial"/>
          <w:sz w:val="22"/>
          <w:szCs w:val="22"/>
        </w:rPr>
        <w:t xml:space="preserve">Volcano plots of metabolomics depicting upregulated metabolites (red) and downregulated metabolites (blue) in LS NPCs (ATP6_2, ATP_4, ATP6_5, ATP6_7) compared to control NPCs (CTRL_1, CTRL_2, CTRL_3, CTRL_4) either in basal DMSO conditions or after 16 h treatment with 10 µM sildenafil. </w:t>
      </w:r>
      <w:r w:rsidR="006805D4">
        <w:rPr>
          <w:rFonts w:ascii="Arial" w:hAnsi="Arial" w:cs="Arial"/>
          <w:b/>
          <w:bCs/>
          <w:sz w:val="22"/>
          <w:szCs w:val="22"/>
        </w:rPr>
        <w:t>c-d.</w:t>
      </w:r>
      <w:r w:rsidR="00073E4F" w:rsidRPr="002C028A">
        <w:rPr>
          <w:rFonts w:ascii="Arial" w:hAnsi="Arial" w:cs="Arial"/>
          <w:sz w:val="22"/>
          <w:szCs w:val="22"/>
        </w:rPr>
        <w:t xml:space="preserve"> Enrichment analysis of altered metabolic pathways (red) and identified metabolic pathways (gray) in LS NPCs (ATP6_2, ATP_4, ATP6_5, ATP6_7) compared to control NPCs (CTRL_1, CTRL_2, CTRL_3, CTRL_4) either in basal DMSO conditions or after 16 h treatment with 10 µM sildenafil. </w:t>
      </w:r>
      <w:r w:rsidR="006805D4">
        <w:rPr>
          <w:rFonts w:ascii="Arial" w:hAnsi="Arial" w:cs="Arial"/>
          <w:b/>
          <w:bCs/>
          <w:sz w:val="22"/>
          <w:szCs w:val="22"/>
        </w:rPr>
        <w:t>e-f.</w:t>
      </w:r>
      <w:r w:rsidR="00073E4F" w:rsidRPr="002C028A">
        <w:rPr>
          <w:rFonts w:ascii="Arial" w:hAnsi="Arial" w:cs="Arial"/>
          <w:sz w:val="22"/>
          <w:szCs w:val="22"/>
        </w:rPr>
        <w:t xml:space="preserve"> Multi-omics integration highlighting KEGG </w:t>
      </w:r>
      <w:r w:rsidR="00073E4F" w:rsidRPr="002C028A">
        <w:rPr>
          <w:rFonts w:ascii="Arial" w:hAnsi="Arial" w:cs="Arial"/>
          <w:sz w:val="22"/>
          <w:szCs w:val="22"/>
        </w:rPr>
        <w:lastRenderedPageBreak/>
        <w:t>pathways modified in LS NPCs compared to control NPCs (disease signature) or LS NPCs treated with sildenafil compared to DMSO (sildenafil signature).</w:t>
      </w:r>
    </w:p>
    <w:p w14:paraId="0DD33854" w14:textId="1B89EFAF" w:rsidR="00073E4F" w:rsidRDefault="00073E4F" w:rsidP="00073E4F">
      <w:pPr>
        <w:spacing w:after="0" w:line="300" w:lineRule="auto"/>
        <w:jc w:val="both"/>
        <w:rPr>
          <w:rFonts w:ascii="Arial" w:hAnsi="Arial" w:cs="Arial"/>
          <w:sz w:val="22"/>
          <w:szCs w:val="22"/>
        </w:rPr>
      </w:pPr>
      <w:r>
        <w:rPr>
          <w:rFonts w:ascii="Arial" w:hAnsi="Arial" w:cs="Arial"/>
          <w:sz w:val="22"/>
          <w:szCs w:val="22"/>
        </w:rPr>
        <w:br w:type="column"/>
      </w:r>
    </w:p>
    <w:p w14:paraId="7B24A450" w14:textId="42193B17" w:rsidR="00073E4F" w:rsidRPr="002C028A" w:rsidRDefault="00F353DA" w:rsidP="00073E4F">
      <w:pPr>
        <w:spacing w:after="0" w:line="300" w:lineRule="auto"/>
        <w:jc w:val="both"/>
        <w:rPr>
          <w:rFonts w:ascii="Arial" w:hAnsi="Arial" w:cs="Arial"/>
          <w:sz w:val="22"/>
          <w:szCs w:val="22"/>
        </w:rPr>
      </w:pPr>
      <w:r>
        <w:rPr>
          <w:rFonts w:ascii="Arial" w:hAnsi="Arial" w:cs="Arial"/>
          <w:b/>
          <w:bCs/>
          <w:noProof/>
          <w:color w:val="2F5496" w:themeColor="accent5" w:themeShade="BF"/>
          <w:sz w:val="22"/>
          <w:szCs w:val="22"/>
          <w14:ligatures w14:val="none"/>
        </w:rPr>
        <w:drawing>
          <wp:inline distT="0" distB="0" distL="0" distR="0" wp14:anchorId="188CF8BB" wp14:editId="1FD6E0AA">
            <wp:extent cx="6645910" cy="7858125"/>
            <wp:effectExtent l="0" t="0" r="254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12">
                      <a:extLst>
                        <a:ext uri="{28A0092B-C50C-407E-A947-70E740481C1C}">
                          <a14:useLocalDpi xmlns:a14="http://schemas.microsoft.com/office/drawing/2010/main" val="0"/>
                        </a:ext>
                      </a:extLst>
                    </a:blip>
                    <a:stretch>
                      <a:fillRect/>
                    </a:stretch>
                  </pic:blipFill>
                  <pic:spPr>
                    <a:xfrm>
                      <a:off x="0" y="0"/>
                      <a:ext cx="6645910" cy="7858125"/>
                    </a:xfrm>
                    <a:prstGeom prst="rect">
                      <a:avLst/>
                    </a:prstGeom>
                  </pic:spPr>
                </pic:pic>
              </a:graphicData>
            </a:graphic>
          </wp:inline>
        </w:drawing>
      </w:r>
      <w:r w:rsidR="00073E4F" w:rsidRPr="002C028A">
        <w:rPr>
          <w:rFonts w:ascii="Arial" w:hAnsi="Arial" w:cs="Arial"/>
          <w:b/>
          <w:bCs/>
          <w:color w:val="2F5496" w:themeColor="accent5" w:themeShade="BF"/>
          <w:sz w:val="22"/>
          <w:szCs w:val="22"/>
        </w:rPr>
        <w:t>Figure S6. Brain organoid models of LS (related to Figure 2).</w:t>
      </w:r>
      <w:r w:rsidR="00073E4F" w:rsidRPr="002C028A">
        <w:rPr>
          <w:rFonts w:ascii="Arial" w:hAnsi="Arial" w:cs="Arial"/>
          <w:b/>
          <w:bCs/>
          <w:color w:val="4472C4" w:themeColor="accent5"/>
          <w:sz w:val="22"/>
          <w:szCs w:val="22"/>
        </w:rPr>
        <w:t xml:space="preserve"> </w:t>
      </w:r>
      <w:r w:rsidR="006805D4">
        <w:rPr>
          <w:rFonts w:ascii="Arial" w:hAnsi="Arial" w:cs="Arial"/>
          <w:b/>
          <w:bCs/>
          <w:sz w:val="22"/>
          <w:szCs w:val="22"/>
        </w:rPr>
        <w:t>a.</w:t>
      </w:r>
      <w:r w:rsidR="00073E4F" w:rsidRPr="002C028A">
        <w:rPr>
          <w:rFonts w:ascii="Arial" w:hAnsi="Arial" w:cs="Arial"/>
          <w:b/>
          <w:bCs/>
          <w:sz w:val="22"/>
          <w:szCs w:val="22"/>
        </w:rPr>
        <w:t xml:space="preserve"> </w:t>
      </w:r>
      <w:r w:rsidR="00073E4F" w:rsidRPr="002C028A">
        <w:rPr>
          <w:rFonts w:ascii="Arial" w:hAnsi="Arial" w:cs="Arial"/>
          <w:sz w:val="22"/>
          <w:szCs w:val="22"/>
        </w:rPr>
        <w:t>Schematic of the two protocols employed for the generation of cortical brain organoids: Le et al with 96-well plates</w:t>
      </w:r>
      <w:r w:rsidR="00073E4F" w:rsidRPr="002C028A">
        <w:rPr>
          <w:rFonts w:ascii="Arial" w:hAnsi="Arial" w:cs="Arial"/>
          <w:sz w:val="22"/>
          <w:szCs w:val="22"/>
        </w:rPr>
        <w:fldChar w:fldCharType="begin">
          <w:fldData xml:space="preserve">PEVuZE5vdGU+PENpdGU+PEF1dGhvcj5MZTwvQXV0aG9yPjxZZWFyPjIwMjE8L1llYXI+PFJlY051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</w:fldData>
        </w:fldChar>
      </w:r>
      <w:r w:rsidR="00073E4F" w:rsidRPr="002C028A">
        <w:rPr>
          <w:rFonts w:ascii="Arial" w:hAnsi="Arial" w:cs="Arial"/>
          <w:sz w:val="22"/>
          <w:szCs w:val="22"/>
        </w:rPr>
        <w:instrText xml:space="preserve"> ADDIN EN.CITE </w:instrText>
      </w:r>
      <w:r w:rsidR="00073E4F" w:rsidRPr="002C028A">
        <w:rPr>
          <w:rFonts w:ascii="Arial" w:hAnsi="Arial" w:cs="Arial"/>
          <w:sz w:val="22"/>
          <w:szCs w:val="22"/>
        </w:rPr>
        <w:fldChar w:fldCharType="begin">
          <w:fldData xml:space="preserve">PEVuZE5vdGU+PENpdGU+PEF1dGhvcj5MZTwvQXV0aG9yPjxZZWFyPjIwMjE8L1llYXI+PFJlY051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</w:fldData>
        </w:fldChar>
      </w:r>
      <w:r w:rsidR="00073E4F" w:rsidRPr="002C028A">
        <w:rPr>
          <w:rFonts w:ascii="Arial" w:hAnsi="Arial" w:cs="Arial"/>
          <w:sz w:val="22"/>
          <w:szCs w:val="22"/>
        </w:rPr>
        <w:instrText xml:space="preserve"> ADDIN EN.CITE.DATA </w:instrText>
      </w:r>
      <w:r w:rsidR="00073E4F" w:rsidRPr="002C028A">
        <w:rPr>
          <w:rFonts w:ascii="Arial" w:hAnsi="Arial" w:cs="Arial"/>
          <w:sz w:val="22"/>
          <w:szCs w:val="22"/>
        </w:rPr>
      </w:r>
      <w:r w:rsidR="00073E4F" w:rsidRPr="002C028A">
        <w:rPr>
          <w:rFonts w:ascii="Arial" w:hAnsi="Arial" w:cs="Arial"/>
          <w:sz w:val="22"/>
          <w:szCs w:val="22"/>
        </w:rPr>
        <w:fldChar w:fldCharType="end"/>
      </w:r>
      <w:r w:rsidR="00073E4F" w:rsidRPr="002C028A">
        <w:rPr>
          <w:rFonts w:ascii="Arial" w:hAnsi="Arial" w:cs="Arial"/>
          <w:sz w:val="22"/>
          <w:szCs w:val="22"/>
        </w:rPr>
      </w:r>
      <w:r w:rsidR="00073E4F" w:rsidRPr="002C028A">
        <w:rPr>
          <w:rFonts w:ascii="Arial" w:hAnsi="Arial" w:cs="Arial"/>
          <w:sz w:val="22"/>
          <w:szCs w:val="22"/>
        </w:rPr>
        <w:fldChar w:fldCharType="separate"/>
      </w:r>
      <w:r w:rsidR="00073E4F" w:rsidRPr="002C028A">
        <w:rPr>
          <w:rFonts w:ascii="Arial" w:hAnsi="Arial" w:cs="Arial"/>
          <w:sz w:val="22"/>
          <w:szCs w:val="22"/>
          <w:vertAlign w:val="superscript"/>
        </w:rPr>
        <w:t>15</w:t>
      </w:r>
      <w:r w:rsidR="00073E4F" w:rsidRPr="002C028A">
        <w:rPr>
          <w:rFonts w:ascii="Arial" w:hAnsi="Arial" w:cs="Arial"/>
          <w:sz w:val="22"/>
          <w:szCs w:val="22"/>
        </w:rPr>
        <w:fldChar w:fldCharType="end"/>
      </w:r>
      <w:r w:rsidR="00073E4F" w:rsidRPr="002C028A">
        <w:rPr>
          <w:rFonts w:ascii="Arial" w:hAnsi="Arial" w:cs="Arial"/>
          <w:sz w:val="22"/>
          <w:szCs w:val="22"/>
        </w:rPr>
        <w:t xml:space="preserve"> or Miura et al with AggreWells plates</w:t>
      </w:r>
      <w:r w:rsidR="00073E4F" w:rsidRPr="002C028A">
        <w:rPr>
          <w:rFonts w:ascii="Arial" w:hAnsi="Arial" w:cs="Arial"/>
          <w:sz w:val="22"/>
          <w:szCs w:val="22"/>
        </w:rPr>
        <w:fldChar w:fldCharType="begin">
          <w:fldData xml:space="preserve">PEVuZE5vdGU+PENpdGU+PEF1dGhvcj5NaXVyYTwvQXV0aG9yPjxZZWFyPjIwMjA8L1llYXI+PFJl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==
</w:fldData>
        </w:fldChar>
      </w:r>
      <w:r w:rsidR="00073E4F" w:rsidRPr="002C028A">
        <w:rPr>
          <w:rFonts w:ascii="Arial" w:hAnsi="Arial" w:cs="Arial"/>
          <w:sz w:val="22"/>
          <w:szCs w:val="22"/>
        </w:rPr>
        <w:instrText xml:space="preserve"> ADDIN EN.CITE </w:instrText>
      </w:r>
      <w:r w:rsidR="00073E4F" w:rsidRPr="002C028A">
        <w:rPr>
          <w:rFonts w:ascii="Arial" w:hAnsi="Arial" w:cs="Arial"/>
          <w:sz w:val="22"/>
          <w:szCs w:val="22"/>
        </w:rPr>
        <w:fldChar w:fldCharType="begin">
          <w:fldData xml:space="preserve">PEVuZE5vdGU+PENpdGU+PEF1dGhvcj5NaXVyYTwvQXV0aG9yPjxZZWFyPjIwMjA8L1llYXI+PFJl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==
</w:fldData>
        </w:fldChar>
      </w:r>
      <w:r w:rsidR="00073E4F" w:rsidRPr="002C028A">
        <w:rPr>
          <w:rFonts w:ascii="Arial" w:hAnsi="Arial" w:cs="Arial"/>
          <w:sz w:val="22"/>
          <w:szCs w:val="22"/>
        </w:rPr>
        <w:instrText xml:space="preserve"> ADDIN EN.CITE.DATA </w:instrText>
      </w:r>
      <w:r w:rsidR="00073E4F" w:rsidRPr="002C028A">
        <w:rPr>
          <w:rFonts w:ascii="Arial" w:hAnsi="Arial" w:cs="Arial"/>
          <w:sz w:val="22"/>
          <w:szCs w:val="22"/>
        </w:rPr>
      </w:r>
      <w:r w:rsidR="00073E4F" w:rsidRPr="002C028A">
        <w:rPr>
          <w:rFonts w:ascii="Arial" w:hAnsi="Arial" w:cs="Arial"/>
          <w:sz w:val="22"/>
          <w:szCs w:val="22"/>
        </w:rPr>
        <w:fldChar w:fldCharType="end"/>
      </w:r>
      <w:r w:rsidR="00073E4F" w:rsidRPr="002C028A">
        <w:rPr>
          <w:rFonts w:ascii="Arial" w:hAnsi="Arial" w:cs="Arial"/>
          <w:sz w:val="22"/>
          <w:szCs w:val="22"/>
        </w:rPr>
      </w:r>
      <w:r w:rsidR="00073E4F" w:rsidRPr="002C028A">
        <w:rPr>
          <w:rFonts w:ascii="Arial" w:hAnsi="Arial" w:cs="Arial"/>
          <w:sz w:val="22"/>
          <w:szCs w:val="22"/>
        </w:rPr>
        <w:fldChar w:fldCharType="separate"/>
      </w:r>
      <w:r w:rsidR="00073E4F" w:rsidRPr="002C028A">
        <w:rPr>
          <w:rFonts w:ascii="Arial" w:hAnsi="Arial" w:cs="Arial"/>
          <w:sz w:val="22"/>
          <w:szCs w:val="22"/>
          <w:vertAlign w:val="superscript"/>
        </w:rPr>
        <w:t>16</w:t>
      </w:r>
      <w:r w:rsidR="00073E4F" w:rsidRPr="002C028A">
        <w:rPr>
          <w:rFonts w:ascii="Arial" w:hAnsi="Arial" w:cs="Arial"/>
          <w:sz w:val="22"/>
          <w:szCs w:val="22"/>
        </w:rPr>
        <w:fldChar w:fldCharType="end"/>
      </w:r>
      <w:r w:rsidR="00073E4F" w:rsidRPr="002C028A">
        <w:rPr>
          <w:rFonts w:ascii="Arial" w:hAnsi="Arial" w:cs="Arial"/>
          <w:sz w:val="22"/>
          <w:szCs w:val="22"/>
        </w:rPr>
        <w:t xml:space="preserve">. </w:t>
      </w:r>
      <w:r w:rsidR="006805D4">
        <w:rPr>
          <w:rFonts w:ascii="Arial" w:hAnsi="Arial" w:cs="Arial"/>
          <w:b/>
          <w:bCs/>
          <w:sz w:val="22"/>
          <w:szCs w:val="22"/>
        </w:rPr>
        <w:t>b.</w:t>
      </w:r>
      <w:r w:rsidR="00073E4F" w:rsidRPr="002C028A">
        <w:rPr>
          <w:rFonts w:ascii="Arial" w:hAnsi="Arial" w:cs="Arial"/>
          <w:sz w:val="22"/>
          <w:szCs w:val="22"/>
        </w:rPr>
        <w:t xml:space="preserve"> Quantification of the size of individual brain organoids grown following the two protocols until day</w:t>
      </w:r>
      <w:r w:rsidR="004E40E7">
        <w:rPr>
          <w:rFonts w:ascii="Arial" w:hAnsi="Arial" w:cs="Arial"/>
          <w:sz w:val="22"/>
          <w:szCs w:val="22"/>
        </w:rPr>
        <w:t xml:space="preserve"> 70</w:t>
      </w:r>
      <w:r w:rsidR="00073E4F" w:rsidRPr="002C028A">
        <w:rPr>
          <w:rFonts w:ascii="Arial" w:hAnsi="Arial" w:cs="Arial"/>
          <w:sz w:val="22"/>
          <w:szCs w:val="22"/>
        </w:rPr>
        <w:t>. ****p&lt;0.0001, ns (not significant); two-tailed Mann-Whitney U test.</w:t>
      </w:r>
      <w:r w:rsidR="006805D4">
        <w:rPr>
          <w:rFonts w:ascii="Arial" w:hAnsi="Arial" w:cs="Arial"/>
          <w:sz w:val="22"/>
          <w:szCs w:val="22"/>
        </w:rPr>
        <w:t xml:space="preserve"> </w:t>
      </w:r>
      <w:r w:rsidR="006805D4">
        <w:rPr>
          <w:rFonts w:ascii="Arial" w:hAnsi="Arial" w:cs="Arial"/>
          <w:b/>
          <w:bCs/>
          <w:sz w:val="22"/>
          <w:szCs w:val="22"/>
        </w:rPr>
        <w:t>c-d.</w:t>
      </w:r>
      <w:r w:rsidR="00073E4F" w:rsidRPr="002C028A">
        <w:rPr>
          <w:rFonts w:ascii="Arial" w:hAnsi="Arial" w:cs="Arial"/>
          <w:sz w:val="22"/>
          <w:szCs w:val="22"/>
        </w:rPr>
        <w:t xml:space="preserve"> Volcano plots of bulk transcriptomics depicting differentially expressed genes (red dots) in </w:t>
      </w:r>
      <w:r w:rsidR="004E40E7">
        <w:rPr>
          <w:rFonts w:ascii="Arial" w:hAnsi="Arial" w:cs="Arial"/>
          <w:sz w:val="22"/>
          <w:szCs w:val="22"/>
        </w:rPr>
        <w:t xml:space="preserve">day </w:t>
      </w:r>
      <w:r w:rsidR="00073E4F" w:rsidRPr="002C028A">
        <w:rPr>
          <w:rFonts w:ascii="Arial" w:hAnsi="Arial" w:cs="Arial"/>
          <w:sz w:val="22"/>
          <w:szCs w:val="22"/>
        </w:rPr>
        <w:t xml:space="preserve">70 LS brain organoids (ATP6_2, ATP6_7) compared to control brain organoids (CTRL_1, CTRL_2) or in </w:t>
      </w:r>
      <w:r w:rsidR="004E40E7">
        <w:rPr>
          <w:rFonts w:ascii="Arial" w:hAnsi="Arial" w:cs="Arial"/>
          <w:sz w:val="22"/>
          <w:szCs w:val="22"/>
        </w:rPr>
        <w:t xml:space="preserve">day </w:t>
      </w:r>
      <w:r w:rsidR="00073E4F" w:rsidRPr="002C028A">
        <w:rPr>
          <w:rFonts w:ascii="Arial" w:hAnsi="Arial" w:cs="Arial"/>
          <w:sz w:val="22"/>
          <w:szCs w:val="22"/>
        </w:rPr>
        <w:t>70 LS brain organoids (ATP6_2, ATP6_7) treated with 10 µM sildenafil for 24 h compared to DMSO</w:t>
      </w:r>
      <w:r w:rsidR="00DA725F">
        <w:rPr>
          <w:rFonts w:ascii="Arial" w:hAnsi="Arial" w:cs="Arial"/>
          <w:sz w:val="22"/>
          <w:szCs w:val="22"/>
        </w:rPr>
        <w:t xml:space="preserve">. </w:t>
      </w:r>
      <w:bookmarkStart w:id="5" w:name="_GoBack"/>
      <w:bookmarkEnd w:id="5"/>
      <w:r w:rsidR="00DA725F">
        <w:rPr>
          <w:rFonts w:ascii="Arial" w:hAnsi="Arial" w:cs="Arial"/>
          <w:sz w:val="22"/>
          <w:szCs w:val="22"/>
        </w:rPr>
        <w:t>Fold change (FC)</w:t>
      </w:r>
      <w:r w:rsidR="00073E4F" w:rsidRPr="002C028A">
        <w:rPr>
          <w:rFonts w:ascii="Arial" w:hAnsi="Arial" w:cs="Arial"/>
          <w:sz w:val="22"/>
          <w:szCs w:val="22"/>
        </w:rPr>
        <w:t xml:space="preserve">. </w:t>
      </w:r>
      <w:r w:rsidR="006805D4">
        <w:rPr>
          <w:rFonts w:ascii="Arial" w:hAnsi="Arial" w:cs="Arial"/>
          <w:b/>
          <w:bCs/>
          <w:sz w:val="22"/>
          <w:szCs w:val="22"/>
        </w:rPr>
        <w:t>e-f.</w:t>
      </w:r>
      <w:r w:rsidR="00073E4F" w:rsidRPr="002C028A">
        <w:rPr>
          <w:rFonts w:ascii="Arial" w:hAnsi="Arial" w:cs="Arial"/>
          <w:sz w:val="22"/>
          <w:szCs w:val="22"/>
        </w:rPr>
        <w:t xml:space="preserve"> Dot plots </w:t>
      </w:r>
      <w:r w:rsidR="00073E4F" w:rsidRPr="002C028A">
        <w:rPr>
          <w:rFonts w:ascii="Arial" w:hAnsi="Arial" w:cs="Arial"/>
          <w:sz w:val="22"/>
          <w:szCs w:val="22"/>
        </w:rPr>
        <w:lastRenderedPageBreak/>
        <w:t xml:space="preserve">highlighting top ten enriched GO BP and GO CC in </w:t>
      </w:r>
      <w:r w:rsidR="004E40E7">
        <w:rPr>
          <w:rFonts w:ascii="Arial" w:hAnsi="Arial" w:cs="Arial"/>
          <w:sz w:val="22"/>
          <w:szCs w:val="22"/>
        </w:rPr>
        <w:t xml:space="preserve">day </w:t>
      </w:r>
      <w:r w:rsidR="00073E4F" w:rsidRPr="002C028A">
        <w:rPr>
          <w:rFonts w:ascii="Arial" w:hAnsi="Arial" w:cs="Arial"/>
          <w:sz w:val="22"/>
          <w:szCs w:val="22"/>
        </w:rPr>
        <w:t>70 LS brain organoids (ATP6_2, ATP6_7) compared to control brain organoids (CTRL_1, CTRL_2) based on bulk transcriptomics.</w:t>
      </w:r>
    </w:p>
    <w:p w14:paraId="47C07AF0" w14:textId="06C151A5" w:rsidR="00073E4F" w:rsidRDefault="00073E4F" w:rsidP="00073E4F">
      <w:pPr>
        <w:spacing w:after="0" w:line="300" w:lineRule="auto"/>
        <w:jc w:val="both"/>
        <w:rPr>
          <w:rFonts w:ascii="Arial" w:hAnsi="Arial" w:cs="Arial"/>
          <w:sz w:val="22"/>
          <w:szCs w:val="22"/>
        </w:rPr>
      </w:pPr>
      <w:r w:rsidRPr="002C028A">
        <w:rPr>
          <w:rFonts w:ascii="Arial" w:hAnsi="Arial" w:cs="Arial"/>
          <w:sz w:val="22"/>
          <w:szCs w:val="22"/>
        </w:rPr>
        <w:br w:type="column"/>
      </w:r>
    </w:p>
    <w:p w14:paraId="577F90AA" w14:textId="1F9858B2" w:rsidR="00BA7A80" w:rsidRDefault="00A37FE9" w:rsidP="00073E4F">
      <w:pPr>
        <w:spacing w:after="0" w:line="300" w:lineRule="auto"/>
        <w:jc w:val="both"/>
        <w:rPr>
          <w:rFonts w:ascii="Arial" w:hAnsi="Arial" w:cs="Arial"/>
          <w:sz w:val="22"/>
          <w:szCs w:val="22"/>
        </w:rPr>
      </w:pPr>
      <w:r>
        <w:rPr>
          <w:rFonts w:ascii="Arial" w:hAnsi="Arial" w:cs="Arial"/>
          <w:noProof/>
          <w:sz w:val="22"/>
          <w:szCs w:val="22"/>
        </w:rPr>
        <w:drawing>
          <wp:inline distT="0" distB="0" distL="0" distR="0" wp14:anchorId="774F0027" wp14:editId="2CC5DA8B">
            <wp:extent cx="6635750" cy="682625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635750" cy="6826250"/>
                    </a:xfrm>
                    <a:prstGeom prst="rect">
                      <a:avLst/>
                    </a:prstGeom>
                    <a:noFill/>
                    <a:ln>
                      <a:noFill/>
                    </a:ln>
                  </pic:spPr>
                </pic:pic>
              </a:graphicData>
            </a:graphic>
          </wp:inline>
        </w:drawing>
      </w:r>
      <w:r w:rsidR="00073E4F" w:rsidRPr="002C028A">
        <w:rPr>
          <w:rFonts w:ascii="Arial" w:hAnsi="Arial" w:cs="Arial"/>
          <w:b/>
          <w:bCs/>
          <w:color w:val="2F5496" w:themeColor="accent5" w:themeShade="BF"/>
          <w:sz w:val="22"/>
          <w:szCs w:val="22"/>
        </w:rPr>
        <w:t xml:space="preserve">Figure S7. Single-nucleus RNA sequencing (snRNAseq) of LS brain organoids (related to Figure 3). </w:t>
      </w:r>
      <w:r w:rsidR="006805D4">
        <w:rPr>
          <w:rFonts w:ascii="Arial" w:hAnsi="Arial" w:cs="Arial"/>
          <w:b/>
          <w:bCs/>
          <w:sz w:val="22"/>
          <w:szCs w:val="22"/>
        </w:rPr>
        <w:t>a.</w:t>
      </w:r>
      <w:r w:rsidR="00073E4F" w:rsidRPr="002C028A">
        <w:rPr>
          <w:rFonts w:ascii="Arial" w:hAnsi="Arial" w:cs="Arial"/>
          <w:b/>
          <w:bCs/>
          <w:sz w:val="22"/>
          <w:szCs w:val="22"/>
        </w:rPr>
        <w:t xml:space="preserve"> </w:t>
      </w:r>
      <w:r w:rsidR="00073E4F" w:rsidRPr="002C028A">
        <w:rPr>
          <w:rFonts w:ascii="Arial" w:hAnsi="Arial" w:cs="Arial"/>
          <w:sz w:val="22"/>
          <w:szCs w:val="22"/>
        </w:rPr>
        <w:t xml:space="preserve">UMAP representation of 9 clusters within </w:t>
      </w:r>
      <w:r w:rsidR="004E40E7">
        <w:rPr>
          <w:rFonts w:ascii="Arial" w:hAnsi="Arial" w:cs="Arial"/>
          <w:sz w:val="22"/>
          <w:szCs w:val="22"/>
        </w:rPr>
        <w:t xml:space="preserve">day </w:t>
      </w:r>
      <w:r w:rsidR="00073E4F" w:rsidRPr="002C028A">
        <w:rPr>
          <w:rFonts w:ascii="Arial" w:hAnsi="Arial" w:cs="Arial"/>
          <w:sz w:val="22"/>
          <w:szCs w:val="22"/>
        </w:rPr>
        <w:t xml:space="preserve">70 cortical brain organoids. </w:t>
      </w:r>
      <w:r w:rsidR="006805D4">
        <w:rPr>
          <w:rFonts w:ascii="Arial" w:hAnsi="Arial" w:cs="Arial"/>
          <w:b/>
          <w:bCs/>
          <w:sz w:val="22"/>
          <w:szCs w:val="22"/>
        </w:rPr>
        <w:t>b.</w:t>
      </w:r>
      <w:r w:rsidR="00073E4F" w:rsidRPr="002C028A">
        <w:rPr>
          <w:rFonts w:ascii="Arial" w:hAnsi="Arial" w:cs="Arial"/>
          <w:sz w:val="22"/>
          <w:szCs w:val="22"/>
        </w:rPr>
        <w:t xml:space="preserve"> Dot plot featuring five representative genes for each of the 9 clusters present within </w:t>
      </w:r>
      <w:r w:rsidR="004E40E7">
        <w:rPr>
          <w:rFonts w:ascii="Arial" w:hAnsi="Arial" w:cs="Arial"/>
          <w:sz w:val="22"/>
          <w:szCs w:val="22"/>
        </w:rPr>
        <w:t xml:space="preserve">day </w:t>
      </w:r>
      <w:r w:rsidR="00073E4F" w:rsidRPr="002C028A">
        <w:rPr>
          <w:rFonts w:ascii="Arial" w:hAnsi="Arial" w:cs="Arial"/>
          <w:sz w:val="22"/>
          <w:szCs w:val="22"/>
        </w:rPr>
        <w:t xml:space="preserve">70 cortical brain organoids </w:t>
      </w:r>
      <w:r w:rsidR="00073E4F" w:rsidRPr="002C028A">
        <w:rPr>
          <w:rFonts w:ascii="Arial" w:hAnsi="Arial" w:cs="Arial"/>
          <w:b/>
          <w:bCs/>
          <w:sz w:val="22"/>
          <w:szCs w:val="22"/>
        </w:rPr>
        <w:t>(Table S5)</w:t>
      </w:r>
      <w:r w:rsidR="00073E4F" w:rsidRPr="002C028A">
        <w:rPr>
          <w:rFonts w:ascii="Arial" w:hAnsi="Arial" w:cs="Arial"/>
          <w:sz w:val="22"/>
          <w:szCs w:val="22"/>
        </w:rPr>
        <w:t xml:space="preserve">. </w:t>
      </w:r>
      <w:r w:rsidR="006805D4">
        <w:rPr>
          <w:rFonts w:ascii="Arial" w:hAnsi="Arial" w:cs="Arial"/>
          <w:b/>
          <w:bCs/>
          <w:sz w:val="22"/>
          <w:szCs w:val="22"/>
        </w:rPr>
        <w:t>c.</w:t>
      </w:r>
      <w:r w:rsidR="00073E4F" w:rsidRPr="002C028A">
        <w:rPr>
          <w:rFonts w:ascii="Arial" w:hAnsi="Arial" w:cs="Arial"/>
          <w:sz w:val="22"/>
          <w:szCs w:val="22"/>
        </w:rPr>
        <w:t xml:space="preserve"> Pseudo-bulk analysis of </w:t>
      </w:r>
      <w:r w:rsidR="004E40E7">
        <w:rPr>
          <w:rFonts w:ascii="Arial" w:hAnsi="Arial" w:cs="Arial"/>
          <w:sz w:val="22"/>
          <w:szCs w:val="22"/>
        </w:rPr>
        <w:t xml:space="preserve">day </w:t>
      </w:r>
      <w:r w:rsidR="00073E4F" w:rsidRPr="002C028A">
        <w:rPr>
          <w:rFonts w:ascii="Arial" w:hAnsi="Arial" w:cs="Arial"/>
          <w:sz w:val="22"/>
          <w:szCs w:val="22"/>
        </w:rPr>
        <w:t xml:space="preserve">70 LS brain organoids (ATP6_7) treated with either 10 µM sildenafil or DMSO for 45 days for each of the 7 populations composing </w:t>
      </w:r>
      <w:r w:rsidR="004E40E7">
        <w:rPr>
          <w:rFonts w:ascii="Arial" w:hAnsi="Arial" w:cs="Arial"/>
          <w:sz w:val="22"/>
          <w:szCs w:val="22"/>
        </w:rPr>
        <w:t xml:space="preserve">day </w:t>
      </w:r>
      <w:r w:rsidR="00073E4F" w:rsidRPr="002C028A">
        <w:rPr>
          <w:rFonts w:ascii="Arial" w:hAnsi="Arial" w:cs="Arial"/>
          <w:sz w:val="22"/>
          <w:szCs w:val="22"/>
        </w:rPr>
        <w:t xml:space="preserve">70 brain organoids. Volcano plots with red dots indicating differentially expressed genes. </w:t>
      </w:r>
      <w:r w:rsidR="006805D4">
        <w:rPr>
          <w:rFonts w:ascii="Arial" w:hAnsi="Arial" w:cs="Arial"/>
          <w:b/>
          <w:bCs/>
          <w:sz w:val="22"/>
          <w:szCs w:val="22"/>
        </w:rPr>
        <w:t>d.</w:t>
      </w:r>
      <w:r w:rsidR="00073E4F" w:rsidRPr="002C028A">
        <w:rPr>
          <w:rFonts w:ascii="Arial" w:hAnsi="Arial" w:cs="Arial"/>
          <w:sz w:val="22"/>
          <w:szCs w:val="22"/>
        </w:rPr>
        <w:t xml:space="preserve"> UMAP representation of the gene expression distribution of </w:t>
      </w:r>
      <w:r w:rsidR="00073E4F" w:rsidRPr="002C028A">
        <w:rPr>
          <w:rFonts w:ascii="Arial" w:hAnsi="Arial" w:cs="Arial"/>
          <w:i/>
          <w:iCs/>
          <w:sz w:val="22"/>
          <w:szCs w:val="22"/>
        </w:rPr>
        <w:t>PRKG1</w:t>
      </w:r>
      <w:r w:rsidR="00073E4F" w:rsidRPr="002C028A">
        <w:rPr>
          <w:rFonts w:ascii="Arial" w:hAnsi="Arial" w:cs="Arial"/>
          <w:sz w:val="22"/>
          <w:szCs w:val="22"/>
        </w:rPr>
        <w:t xml:space="preserve">, </w:t>
      </w:r>
      <w:r w:rsidR="00073E4F" w:rsidRPr="002C028A">
        <w:rPr>
          <w:rFonts w:ascii="Arial" w:hAnsi="Arial" w:cs="Arial"/>
          <w:i/>
          <w:iCs/>
          <w:sz w:val="22"/>
          <w:szCs w:val="22"/>
        </w:rPr>
        <w:t>RGS6</w:t>
      </w:r>
      <w:r w:rsidR="00073E4F" w:rsidRPr="002C028A">
        <w:rPr>
          <w:rFonts w:ascii="Arial" w:hAnsi="Arial" w:cs="Arial"/>
          <w:sz w:val="22"/>
          <w:szCs w:val="22"/>
        </w:rPr>
        <w:t xml:space="preserve"> and </w:t>
      </w:r>
      <w:r w:rsidR="00073E4F" w:rsidRPr="002C028A">
        <w:rPr>
          <w:rFonts w:ascii="Arial" w:hAnsi="Arial" w:cs="Arial"/>
          <w:i/>
          <w:iCs/>
          <w:sz w:val="22"/>
          <w:szCs w:val="22"/>
        </w:rPr>
        <w:t>STMN2</w:t>
      </w:r>
      <w:r w:rsidR="00073E4F" w:rsidRPr="002C028A">
        <w:rPr>
          <w:rFonts w:ascii="Arial" w:hAnsi="Arial" w:cs="Arial"/>
          <w:sz w:val="22"/>
          <w:szCs w:val="22"/>
        </w:rPr>
        <w:t xml:space="preserve"> within </w:t>
      </w:r>
      <w:r w:rsidR="004E40E7">
        <w:rPr>
          <w:rFonts w:ascii="Arial" w:hAnsi="Arial" w:cs="Arial"/>
          <w:sz w:val="22"/>
          <w:szCs w:val="22"/>
        </w:rPr>
        <w:t xml:space="preserve">day </w:t>
      </w:r>
      <w:r w:rsidR="00073E4F" w:rsidRPr="002C028A">
        <w:rPr>
          <w:rFonts w:ascii="Arial" w:hAnsi="Arial" w:cs="Arial"/>
          <w:sz w:val="22"/>
          <w:szCs w:val="22"/>
        </w:rPr>
        <w:t xml:space="preserve">70 brain organoids from controls (CTRL_1) and LS (ATP6_7) treated with either sildenafil or DMSO for 45 days. </w:t>
      </w:r>
      <w:r w:rsidR="006805D4">
        <w:rPr>
          <w:rFonts w:ascii="Arial" w:hAnsi="Arial" w:cs="Arial"/>
          <w:b/>
          <w:bCs/>
          <w:sz w:val="22"/>
          <w:szCs w:val="22"/>
        </w:rPr>
        <w:t>e.</w:t>
      </w:r>
      <w:r w:rsidR="00073E4F" w:rsidRPr="002C028A">
        <w:rPr>
          <w:rFonts w:ascii="Arial" w:hAnsi="Arial" w:cs="Arial"/>
          <w:sz w:val="22"/>
          <w:szCs w:val="22"/>
        </w:rPr>
        <w:t xml:space="preserve"> Molecular signatures database hallmark glycolysis score across the 7 populations of </w:t>
      </w:r>
      <w:r w:rsidR="004E40E7">
        <w:rPr>
          <w:rFonts w:ascii="Arial" w:hAnsi="Arial" w:cs="Arial"/>
          <w:sz w:val="22"/>
          <w:szCs w:val="22"/>
        </w:rPr>
        <w:t xml:space="preserve">day </w:t>
      </w:r>
      <w:r w:rsidR="00073E4F" w:rsidRPr="002C028A">
        <w:rPr>
          <w:rFonts w:ascii="Arial" w:hAnsi="Arial" w:cs="Arial"/>
          <w:sz w:val="22"/>
          <w:szCs w:val="22"/>
        </w:rPr>
        <w:t>70 brain organoids.</w:t>
      </w:r>
    </w:p>
    <w:p w14:paraId="79AEACAE" w14:textId="77777777" w:rsidR="00BA7A80" w:rsidRDefault="00BA7A80" w:rsidP="00073E4F">
      <w:pPr>
        <w:spacing w:after="0" w:line="300" w:lineRule="auto"/>
        <w:jc w:val="both"/>
        <w:rPr>
          <w:rFonts w:ascii="Arial" w:hAnsi="Arial" w:cs="Arial"/>
          <w:sz w:val="22"/>
          <w:szCs w:val="22"/>
        </w:rPr>
      </w:pPr>
    </w:p>
    <w:p w14:paraId="187B24AC" w14:textId="77777777" w:rsidR="00BA7A80" w:rsidRDefault="00BA7A80" w:rsidP="00073E4F">
      <w:pPr>
        <w:spacing w:after="0" w:line="300" w:lineRule="auto"/>
        <w:jc w:val="both"/>
        <w:rPr>
          <w:rFonts w:ascii="Arial" w:hAnsi="Arial" w:cs="Arial"/>
          <w:sz w:val="22"/>
          <w:szCs w:val="22"/>
        </w:rPr>
      </w:pPr>
    </w:p>
    <w:p w14:paraId="2C84869E" w14:textId="77777777" w:rsidR="00BA7A80" w:rsidRDefault="00BA7A80" w:rsidP="00073E4F">
      <w:pPr>
        <w:spacing w:after="0" w:line="300" w:lineRule="auto"/>
        <w:jc w:val="both"/>
        <w:rPr>
          <w:rFonts w:ascii="Arial" w:hAnsi="Arial" w:cs="Arial"/>
          <w:sz w:val="22"/>
          <w:szCs w:val="22"/>
        </w:rPr>
      </w:pPr>
    </w:p>
    <w:p w14:paraId="2743A3A3" w14:textId="77777777" w:rsidR="00BA7A80" w:rsidRDefault="00BA7A80" w:rsidP="00073E4F">
      <w:pPr>
        <w:spacing w:after="0" w:line="300" w:lineRule="auto"/>
        <w:jc w:val="both"/>
        <w:rPr>
          <w:rFonts w:ascii="Arial" w:hAnsi="Arial" w:cs="Arial"/>
          <w:sz w:val="22"/>
          <w:szCs w:val="22"/>
        </w:rPr>
      </w:pPr>
    </w:p>
    <w:p w14:paraId="2F0D6BB8" w14:textId="019AC80E" w:rsidR="00073E4F" w:rsidRDefault="00A37FE9" w:rsidP="00073E4F">
      <w:pPr>
        <w:spacing w:after="0" w:line="300" w:lineRule="auto"/>
        <w:jc w:val="both"/>
        <w:rPr>
          <w:rFonts w:ascii="Arial" w:hAnsi="Arial" w:cs="Arial"/>
          <w:b/>
          <w:bCs/>
          <w:sz w:val="22"/>
          <w:szCs w:val="22"/>
        </w:rPr>
      </w:pPr>
      <w:r>
        <w:rPr>
          <w:rFonts w:ascii="Arial" w:hAnsi="Arial" w:cs="Arial"/>
          <w:b/>
          <w:bCs/>
          <w:noProof/>
          <w:sz w:val="22"/>
          <w:szCs w:val="22"/>
          <w14:ligatures w14:val="none"/>
        </w:rPr>
        <w:lastRenderedPageBreak/>
        <w:drawing>
          <wp:inline distT="0" distB="0" distL="0" distR="0" wp14:anchorId="29F960C8" wp14:editId="5F02AC20">
            <wp:extent cx="5799455" cy="9777730"/>
            <wp:effectExtent l="0" t="0" r="0" b="0"/>
            <wp:docPr id="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pic:cNvPicPr>
                  </pic:nvPicPr>
                  <pic:blipFill>
                    <a:blip r:embed="rId14"/>
                    <a:stretch/>
                  </pic:blipFill>
                  <pic:spPr bwMode="auto">
                    <a:xfrm>
                      <a:off x="0" y="0"/>
                      <a:ext cx="5799455" cy="9777730"/>
                    </a:xfrm>
                    <a:prstGeom prst="rect">
                      <a:avLst/>
                    </a:prstGeom>
                  </pic:spPr>
                </pic:pic>
              </a:graphicData>
            </a:graphic>
          </wp:inline>
        </w:drawing>
      </w:r>
    </w:p>
    <w:p w14:paraId="258EDF75" w14:textId="3B3FD6F3" w:rsidR="00073E4F" w:rsidRPr="002C028A" w:rsidRDefault="00073E4F" w:rsidP="00073E4F">
      <w:pPr>
        <w:spacing w:after="0" w:line="300" w:lineRule="auto"/>
        <w:jc w:val="both"/>
        <w:rPr>
          <w:rFonts w:ascii="Arial" w:hAnsi="Arial" w:cs="Arial"/>
          <w:b/>
          <w:bCs/>
          <w:color w:val="2F5496" w:themeColor="accent5" w:themeShade="BF"/>
          <w:sz w:val="22"/>
          <w:szCs w:val="22"/>
        </w:rPr>
      </w:pPr>
      <w:r w:rsidRPr="002C028A">
        <w:rPr>
          <w:rFonts w:ascii="Arial" w:hAnsi="Arial" w:cs="Arial"/>
          <w:b/>
          <w:bCs/>
          <w:color w:val="2F5496" w:themeColor="accent5" w:themeShade="BF"/>
          <w:sz w:val="22"/>
          <w:szCs w:val="22"/>
        </w:rPr>
        <w:lastRenderedPageBreak/>
        <w:t xml:space="preserve">Figure S8. Functional validations in human neuronal models of LS (related to Figure 4). </w:t>
      </w:r>
      <w:r w:rsidR="006805D4">
        <w:rPr>
          <w:rFonts w:ascii="Arial" w:hAnsi="Arial" w:cs="Arial"/>
          <w:b/>
          <w:bCs/>
          <w:sz w:val="22"/>
          <w:szCs w:val="22"/>
        </w:rPr>
        <w:t>a.</w:t>
      </w:r>
      <w:r w:rsidRPr="002C028A">
        <w:rPr>
          <w:rFonts w:ascii="Arial" w:hAnsi="Arial" w:cs="Arial"/>
          <w:b/>
          <w:bCs/>
          <w:sz w:val="22"/>
          <w:szCs w:val="22"/>
        </w:rPr>
        <w:t xml:space="preserve"> </w:t>
      </w:r>
      <w:r w:rsidRPr="002C028A">
        <w:rPr>
          <w:rFonts w:ascii="Arial" w:hAnsi="Arial" w:cs="Arial"/>
          <w:sz w:val="22"/>
          <w:szCs w:val="22"/>
        </w:rPr>
        <w:t xml:space="preserve">Computational model of mitochondrial metabolism based on calcium traces measured in cortical brain organoid slices (cBOS) </w:t>
      </w:r>
      <w:r w:rsidRPr="002C028A">
        <w:rPr>
          <w:rFonts w:ascii="Arial" w:hAnsi="Arial" w:cs="Arial"/>
          <w:b/>
          <w:bCs/>
          <w:sz w:val="22"/>
          <w:szCs w:val="22"/>
        </w:rPr>
        <w:t>(Figure 4</w:t>
      </w:r>
      <w:r w:rsidR="006805D4">
        <w:rPr>
          <w:rFonts w:ascii="Arial" w:hAnsi="Arial" w:cs="Arial"/>
          <w:b/>
          <w:bCs/>
          <w:sz w:val="22"/>
          <w:szCs w:val="22"/>
        </w:rPr>
        <w:t>b</w:t>
      </w:r>
      <w:r w:rsidRPr="002C028A">
        <w:rPr>
          <w:rFonts w:ascii="Arial" w:hAnsi="Arial" w:cs="Arial"/>
          <w:b/>
          <w:bCs/>
          <w:sz w:val="22"/>
          <w:szCs w:val="22"/>
        </w:rPr>
        <w:t>)</w:t>
      </w:r>
      <w:r w:rsidRPr="002C028A">
        <w:rPr>
          <w:rFonts w:ascii="Arial" w:hAnsi="Arial" w:cs="Arial"/>
          <w:sz w:val="22"/>
          <w:szCs w:val="22"/>
        </w:rPr>
        <w:t xml:space="preserve"> describing the effect of sildenafil treatment on mitochondrial parameters in LS cBOS. </w:t>
      </w:r>
      <w:r w:rsidR="006805D4">
        <w:rPr>
          <w:rFonts w:ascii="Arial" w:hAnsi="Arial" w:cs="Arial"/>
          <w:b/>
          <w:bCs/>
          <w:sz w:val="22"/>
          <w:szCs w:val="22"/>
        </w:rPr>
        <w:t>b.</w:t>
      </w:r>
      <w:r w:rsidRPr="002C028A">
        <w:rPr>
          <w:rFonts w:ascii="Arial" w:hAnsi="Arial" w:cs="Arial"/>
          <w:sz w:val="22"/>
          <w:szCs w:val="22"/>
        </w:rPr>
        <w:t xml:space="preserve"> Computational model of ATPase enhancement (orange bars) of control cBOS (gray bars) based on calcium traces of cBOS. The model showed that decreasing complex V activity in control cells leads to effects on cellular bioenergetics similar to those we have experimentally measured in LS NPCs. </w:t>
      </w:r>
      <w:r w:rsidR="006805D4">
        <w:rPr>
          <w:rFonts w:ascii="Arial" w:hAnsi="Arial" w:cs="Arial"/>
          <w:b/>
          <w:bCs/>
          <w:sz w:val="22"/>
          <w:szCs w:val="22"/>
        </w:rPr>
        <w:t>c.</w:t>
      </w:r>
      <w:r w:rsidRPr="002C028A">
        <w:rPr>
          <w:rFonts w:ascii="Arial" w:hAnsi="Arial" w:cs="Arial"/>
          <w:b/>
          <w:bCs/>
          <w:sz w:val="22"/>
          <w:szCs w:val="22"/>
        </w:rPr>
        <w:t xml:space="preserve"> </w:t>
      </w:r>
      <w:r w:rsidRPr="002C028A">
        <w:rPr>
          <w:rFonts w:ascii="Arial" w:hAnsi="Arial" w:cs="Arial"/>
          <w:sz w:val="22"/>
          <w:szCs w:val="22"/>
        </w:rPr>
        <w:t xml:space="preserve">Computational model of ATPase enhancement (cyan bars) of ATP6-mutant cBOS (orange bars) based on calcium traces of cBOS. The model suggests that increasing complex V activity of ATP6-mutant cells leads to effects on cellular bioenergetics similar to those we have experimentally measured in LS NPCs treated with sildenafil. Hence, the calcium response elicited by sildenafil in mutant cells may potentially represent a primary mechanism of action of sildenafil that would in turn lead to beneficial bioenergetic consequences. </w:t>
      </w:r>
      <w:r w:rsidR="006805D4">
        <w:rPr>
          <w:rFonts w:ascii="Arial" w:hAnsi="Arial" w:cs="Arial"/>
          <w:b/>
          <w:bCs/>
          <w:sz w:val="22"/>
          <w:szCs w:val="22"/>
        </w:rPr>
        <w:t>d.</w:t>
      </w:r>
      <w:r w:rsidRPr="002C028A">
        <w:rPr>
          <w:rFonts w:ascii="Arial" w:hAnsi="Arial" w:cs="Arial"/>
          <w:sz w:val="22"/>
          <w:szCs w:val="22"/>
        </w:rPr>
        <w:t xml:space="preserve"> Representative immunoblot of PRKG1 in control NPCs and LS NPCs treated with 10 µM sildenafil or DMSO for 16 h. The image refers to the quantification reported in </w:t>
      </w:r>
      <w:r w:rsidRPr="002C028A">
        <w:rPr>
          <w:rFonts w:ascii="Arial" w:hAnsi="Arial" w:cs="Arial"/>
          <w:b/>
          <w:bCs/>
          <w:sz w:val="22"/>
          <w:szCs w:val="22"/>
        </w:rPr>
        <w:t>Figure 4</w:t>
      </w:r>
      <w:r w:rsidR="006805D4">
        <w:rPr>
          <w:rFonts w:ascii="Arial" w:hAnsi="Arial" w:cs="Arial"/>
          <w:b/>
          <w:bCs/>
          <w:sz w:val="22"/>
          <w:szCs w:val="22"/>
        </w:rPr>
        <w:t>h</w:t>
      </w:r>
      <w:r w:rsidRPr="002C028A">
        <w:rPr>
          <w:rFonts w:ascii="Arial" w:hAnsi="Arial" w:cs="Arial"/>
          <w:sz w:val="22"/>
          <w:szCs w:val="22"/>
        </w:rPr>
        <w:t xml:space="preserve">. </w:t>
      </w:r>
      <w:r w:rsidR="006805D4">
        <w:rPr>
          <w:rFonts w:ascii="Arial" w:hAnsi="Arial" w:cs="Arial"/>
          <w:b/>
          <w:bCs/>
          <w:sz w:val="22"/>
          <w:szCs w:val="22"/>
        </w:rPr>
        <w:t>e.</w:t>
      </w:r>
      <w:r w:rsidR="002C028A">
        <w:rPr>
          <w:rFonts w:ascii="Arial" w:hAnsi="Arial" w:cs="Arial"/>
          <w:b/>
          <w:bCs/>
          <w:sz w:val="22"/>
          <w:szCs w:val="22"/>
        </w:rPr>
        <w:t xml:space="preserve"> </w:t>
      </w:r>
      <w:r w:rsidRPr="002C028A">
        <w:rPr>
          <w:rFonts w:ascii="Arial" w:hAnsi="Arial" w:cs="Arial"/>
          <w:sz w:val="22"/>
          <w:szCs w:val="22"/>
        </w:rPr>
        <w:t xml:space="preserve">Schematic of the differentiation into dopaminergic-enriched neuronal cultures to assess the effects of sildenafil treatment. </w:t>
      </w:r>
      <w:r w:rsidR="006805D4">
        <w:rPr>
          <w:rFonts w:ascii="Arial" w:hAnsi="Arial" w:cs="Arial"/>
          <w:b/>
          <w:bCs/>
          <w:sz w:val="22"/>
          <w:szCs w:val="22"/>
        </w:rPr>
        <w:t>f.</w:t>
      </w:r>
      <w:r w:rsidR="002C028A">
        <w:rPr>
          <w:rFonts w:ascii="Arial" w:hAnsi="Arial" w:cs="Arial"/>
          <w:b/>
          <w:bCs/>
          <w:sz w:val="22"/>
          <w:szCs w:val="22"/>
        </w:rPr>
        <w:t xml:space="preserve"> </w:t>
      </w:r>
      <w:r w:rsidRPr="002C028A">
        <w:rPr>
          <w:rFonts w:ascii="Arial" w:hAnsi="Arial" w:cs="Arial"/>
          <w:sz w:val="22"/>
          <w:szCs w:val="22"/>
        </w:rPr>
        <w:t xml:space="preserve">Representative images of </w:t>
      </w:r>
      <w:r w:rsidR="004E40E7">
        <w:rPr>
          <w:rFonts w:ascii="Arial" w:hAnsi="Arial" w:cs="Arial"/>
          <w:sz w:val="22"/>
          <w:szCs w:val="22"/>
        </w:rPr>
        <w:t xml:space="preserve">day </w:t>
      </w:r>
      <w:r w:rsidRPr="002C028A">
        <w:rPr>
          <w:rFonts w:ascii="Arial" w:hAnsi="Arial" w:cs="Arial"/>
          <w:sz w:val="22"/>
          <w:szCs w:val="22"/>
        </w:rPr>
        <w:t xml:space="preserve">16 dopaminergic-enriched neurons from controls (CTRL_1), MT-APT6 mutants (ATP6_7), and SURF1 mutants treated with 10 µM sildenafil or DMSO for 8 days. Scale bar: 100 µm. </w:t>
      </w:r>
      <w:r w:rsidR="006805D4">
        <w:rPr>
          <w:rFonts w:ascii="Arial" w:hAnsi="Arial" w:cs="Arial"/>
          <w:b/>
          <w:bCs/>
          <w:sz w:val="22"/>
          <w:szCs w:val="22"/>
        </w:rPr>
        <w:t>g.</w:t>
      </w:r>
      <w:r w:rsidRPr="002C028A">
        <w:rPr>
          <w:rFonts w:ascii="Arial" w:hAnsi="Arial" w:cs="Arial"/>
          <w:sz w:val="22"/>
          <w:szCs w:val="22"/>
        </w:rPr>
        <w:t xml:space="preserve"> Linear regression of the mean neurite length (mean over median) in control neurons </w:t>
      </w:r>
      <w:r w:rsidRPr="002C028A">
        <w:rPr>
          <w:rStyle w:val="docdata"/>
          <w:rFonts w:ascii="Arial" w:hAnsi="Arial" w:cs="Arial"/>
          <w:color w:val="000000"/>
          <w:sz w:val="22"/>
          <w:szCs w:val="22"/>
        </w:rPr>
        <w:t>(CTRL_1, n=4; CTRL_2, n=3; CTRL_3, n=1; CTRL_5, n=3; n=number of independent experiments)</w:t>
      </w:r>
      <w:r w:rsidRPr="002C028A">
        <w:rPr>
          <w:rFonts w:ascii="Arial" w:hAnsi="Arial" w:cs="Arial"/>
          <w:color w:val="FF0000"/>
          <w:sz w:val="22"/>
          <w:szCs w:val="22"/>
        </w:rPr>
        <w:t xml:space="preserve"> </w:t>
      </w:r>
      <w:r w:rsidRPr="002C028A">
        <w:rPr>
          <w:rFonts w:ascii="Arial" w:hAnsi="Arial" w:cs="Arial"/>
          <w:sz w:val="22"/>
          <w:szCs w:val="22"/>
        </w:rPr>
        <w:t xml:space="preserve">treated with sildenafil for 8 days over control neurons exposed to only DMSO (grey line). Black dotted line shows the hypothetical linear regression in which no effect is seen due to sildenafil treatment (y=x). Dots represent individual values per experiment out of n=10 independent experiments. </w:t>
      </w:r>
      <w:r w:rsidR="006805D4">
        <w:rPr>
          <w:rFonts w:ascii="Arial" w:hAnsi="Arial" w:cs="Arial"/>
          <w:b/>
          <w:bCs/>
          <w:sz w:val="22"/>
          <w:szCs w:val="22"/>
        </w:rPr>
        <w:t>h.</w:t>
      </w:r>
      <w:r w:rsidRPr="002C028A">
        <w:rPr>
          <w:rFonts w:ascii="Arial" w:hAnsi="Arial" w:cs="Arial"/>
          <w:sz w:val="22"/>
          <w:szCs w:val="22"/>
        </w:rPr>
        <w:t xml:space="preserve"> Exemplary immunostaining for PRKG1 and TUJ1 in </w:t>
      </w:r>
      <w:r w:rsidR="004E40E7">
        <w:rPr>
          <w:rFonts w:ascii="Arial" w:hAnsi="Arial" w:cs="Arial"/>
          <w:sz w:val="22"/>
          <w:szCs w:val="22"/>
        </w:rPr>
        <w:t xml:space="preserve">day </w:t>
      </w:r>
      <w:r w:rsidRPr="002C028A">
        <w:rPr>
          <w:rFonts w:ascii="Arial" w:hAnsi="Arial" w:cs="Arial"/>
          <w:sz w:val="22"/>
          <w:szCs w:val="22"/>
        </w:rPr>
        <w:t>16 control neurons (CTRL_2)</w:t>
      </w:r>
      <w:r w:rsidRPr="002C028A">
        <w:rPr>
          <w:rFonts w:ascii="Arial" w:hAnsi="Arial" w:cs="Arial"/>
          <w:color w:val="FF0000"/>
          <w:sz w:val="22"/>
          <w:szCs w:val="22"/>
        </w:rPr>
        <w:t xml:space="preserve"> </w:t>
      </w:r>
      <w:r w:rsidRPr="002C028A">
        <w:rPr>
          <w:rFonts w:ascii="Arial" w:hAnsi="Arial" w:cs="Arial"/>
          <w:sz w:val="22"/>
          <w:szCs w:val="22"/>
        </w:rPr>
        <w:t>and LS neurons (ATP6_4)</w:t>
      </w:r>
      <w:r w:rsidRPr="002C028A">
        <w:rPr>
          <w:rFonts w:ascii="Arial" w:hAnsi="Arial" w:cs="Arial"/>
          <w:color w:val="FF0000"/>
          <w:sz w:val="22"/>
          <w:szCs w:val="22"/>
        </w:rPr>
        <w:t xml:space="preserve"> </w:t>
      </w:r>
      <w:r w:rsidRPr="002C028A">
        <w:rPr>
          <w:rFonts w:ascii="Arial" w:hAnsi="Arial" w:cs="Arial"/>
          <w:sz w:val="22"/>
          <w:szCs w:val="22"/>
        </w:rPr>
        <w:t xml:space="preserve">treated for 8 days with sildenafil or DMSO. </w:t>
      </w:r>
      <w:r w:rsidRPr="002C028A">
        <w:rPr>
          <w:rFonts w:ascii="Arial" w:hAnsi="Arial" w:cs="Arial"/>
          <w:color w:val="000000" w:themeColor="text1"/>
          <w:sz w:val="22"/>
          <w:szCs w:val="22"/>
        </w:rPr>
        <w:t>Scale bar: 50 µm.</w:t>
      </w:r>
      <w:r w:rsidRPr="002C028A">
        <w:rPr>
          <w:rFonts w:ascii="Arial" w:hAnsi="Arial" w:cs="Arial"/>
          <w:color w:val="FF0000"/>
          <w:sz w:val="22"/>
          <w:szCs w:val="22"/>
        </w:rPr>
        <w:t xml:space="preserve"> </w:t>
      </w:r>
      <w:r w:rsidR="006805D4">
        <w:rPr>
          <w:rFonts w:ascii="Arial" w:hAnsi="Arial" w:cs="Arial"/>
          <w:b/>
          <w:bCs/>
          <w:sz w:val="22"/>
          <w:szCs w:val="22"/>
        </w:rPr>
        <w:t>i.</w:t>
      </w:r>
      <w:r w:rsidRPr="002C028A">
        <w:rPr>
          <w:rFonts w:ascii="Arial" w:hAnsi="Arial" w:cs="Arial"/>
          <w:sz w:val="22"/>
          <w:szCs w:val="22"/>
        </w:rPr>
        <w:t xml:space="preserve"> Cartoon of suggested mode of action of sildenafil in LS neural cells. Following PDE5 inhibition and accumulation of cGMP, the activation of PRKG1 could lead on the one hand to modulate calcium levels with consequent impact on cellular bioenergetics and on the other to enhance neuronal branching. </w:t>
      </w:r>
      <w:r w:rsidR="006805D4">
        <w:rPr>
          <w:rFonts w:ascii="Arial" w:hAnsi="Arial" w:cs="Arial"/>
          <w:b/>
          <w:bCs/>
          <w:sz w:val="22"/>
          <w:szCs w:val="22"/>
        </w:rPr>
        <w:t>j.</w:t>
      </w:r>
      <w:r w:rsidR="002C028A">
        <w:rPr>
          <w:rFonts w:ascii="Arial" w:hAnsi="Arial" w:cs="Arial"/>
          <w:b/>
          <w:bCs/>
          <w:sz w:val="22"/>
          <w:szCs w:val="22"/>
        </w:rPr>
        <w:t xml:space="preserve"> </w:t>
      </w:r>
      <w:r w:rsidRPr="002C028A">
        <w:rPr>
          <w:rFonts w:ascii="Arial" w:hAnsi="Arial" w:cs="Arial"/>
          <w:sz w:val="22"/>
          <w:szCs w:val="22"/>
        </w:rPr>
        <w:t xml:space="preserve">Details of the additional LS iPSC lines used in this study carrying mutations in the gene </w:t>
      </w:r>
      <w:r w:rsidRPr="002C028A">
        <w:rPr>
          <w:rFonts w:ascii="Arial" w:hAnsi="Arial" w:cs="Arial"/>
          <w:i/>
          <w:iCs/>
          <w:sz w:val="22"/>
          <w:szCs w:val="22"/>
        </w:rPr>
        <w:t>SURF1</w:t>
      </w:r>
      <w:r w:rsidRPr="002C028A">
        <w:rPr>
          <w:rFonts w:ascii="Arial" w:hAnsi="Arial" w:cs="Arial"/>
          <w:sz w:val="22"/>
          <w:szCs w:val="22"/>
        </w:rPr>
        <w:t xml:space="preserve"> or </w:t>
      </w:r>
      <w:r w:rsidRPr="002C028A">
        <w:rPr>
          <w:rFonts w:ascii="Arial" w:hAnsi="Arial" w:cs="Arial"/>
          <w:i/>
          <w:iCs/>
          <w:sz w:val="22"/>
          <w:szCs w:val="22"/>
        </w:rPr>
        <w:t>NDUFS4</w:t>
      </w:r>
      <w:r w:rsidRPr="002C028A">
        <w:rPr>
          <w:rFonts w:ascii="Arial" w:hAnsi="Arial" w:cs="Arial"/>
          <w:sz w:val="22"/>
          <w:szCs w:val="22"/>
        </w:rPr>
        <w:t xml:space="preserve"> and their respective isogenic controls. </w:t>
      </w:r>
    </w:p>
    <w:p w14:paraId="751F5634" w14:textId="77777777" w:rsidR="00073E4F" w:rsidRPr="002C028A" w:rsidRDefault="00073E4F" w:rsidP="00073E4F">
      <w:pPr>
        <w:tabs>
          <w:tab w:val="left" w:pos="2560"/>
        </w:tabs>
        <w:rPr>
          <w:rFonts w:ascii="Arial" w:hAnsi="Arial" w:cs="Arial"/>
          <w:sz w:val="22"/>
          <w:szCs w:val="22"/>
        </w:rPr>
      </w:pPr>
    </w:p>
    <w:p w14:paraId="4E3B0CC4" w14:textId="7DD79140" w:rsidR="00073E4F" w:rsidRDefault="00073E4F" w:rsidP="00073E4F">
      <w:pPr>
        <w:spacing w:after="0" w:line="300" w:lineRule="auto"/>
        <w:jc w:val="both"/>
        <w:rPr>
          <w:rFonts w:ascii="Arial" w:hAnsi="Arial" w:cs="Arial"/>
          <w:b/>
          <w:bCs/>
          <w:sz w:val="22"/>
          <w:szCs w:val="22"/>
        </w:rPr>
      </w:pPr>
    </w:p>
    <w:p w14:paraId="58CA5347" w14:textId="45F24B75" w:rsidR="00BA7A80" w:rsidRDefault="00A37FE9" w:rsidP="00073E4F">
      <w:pPr>
        <w:spacing w:after="0" w:line="300" w:lineRule="auto"/>
        <w:jc w:val="both"/>
        <w:rPr>
          <w:rFonts w:ascii="Arial" w:hAnsi="Arial" w:cs="Arial"/>
          <w:b/>
          <w:bCs/>
          <w:color w:val="2F5496" w:themeColor="accent5" w:themeShade="BF"/>
          <w:sz w:val="22"/>
          <w:szCs w:val="22"/>
        </w:rPr>
      </w:pPr>
      <w:r>
        <w:rPr>
          <w:rFonts w:ascii="Arial" w:hAnsi="Arial" w:cs="Arial"/>
          <w:b/>
          <w:bCs/>
          <w:noProof/>
          <w:color w:val="2F5496" w:themeColor="accent5" w:themeShade="BF"/>
          <w:sz w:val="22"/>
          <w:szCs w:val="22"/>
        </w:rPr>
        <w:lastRenderedPageBreak/>
        <w:drawing>
          <wp:inline distT="0" distB="0" distL="0" distR="0" wp14:anchorId="19000178" wp14:editId="2F7C1304">
            <wp:extent cx="6642100" cy="85788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642100" cy="8578850"/>
                    </a:xfrm>
                    <a:prstGeom prst="rect">
                      <a:avLst/>
                    </a:prstGeom>
                    <a:noFill/>
                    <a:ln>
                      <a:noFill/>
                    </a:ln>
                  </pic:spPr>
                </pic:pic>
              </a:graphicData>
            </a:graphic>
          </wp:inline>
        </w:drawing>
      </w:r>
    </w:p>
    <w:p w14:paraId="76C199F4" w14:textId="77777777" w:rsidR="00BA7A80" w:rsidRDefault="00BA7A80" w:rsidP="00073E4F">
      <w:pPr>
        <w:spacing w:after="0" w:line="300" w:lineRule="auto"/>
        <w:jc w:val="both"/>
        <w:rPr>
          <w:rFonts w:ascii="Arial" w:hAnsi="Arial" w:cs="Arial"/>
          <w:b/>
          <w:bCs/>
          <w:color w:val="2F5496" w:themeColor="accent5" w:themeShade="BF"/>
          <w:sz w:val="22"/>
          <w:szCs w:val="22"/>
        </w:rPr>
      </w:pPr>
    </w:p>
    <w:p w14:paraId="4A65890E" w14:textId="09628D30" w:rsidR="00073E4F" w:rsidRPr="002C028A" w:rsidRDefault="00073E4F" w:rsidP="00073E4F">
      <w:pPr>
        <w:spacing w:after="0" w:line="300" w:lineRule="auto"/>
        <w:jc w:val="both"/>
        <w:rPr>
          <w:rFonts w:ascii="Arial" w:hAnsi="Arial" w:cs="Arial"/>
          <w:sz w:val="22"/>
          <w:szCs w:val="22"/>
        </w:rPr>
      </w:pPr>
      <w:r w:rsidRPr="002C028A">
        <w:rPr>
          <w:rFonts w:ascii="Arial" w:hAnsi="Arial" w:cs="Arial"/>
          <w:b/>
          <w:bCs/>
          <w:color w:val="2F5496" w:themeColor="accent5" w:themeShade="BF"/>
          <w:sz w:val="22"/>
          <w:szCs w:val="22"/>
        </w:rPr>
        <w:t xml:space="preserve">Figure S9. Sildenafil impact on human BBB model, </w:t>
      </w:r>
      <w:r w:rsidRPr="002C028A">
        <w:rPr>
          <w:rFonts w:ascii="Arial" w:hAnsi="Arial" w:cs="Arial"/>
          <w:b/>
          <w:bCs/>
          <w:i/>
          <w:iCs/>
          <w:color w:val="2F5496" w:themeColor="accent5" w:themeShade="BF"/>
          <w:sz w:val="22"/>
          <w:szCs w:val="22"/>
        </w:rPr>
        <w:t xml:space="preserve">Ndufs4 </w:t>
      </w:r>
      <w:r w:rsidRPr="002C028A">
        <w:rPr>
          <w:rFonts w:ascii="Arial" w:hAnsi="Arial" w:cs="Arial"/>
          <w:b/>
          <w:bCs/>
          <w:color w:val="2F5496" w:themeColor="accent5" w:themeShade="BF"/>
          <w:sz w:val="22"/>
          <w:szCs w:val="22"/>
        </w:rPr>
        <w:t>KO mice, and LS patients (related to Figure 4 and 5).</w:t>
      </w:r>
      <w:r w:rsidRPr="002C028A">
        <w:rPr>
          <w:rFonts w:ascii="Arial" w:hAnsi="Arial" w:cs="Arial"/>
          <w:b/>
          <w:bCs/>
          <w:sz w:val="22"/>
          <w:szCs w:val="22"/>
        </w:rPr>
        <w:t xml:space="preserve"> </w:t>
      </w:r>
      <w:r w:rsidR="00A37FE9">
        <w:rPr>
          <w:rFonts w:ascii="Arial" w:hAnsi="Arial" w:cs="Arial"/>
          <w:b/>
          <w:bCs/>
          <w:sz w:val="22"/>
          <w:szCs w:val="22"/>
        </w:rPr>
        <w:t>a.</w:t>
      </w:r>
      <w:r w:rsidRPr="002C028A">
        <w:rPr>
          <w:rFonts w:ascii="Arial" w:hAnsi="Arial" w:cs="Arial"/>
          <w:b/>
          <w:bCs/>
          <w:sz w:val="22"/>
          <w:szCs w:val="22"/>
        </w:rPr>
        <w:t xml:space="preserve"> </w:t>
      </w:r>
      <w:r w:rsidRPr="002C028A">
        <w:rPr>
          <w:rFonts w:ascii="Arial" w:hAnsi="Arial" w:cs="Arial"/>
          <w:sz w:val="22"/>
          <w:szCs w:val="22"/>
        </w:rPr>
        <w:t>Representative immunostaining of brain capillary endothelial cells (BCECs) derived from control iPSCs (CTRL_8) showing expression and co-localization of occludin (OCLN) and tight junction protein</w:t>
      </w:r>
      <w:r w:rsidR="00A17CE2">
        <w:rPr>
          <w:rFonts w:ascii="Arial" w:hAnsi="Arial" w:cs="Arial"/>
          <w:sz w:val="22"/>
          <w:szCs w:val="22"/>
        </w:rPr>
        <w:t xml:space="preserve"> 1</w:t>
      </w:r>
      <w:r w:rsidRPr="002C028A">
        <w:rPr>
          <w:rFonts w:ascii="Arial" w:hAnsi="Arial" w:cs="Arial"/>
          <w:sz w:val="22"/>
          <w:szCs w:val="22"/>
        </w:rPr>
        <w:t xml:space="preserve"> </w:t>
      </w:r>
      <w:r w:rsidR="00A17CE2">
        <w:rPr>
          <w:rFonts w:ascii="Arial" w:hAnsi="Arial" w:cs="Arial"/>
          <w:sz w:val="22"/>
          <w:szCs w:val="22"/>
        </w:rPr>
        <w:t>(</w:t>
      </w:r>
      <w:r w:rsidR="00A679DD">
        <w:rPr>
          <w:rFonts w:ascii="Arial" w:hAnsi="Arial" w:cs="Arial"/>
          <w:sz w:val="22"/>
          <w:szCs w:val="22"/>
        </w:rPr>
        <w:t>TJP1</w:t>
      </w:r>
      <w:r w:rsidR="00A17CE2">
        <w:rPr>
          <w:rFonts w:ascii="Arial" w:hAnsi="Arial" w:cs="Arial"/>
          <w:sz w:val="22"/>
          <w:szCs w:val="22"/>
        </w:rPr>
        <w:t>)</w:t>
      </w:r>
      <w:r w:rsidRPr="002C028A">
        <w:rPr>
          <w:rFonts w:ascii="Arial" w:hAnsi="Arial" w:cs="Arial"/>
          <w:sz w:val="22"/>
          <w:szCs w:val="22"/>
        </w:rPr>
        <w:t xml:space="preserve">. Scale bar:  20 µm. </w:t>
      </w:r>
      <w:r w:rsidR="00A37FE9">
        <w:rPr>
          <w:rFonts w:ascii="Arial" w:hAnsi="Arial" w:cs="Arial"/>
          <w:b/>
          <w:bCs/>
          <w:sz w:val="22"/>
          <w:szCs w:val="22"/>
        </w:rPr>
        <w:t>b.</w:t>
      </w:r>
      <w:r w:rsidRPr="002C028A">
        <w:rPr>
          <w:rFonts w:ascii="Arial" w:hAnsi="Arial" w:cs="Arial"/>
          <w:sz w:val="22"/>
          <w:szCs w:val="22"/>
        </w:rPr>
        <w:t xml:space="preserve"> Apparent permeability coefficient (P</w:t>
      </w:r>
      <w:r w:rsidRPr="002C028A">
        <w:rPr>
          <w:rFonts w:ascii="Arial" w:hAnsi="Arial" w:cs="Arial"/>
          <w:sz w:val="22"/>
          <w:szCs w:val="22"/>
          <w:vertAlign w:val="subscript"/>
        </w:rPr>
        <w:t>app</w:t>
      </w:r>
      <w:r w:rsidRPr="002C028A">
        <w:rPr>
          <w:rFonts w:ascii="Arial" w:hAnsi="Arial" w:cs="Arial"/>
          <w:sz w:val="22"/>
          <w:szCs w:val="22"/>
        </w:rPr>
        <w:t xml:space="preserve"> </w:t>
      </w:r>
      <w:r w:rsidR="00A679DD">
        <w:rPr>
          <w:rFonts w:ascii="Arial" w:hAnsi="Arial" w:cs="Arial"/>
          <w:sz w:val="22"/>
          <w:szCs w:val="22"/>
        </w:rPr>
        <w:t>[</w:t>
      </w:r>
      <w:r w:rsidRPr="002C028A">
        <w:rPr>
          <w:rFonts w:ascii="Arial" w:hAnsi="Arial" w:cs="Arial"/>
          <w:sz w:val="22"/>
          <w:szCs w:val="22"/>
        </w:rPr>
        <w:t>10</w:t>
      </w:r>
      <w:r w:rsidRPr="002C028A">
        <w:rPr>
          <w:rFonts w:ascii="Arial" w:hAnsi="Arial" w:cs="Arial"/>
          <w:sz w:val="22"/>
          <w:szCs w:val="22"/>
          <w:vertAlign w:val="superscript"/>
        </w:rPr>
        <w:t>-6</w:t>
      </w:r>
      <w:r w:rsidRPr="002C028A">
        <w:rPr>
          <w:rFonts w:ascii="Arial" w:hAnsi="Arial" w:cs="Arial"/>
          <w:sz w:val="22"/>
          <w:szCs w:val="22"/>
        </w:rPr>
        <w:t xml:space="preserve"> * cm/s]) from apical (A) to </w:t>
      </w:r>
      <w:r w:rsidRPr="002C028A">
        <w:rPr>
          <w:rFonts w:ascii="Arial" w:hAnsi="Arial" w:cs="Arial"/>
          <w:sz w:val="22"/>
          <w:szCs w:val="22"/>
        </w:rPr>
        <w:lastRenderedPageBreak/>
        <w:t xml:space="preserve">basolateral (B) compartment of fluorescein in control BCECs (CTRL_8) and LS BCECs (ATP6_2) in n=3-5 independent experiments. </w:t>
      </w:r>
      <w:r w:rsidR="00A37FE9">
        <w:rPr>
          <w:rFonts w:ascii="Arial" w:hAnsi="Arial" w:cs="Arial"/>
          <w:b/>
          <w:bCs/>
          <w:sz w:val="22"/>
          <w:szCs w:val="22"/>
        </w:rPr>
        <w:t>c.</w:t>
      </w:r>
      <w:r w:rsidRPr="002C028A">
        <w:rPr>
          <w:rFonts w:ascii="Arial" w:hAnsi="Arial" w:cs="Arial"/>
          <w:sz w:val="22"/>
          <w:szCs w:val="22"/>
        </w:rPr>
        <w:t xml:space="preserve"> Transendothelial electrical resistance (TEER) measurement in BCECs derived from control iPSCs (CTRL_8) and LS iPSCs (ATP6_2) in n=3-5 independent experiments on day 10 of differentiation</w:t>
      </w:r>
      <w:r w:rsidR="00774E0A">
        <w:rPr>
          <w:rFonts w:ascii="Arial" w:hAnsi="Arial" w:cs="Arial"/>
          <w:sz w:val="22"/>
          <w:szCs w:val="22"/>
        </w:rPr>
        <w:t>.</w:t>
      </w:r>
      <w:r w:rsidRPr="002C028A">
        <w:rPr>
          <w:rFonts w:ascii="Arial" w:hAnsi="Arial" w:cs="Arial"/>
          <w:sz w:val="22"/>
          <w:szCs w:val="22"/>
        </w:rPr>
        <w:t xml:space="preserve"> </w:t>
      </w:r>
      <w:r w:rsidR="00774E0A">
        <w:rPr>
          <w:rFonts w:ascii="Arial" w:hAnsi="Arial" w:cs="Arial"/>
          <w:b/>
          <w:bCs/>
          <w:sz w:val="22"/>
          <w:szCs w:val="22"/>
        </w:rPr>
        <w:t>d</w:t>
      </w:r>
      <w:r w:rsidR="00A37FE9">
        <w:rPr>
          <w:rFonts w:ascii="Arial" w:hAnsi="Arial" w:cs="Arial"/>
          <w:b/>
          <w:bCs/>
          <w:sz w:val="22"/>
          <w:szCs w:val="22"/>
        </w:rPr>
        <w:t>-</w:t>
      </w:r>
      <w:r w:rsidR="00774E0A">
        <w:rPr>
          <w:rFonts w:ascii="Arial" w:hAnsi="Arial" w:cs="Arial"/>
          <w:b/>
          <w:bCs/>
          <w:sz w:val="22"/>
          <w:szCs w:val="22"/>
        </w:rPr>
        <w:t>e</w:t>
      </w:r>
      <w:r w:rsidR="00A37FE9">
        <w:rPr>
          <w:rFonts w:ascii="Arial" w:hAnsi="Arial" w:cs="Arial"/>
          <w:b/>
          <w:bCs/>
          <w:sz w:val="22"/>
          <w:szCs w:val="22"/>
        </w:rPr>
        <w:t>.</w:t>
      </w:r>
      <w:r w:rsidR="00A37FE9" w:rsidRPr="002C028A">
        <w:rPr>
          <w:rFonts w:ascii="Arial" w:hAnsi="Arial" w:cs="Arial"/>
          <w:b/>
          <w:bCs/>
          <w:sz w:val="22"/>
          <w:szCs w:val="22"/>
        </w:rPr>
        <w:t xml:space="preserve"> </w:t>
      </w:r>
      <w:r w:rsidR="00A37FE9" w:rsidRPr="002C028A">
        <w:rPr>
          <w:rFonts w:ascii="Arial" w:hAnsi="Arial" w:cs="Arial"/>
          <w:sz w:val="22"/>
          <w:szCs w:val="22"/>
        </w:rPr>
        <w:t xml:space="preserve">Representative immunohistochemistry and quantification for Purkinje cells (P) density in 42-45-day-old </w:t>
      </w:r>
      <w:r w:rsidR="00A37FE9" w:rsidRPr="002C028A">
        <w:rPr>
          <w:rFonts w:ascii="Arial" w:hAnsi="Arial" w:cs="Arial"/>
          <w:i/>
          <w:iCs/>
          <w:sz w:val="22"/>
          <w:szCs w:val="22"/>
        </w:rPr>
        <w:t>Ndufs4</w:t>
      </w:r>
      <w:r w:rsidR="00A37FE9" w:rsidRPr="002C028A">
        <w:rPr>
          <w:rFonts w:ascii="Arial" w:hAnsi="Arial" w:cs="Arial"/>
          <w:sz w:val="22"/>
          <w:szCs w:val="22"/>
        </w:rPr>
        <w:t xml:space="preserve"> KO mice (n=5-6). Arrows indicate loss of Purkinje cells. **p&lt;0.01, ns (not significant); ANOVA post-hoc analysis.</w:t>
      </w:r>
      <w:r w:rsidR="00774E0A" w:rsidRPr="00774E0A">
        <w:rPr>
          <w:rFonts w:ascii="Arial" w:hAnsi="Arial" w:cs="Arial"/>
          <w:b/>
          <w:bCs/>
          <w:sz w:val="22"/>
          <w:szCs w:val="22"/>
        </w:rPr>
        <w:t xml:space="preserve"> </w:t>
      </w:r>
      <w:r w:rsidR="00774E0A">
        <w:rPr>
          <w:rFonts w:ascii="Arial" w:hAnsi="Arial" w:cs="Arial"/>
          <w:b/>
          <w:bCs/>
          <w:sz w:val="22"/>
          <w:szCs w:val="22"/>
        </w:rPr>
        <w:t>f.</w:t>
      </w:r>
      <w:r w:rsidR="00774E0A" w:rsidRPr="002C028A">
        <w:rPr>
          <w:rFonts w:ascii="Arial" w:hAnsi="Arial" w:cs="Arial"/>
          <w:b/>
          <w:bCs/>
          <w:sz w:val="22"/>
          <w:szCs w:val="22"/>
        </w:rPr>
        <w:t xml:space="preserve"> </w:t>
      </w:r>
      <w:r w:rsidR="00774E0A" w:rsidRPr="002C028A">
        <w:rPr>
          <w:rFonts w:ascii="Arial" w:hAnsi="Arial" w:cs="Arial"/>
          <w:sz w:val="22"/>
          <w:szCs w:val="22"/>
        </w:rPr>
        <w:t xml:space="preserve">Promethion metabolic chamber used to assess the metabolic fitness of </w:t>
      </w:r>
      <w:r w:rsidR="00774E0A" w:rsidRPr="002C028A">
        <w:rPr>
          <w:rFonts w:ascii="Arial" w:hAnsi="Arial" w:cs="Arial"/>
          <w:i/>
          <w:iCs/>
          <w:sz w:val="22"/>
          <w:szCs w:val="22"/>
        </w:rPr>
        <w:t>Ndufs4</w:t>
      </w:r>
      <w:r w:rsidR="00774E0A" w:rsidRPr="002C028A">
        <w:rPr>
          <w:rFonts w:ascii="Arial" w:hAnsi="Arial" w:cs="Arial"/>
          <w:sz w:val="22"/>
          <w:szCs w:val="22"/>
        </w:rPr>
        <w:t xml:space="preserve"> KO mice </w:t>
      </w:r>
      <w:r w:rsidR="00774E0A" w:rsidRPr="002C028A">
        <w:rPr>
          <w:rFonts w:ascii="Arial" w:hAnsi="Arial" w:cs="Arial"/>
          <w:b/>
          <w:bCs/>
          <w:sz w:val="22"/>
          <w:szCs w:val="22"/>
        </w:rPr>
        <w:t>(Figure 5</w:t>
      </w:r>
      <w:r w:rsidR="00774E0A">
        <w:rPr>
          <w:rFonts w:ascii="Arial" w:hAnsi="Arial" w:cs="Arial"/>
          <w:b/>
          <w:bCs/>
          <w:sz w:val="22"/>
          <w:szCs w:val="22"/>
        </w:rPr>
        <w:t>c</w:t>
      </w:r>
      <w:r w:rsidR="00774E0A" w:rsidRPr="002C028A">
        <w:rPr>
          <w:rFonts w:ascii="Arial" w:hAnsi="Arial" w:cs="Arial"/>
          <w:b/>
          <w:bCs/>
          <w:sz w:val="22"/>
          <w:szCs w:val="22"/>
        </w:rPr>
        <w:t>)</w:t>
      </w:r>
      <w:r w:rsidR="00774E0A">
        <w:rPr>
          <w:rFonts w:ascii="Arial" w:hAnsi="Arial" w:cs="Arial"/>
          <w:b/>
          <w:bCs/>
          <w:sz w:val="22"/>
          <w:szCs w:val="22"/>
        </w:rPr>
        <w:t xml:space="preserve"> </w:t>
      </w:r>
      <w:r w:rsidR="001044A3">
        <w:rPr>
          <w:rFonts w:ascii="Arial" w:hAnsi="Arial" w:cs="Arial"/>
          <w:b/>
          <w:bCs/>
          <w:sz w:val="22"/>
          <w:szCs w:val="22"/>
        </w:rPr>
        <w:t>g</w:t>
      </w:r>
      <w:r w:rsidR="00A37FE9">
        <w:rPr>
          <w:rFonts w:ascii="Arial" w:hAnsi="Arial" w:cs="Arial"/>
          <w:b/>
          <w:bCs/>
          <w:sz w:val="22"/>
          <w:szCs w:val="22"/>
        </w:rPr>
        <w:t>.</w:t>
      </w:r>
      <w:r w:rsidRPr="002C028A">
        <w:rPr>
          <w:rFonts w:ascii="Arial" w:hAnsi="Arial" w:cs="Arial"/>
          <w:sz w:val="22"/>
          <w:szCs w:val="22"/>
        </w:rPr>
        <w:t xml:space="preserve"> Cardiac effects of sildenafil treatment in 42-45-day-old </w:t>
      </w:r>
      <w:bookmarkStart w:id="6" w:name="_Hlk193192978"/>
      <w:r w:rsidRPr="002C028A">
        <w:rPr>
          <w:rFonts w:ascii="Arial" w:hAnsi="Arial" w:cs="Arial"/>
          <w:i/>
          <w:iCs/>
          <w:sz w:val="22"/>
          <w:szCs w:val="22"/>
        </w:rPr>
        <w:t>Ndufs4</w:t>
      </w:r>
      <w:r w:rsidRPr="002C028A">
        <w:rPr>
          <w:rFonts w:ascii="Arial" w:hAnsi="Arial" w:cs="Arial"/>
          <w:sz w:val="22"/>
          <w:szCs w:val="22"/>
        </w:rPr>
        <w:t xml:space="preserve"> KO mice </w:t>
      </w:r>
      <w:bookmarkEnd w:id="6"/>
      <w:r w:rsidRPr="002C028A">
        <w:rPr>
          <w:rFonts w:ascii="Arial" w:hAnsi="Arial" w:cs="Arial"/>
          <w:sz w:val="22"/>
          <w:szCs w:val="22"/>
        </w:rPr>
        <w:t xml:space="preserve">(n=8-10): heart rate (bpm) and diastolic dysfunction measured by tissue Doppler imaging, left ventricular mass (%), left ventricular ejection fraction (LVEF, %), and ratio of the peak early mitral inflow velocity (E) over the early diastolic mitral annular velocity (e′) measured by echocardiography. *p&lt;0.05, **p&lt;0.01, ***p&lt;0.001, ****p&lt;0.001, ns (not significant); two-tailed Mann-Whitney U test. </w:t>
      </w:r>
      <w:r w:rsidR="00A37FE9">
        <w:rPr>
          <w:rFonts w:ascii="Arial" w:hAnsi="Arial" w:cs="Arial"/>
          <w:b/>
          <w:bCs/>
          <w:sz w:val="22"/>
          <w:szCs w:val="22"/>
        </w:rPr>
        <w:t>h.</w:t>
      </w:r>
      <w:r w:rsidRPr="002C028A">
        <w:rPr>
          <w:rFonts w:ascii="Arial" w:hAnsi="Arial" w:cs="Arial"/>
          <w:sz w:val="22"/>
          <w:szCs w:val="22"/>
        </w:rPr>
        <w:t xml:space="preserve"> Cranial magnetic resonance imaging (cMRI) of the six patients undergoing off-label compassionate treatment with sildenafil. Arrows indicate lesions in the basal ganglia lesions and brainstem characteristic of LS </w:t>
      </w:r>
      <w:bookmarkStart w:id="7" w:name="_Hlk193727529"/>
      <w:r w:rsidRPr="002C028A">
        <w:rPr>
          <w:rFonts w:ascii="Arial" w:hAnsi="Arial" w:cs="Arial"/>
          <w:sz w:val="22"/>
          <w:szCs w:val="22"/>
        </w:rPr>
        <w:t>(see supplementary methods for details)</w:t>
      </w:r>
      <w:bookmarkEnd w:id="7"/>
      <w:r w:rsidRPr="002C028A">
        <w:rPr>
          <w:rFonts w:ascii="Arial" w:hAnsi="Arial" w:cs="Arial"/>
          <w:sz w:val="22"/>
          <w:szCs w:val="22"/>
        </w:rPr>
        <w:t>.</w:t>
      </w:r>
    </w:p>
    <w:p w14:paraId="3447AD5C" w14:textId="77777777" w:rsidR="00073E4F" w:rsidRDefault="00073E4F" w:rsidP="00073E4F">
      <w:pPr>
        <w:spacing w:after="0" w:line="300" w:lineRule="auto"/>
        <w:jc w:val="both"/>
        <w:rPr>
          <w:rFonts w:ascii="Arial" w:hAnsi="Arial" w:cs="Arial"/>
          <w:sz w:val="22"/>
          <w:szCs w:val="22"/>
        </w:rPr>
      </w:pPr>
    </w:p>
    <w:p w14:paraId="3CD28301" w14:textId="77777777" w:rsidR="00073E4F" w:rsidRPr="0006137E" w:rsidRDefault="00073E4F" w:rsidP="00073E4F">
      <w:pPr>
        <w:spacing w:after="0" w:line="300" w:lineRule="auto"/>
        <w:jc w:val="both"/>
        <w:rPr>
          <w:rFonts w:ascii="Arial" w:hAnsi="Arial" w:cs="Arial"/>
          <w:bCs/>
          <w:sz w:val="22"/>
          <w:szCs w:val="22"/>
        </w:rPr>
      </w:pPr>
    </w:p>
    <w:p w14:paraId="72F89C5F" w14:textId="51EC50D1" w:rsidR="00073E4F" w:rsidRDefault="00073E4F" w:rsidP="00073E4F">
      <w:pPr>
        <w:spacing w:after="0" w:line="300" w:lineRule="auto"/>
        <w:jc w:val="both"/>
        <w:rPr>
          <w:rFonts w:ascii="Arial" w:hAnsi="Arial" w:cs="Arial"/>
          <w:b/>
          <w:bCs/>
          <w:sz w:val="22"/>
          <w:szCs w:val="22"/>
        </w:rPr>
      </w:pPr>
    </w:p>
    <w:p w14:paraId="4693CEA4" w14:textId="58FEA426" w:rsidR="00073E4F" w:rsidRPr="002C028A" w:rsidRDefault="0088792C" w:rsidP="00073E4F">
      <w:pPr>
        <w:spacing w:after="0" w:line="300" w:lineRule="auto"/>
        <w:jc w:val="both"/>
        <w:rPr>
          <w:rFonts w:ascii="Arial" w:hAnsi="Arial" w:cs="Arial"/>
          <w:b/>
          <w:bCs/>
          <w:sz w:val="22"/>
          <w:szCs w:val="22"/>
        </w:rPr>
      </w:pPr>
      <w:r>
        <w:rPr>
          <w:rFonts w:ascii="Arial" w:hAnsi="Arial" w:cs="Arial"/>
          <w:b/>
          <w:bCs/>
          <w:noProof/>
          <w:color w:val="2F5496" w:themeColor="accent5" w:themeShade="BF"/>
          <w:sz w:val="22"/>
          <w:szCs w:val="22"/>
          <w14:ligatures w14:val="none"/>
        </w:rPr>
        <w:lastRenderedPageBreak/>
        <w:drawing>
          <wp:inline distT="0" distB="0" distL="0" distR="0" wp14:anchorId="3BEC3898" wp14:editId="6B336D18">
            <wp:extent cx="5996940" cy="9777730"/>
            <wp:effectExtent l="0" t="0" r="381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96940" cy="9777730"/>
                    </a:xfrm>
                    <a:prstGeom prst="rect">
                      <a:avLst/>
                    </a:prstGeom>
                  </pic:spPr>
                </pic:pic>
              </a:graphicData>
            </a:graphic>
          </wp:inline>
        </w:drawing>
      </w:r>
      <w:r w:rsidR="00073E4F" w:rsidRPr="002C028A">
        <w:rPr>
          <w:rFonts w:ascii="Arial" w:hAnsi="Arial" w:cs="Arial"/>
          <w:b/>
          <w:bCs/>
          <w:color w:val="2F5496" w:themeColor="accent5" w:themeShade="BF"/>
          <w:sz w:val="22"/>
          <w:szCs w:val="22"/>
        </w:rPr>
        <w:t xml:space="preserve">Figure </w:t>
      </w:r>
      <w:r w:rsidR="00073E4F" w:rsidRPr="002C028A">
        <w:rPr>
          <w:rFonts w:ascii="Arial" w:hAnsi="Arial" w:cs="Arial"/>
          <w:b/>
          <w:bCs/>
          <w:color w:val="2F5496" w:themeColor="accent5" w:themeShade="BF"/>
          <w:sz w:val="22"/>
          <w:szCs w:val="22"/>
        </w:rPr>
        <w:lastRenderedPageBreak/>
        <w:t xml:space="preserve">S10. Genetic diagnosis of the six patients with LS treated with sildenafil (related to Figure 5). </w:t>
      </w:r>
      <w:r w:rsidR="00073E4F" w:rsidRPr="002C028A">
        <w:rPr>
          <w:rFonts w:ascii="Arial" w:eastAsia="Times New Roman" w:hAnsi="Arial" w:cs="Arial"/>
          <w:i/>
          <w:color w:val="000000"/>
          <w:sz w:val="22"/>
          <w:szCs w:val="22"/>
        </w:rPr>
        <w:t>MT-ATP6</w:t>
      </w:r>
      <w:r w:rsidR="00073E4F" w:rsidRPr="002C028A">
        <w:rPr>
          <w:rFonts w:ascii="Arial" w:eastAsia="Times New Roman" w:hAnsi="Arial" w:cs="Arial"/>
          <w:color w:val="000000"/>
          <w:sz w:val="22"/>
          <w:szCs w:val="22"/>
        </w:rPr>
        <w:t xml:space="preserve"> mutations and degrees of heteroplasmy in the Whole Exome Sequencing datasets of the 6 patients with LS treated with sildenafil. Data are visualized with the IGV viewer (v2.16).</w:t>
      </w:r>
    </w:p>
    <w:p w14:paraId="2F6B333C" w14:textId="77777777" w:rsidR="00073E4F" w:rsidRPr="004D49C5" w:rsidRDefault="00073E4F" w:rsidP="00073E4F">
      <w:pPr>
        <w:spacing w:after="0" w:line="300" w:lineRule="auto"/>
        <w:jc w:val="both"/>
        <w:rPr>
          <w:rFonts w:ascii="Arial" w:hAnsi="Arial" w:cs="Arial"/>
          <w:b/>
          <w:bCs/>
          <w:color w:val="4472C4" w:themeColor="accent5"/>
          <w:sz w:val="28"/>
          <w:szCs w:val="28"/>
        </w:rPr>
      </w:pPr>
      <w:r>
        <w:rPr>
          <w:rFonts w:ascii="Arial" w:hAnsi="Arial" w:cs="Arial"/>
          <w:b/>
          <w:bCs/>
          <w:sz w:val="22"/>
          <w:szCs w:val="22"/>
        </w:rPr>
        <w:br w:type="column"/>
      </w:r>
      <w:r w:rsidRPr="00FC0B78">
        <w:rPr>
          <w:rFonts w:ascii="Arial" w:hAnsi="Arial" w:cs="Arial"/>
          <w:b/>
          <w:bCs/>
          <w:color w:val="2F5496" w:themeColor="accent5" w:themeShade="BF"/>
          <w:sz w:val="28"/>
          <w:szCs w:val="28"/>
        </w:rPr>
        <w:lastRenderedPageBreak/>
        <w:t>Supplementary Tables</w:t>
      </w:r>
    </w:p>
    <w:p w14:paraId="3E994D7A" w14:textId="77777777" w:rsidR="00073E4F" w:rsidRDefault="00073E4F" w:rsidP="00073E4F">
      <w:pPr>
        <w:spacing w:after="0" w:line="300" w:lineRule="auto"/>
        <w:jc w:val="both"/>
        <w:rPr>
          <w:rFonts w:ascii="Arial" w:hAnsi="Arial" w:cs="Arial"/>
          <w:b/>
          <w:bCs/>
          <w:sz w:val="22"/>
          <w:szCs w:val="22"/>
        </w:rPr>
      </w:pPr>
    </w:p>
    <w:p w14:paraId="1A3E2281" w14:textId="77777777" w:rsidR="00073E4F" w:rsidRDefault="00073E4F" w:rsidP="00073E4F">
      <w:pPr>
        <w:spacing w:after="0" w:line="300" w:lineRule="auto"/>
        <w:jc w:val="both"/>
        <w:rPr>
          <w:rFonts w:ascii="Arial" w:hAnsi="Arial" w:cs="Arial"/>
          <w:b/>
          <w:bCs/>
          <w:sz w:val="22"/>
          <w:szCs w:val="22"/>
        </w:rPr>
      </w:pPr>
      <w:r>
        <w:rPr>
          <w:rFonts w:ascii="Arial" w:hAnsi="Arial" w:cs="Arial"/>
          <w:b/>
          <w:bCs/>
          <w:sz w:val="22"/>
          <w:szCs w:val="22"/>
        </w:rPr>
        <w:t xml:space="preserve">Table S1. </w:t>
      </w:r>
      <w:r>
        <w:rPr>
          <w:rFonts w:ascii="Arial" w:hAnsi="Arial" w:cs="Arial"/>
          <w:sz w:val="22"/>
          <w:szCs w:val="22"/>
        </w:rPr>
        <w:t>Bulk transcriptomics of LS NPCs and control NPCs showing differentially expressed genes (DEG).</w:t>
      </w:r>
    </w:p>
    <w:p w14:paraId="5CBE78E4" w14:textId="77777777" w:rsidR="00073E4F" w:rsidRDefault="00073E4F" w:rsidP="00073E4F">
      <w:pPr>
        <w:spacing w:after="0" w:line="300" w:lineRule="auto"/>
        <w:jc w:val="both"/>
        <w:rPr>
          <w:rFonts w:ascii="Arial" w:hAnsi="Arial" w:cs="Arial"/>
          <w:b/>
          <w:bCs/>
          <w:sz w:val="22"/>
          <w:szCs w:val="22"/>
        </w:rPr>
      </w:pPr>
    </w:p>
    <w:p w14:paraId="1230AE5A" w14:textId="77777777" w:rsidR="00073E4F" w:rsidRDefault="00073E4F" w:rsidP="00073E4F">
      <w:pPr>
        <w:spacing w:after="0" w:line="300" w:lineRule="auto"/>
        <w:jc w:val="both"/>
        <w:rPr>
          <w:rFonts w:ascii="Arial" w:hAnsi="Arial" w:cs="Arial"/>
          <w:b/>
          <w:bCs/>
          <w:sz w:val="22"/>
          <w:szCs w:val="22"/>
        </w:rPr>
      </w:pPr>
      <w:r>
        <w:rPr>
          <w:rFonts w:ascii="Arial" w:hAnsi="Arial" w:cs="Arial"/>
          <w:b/>
          <w:bCs/>
          <w:sz w:val="22"/>
          <w:szCs w:val="22"/>
        </w:rPr>
        <w:t xml:space="preserve">Table S2. </w:t>
      </w:r>
      <w:r>
        <w:rPr>
          <w:rFonts w:ascii="Arial" w:hAnsi="Arial" w:cs="Arial"/>
          <w:sz w:val="22"/>
          <w:szCs w:val="22"/>
        </w:rPr>
        <w:t>Proteomics of LS NPCs and control NPCs showing differentially expressed proteins (DEP).</w:t>
      </w:r>
    </w:p>
    <w:p w14:paraId="709D7F45" w14:textId="77777777" w:rsidR="00073E4F" w:rsidRDefault="00073E4F" w:rsidP="00073E4F">
      <w:pPr>
        <w:spacing w:after="0" w:line="300" w:lineRule="auto"/>
        <w:jc w:val="both"/>
        <w:rPr>
          <w:rFonts w:ascii="Arial" w:hAnsi="Arial" w:cs="Arial"/>
          <w:b/>
          <w:bCs/>
          <w:sz w:val="22"/>
          <w:szCs w:val="22"/>
        </w:rPr>
      </w:pPr>
    </w:p>
    <w:p w14:paraId="65286C55" w14:textId="77777777" w:rsidR="00073E4F" w:rsidRDefault="00073E4F" w:rsidP="00073E4F">
      <w:pPr>
        <w:spacing w:after="0" w:line="300" w:lineRule="auto"/>
        <w:jc w:val="both"/>
        <w:rPr>
          <w:rFonts w:ascii="Arial" w:hAnsi="Arial" w:cs="Arial"/>
          <w:b/>
          <w:bCs/>
          <w:sz w:val="22"/>
          <w:szCs w:val="22"/>
        </w:rPr>
      </w:pPr>
      <w:r>
        <w:rPr>
          <w:rFonts w:ascii="Arial" w:hAnsi="Arial" w:cs="Arial"/>
          <w:b/>
          <w:bCs/>
          <w:sz w:val="22"/>
          <w:szCs w:val="22"/>
        </w:rPr>
        <w:t xml:space="preserve">Table S3. </w:t>
      </w:r>
      <w:r>
        <w:rPr>
          <w:rFonts w:ascii="Arial" w:hAnsi="Arial" w:cs="Arial"/>
          <w:sz w:val="22"/>
          <w:szCs w:val="22"/>
        </w:rPr>
        <w:t>Metabolomics of LS NPCs and control NPCs showing differential metabolites (DM).</w:t>
      </w:r>
    </w:p>
    <w:p w14:paraId="5AD0D2DE" w14:textId="77777777" w:rsidR="00073E4F" w:rsidRDefault="00073E4F" w:rsidP="00073E4F">
      <w:pPr>
        <w:spacing w:after="0" w:line="300" w:lineRule="auto"/>
        <w:jc w:val="both"/>
        <w:rPr>
          <w:rFonts w:ascii="Arial" w:hAnsi="Arial" w:cs="Arial"/>
          <w:b/>
          <w:bCs/>
          <w:sz w:val="22"/>
          <w:szCs w:val="22"/>
        </w:rPr>
      </w:pPr>
    </w:p>
    <w:p w14:paraId="18366E42" w14:textId="77777777" w:rsidR="00073E4F" w:rsidRDefault="00073E4F" w:rsidP="00073E4F">
      <w:pPr>
        <w:spacing w:after="0" w:line="300" w:lineRule="auto"/>
        <w:jc w:val="both"/>
        <w:rPr>
          <w:rFonts w:ascii="Arial" w:hAnsi="Arial" w:cs="Arial"/>
          <w:b/>
          <w:bCs/>
          <w:sz w:val="22"/>
          <w:szCs w:val="22"/>
        </w:rPr>
      </w:pPr>
      <w:r>
        <w:rPr>
          <w:rFonts w:ascii="Arial" w:hAnsi="Arial" w:cs="Arial"/>
          <w:b/>
          <w:bCs/>
          <w:sz w:val="22"/>
          <w:szCs w:val="22"/>
        </w:rPr>
        <w:t xml:space="preserve">Table S4. </w:t>
      </w:r>
      <w:r>
        <w:rPr>
          <w:rFonts w:ascii="Arial" w:hAnsi="Arial" w:cs="Arial"/>
          <w:sz w:val="22"/>
          <w:szCs w:val="22"/>
        </w:rPr>
        <w:t>Bulk transcriptomics of cortical brain organoids from LS patients and controls and acute sildenafil treatment showing differentially expressed genes (DEG).</w:t>
      </w:r>
    </w:p>
    <w:p w14:paraId="7B30AB1F" w14:textId="77777777" w:rsidR="00073E4F" w:rsidRDefault="00073E4F" w:rsidP="00073E4F">
      <w:pPr>
        <w:spacing w:after="0" w:line="300" w:lineRule="auto"/>
        <w:jc w:val="both"/>
        <w:rPr>
          <w:rFonts w:ascii="Arial" w:hAnsi="Arial" w:cs="Arial"/>
          <w:b/>
          <w:bCs/>
          <w:sz w:val="22"/>
          <w:szCs w:val="22"/>
        </w:rPr>
      </w:pPr>
    </w:p>
    <w:p w14:paraId="1521B99A" w14:textId="77777777" w:rsidR="00073E4F" w:rsidRDefault="00073E4F" w:rsidP="00073E4F">
      <w:pPr>
        <w:spacing w:after="0" w:line="300" w:lineRule="auto"/>
        <w:jc w:val="both"/>
        <w:rPr>
          <w:rFonts w:ascii="Arial" w:hAnsi="Arial" w:cs="Arial"/>
          <w:b/>
          <w:bCs/>
          <w:sz w:val="22"/>
          <w:szCs w:val="22"/>
        </w:rPr>
      </w:pPr>
      <w:r>
        <w:rPr>
          <w:rFonts w:ascii="Arial" w:hAnsi="Arial" w:cs="Arial"/>
          <w:b/>
          <w:bCs/>
          <w:sz w:val="22"/>
          <w:szCs w:val="22"/>
        </w:rPr>
        <w:t xml:space="preserve">Table S5. </w:t>
      </w:r>
      <w:r>
        <w:rPr>
          <w:rFonts w:ascii="Arial" w:hAnsi="Arial" w:cs="Arial"/>
          <w:sz w:val="22"/>
          <w:szCs w:val="22"/>
        </w:rPr>
        <w:t>Clusters identified by single-nucleus RNA sequencing (snRNAseq) of cortical brain organoids from LS patients and controls.</w:t>
      </w:r>
    </w:p>
    <w:p w14:paraId="49DA0DCE" w14:textId="77777777" w:rsidR="00073E4F" w:rsidRDefault="00073E4F" w:rsidP="00073E4F">
      <w:pPr>
        <w:spacing w:after="0" w:line="300" w:lineRule="auto"/>
        <w:jc w:val="both"/>
        <w:rPr>
          <w:rFonts w:ascii="Arial" w:hAnsi="Arial" w:cs="Arial"/>
          <w:b/>
          <w:bCs/>
          <w:sz w:val="22"/>
          <w:szCs w:val="22"/>
        </w:rPr>
      </w:pPr>
    </w:p>
    <w:p w14:paraId="4D506EE7" w14:textId="77777777" w:rsidR="00073E4F" w:rsidRDefault="00073E4F" w:rsidP="00073E4F">
      <w:pPr>
        <w:spacing w:after="0" w:line="300" w:lineRule="auto"/>
        <w:jc w:val="both"/>
        <w:rPr>
          <w:rFonts w:ascii="Arial" w:hAnsi="Arial" w:cs="Arial"/>
          <w:b/>
          <w:bCs/>
          <w:sz w:val="22"/>
          <w:szCs w:val="22"/>
        </w:rPr>
      </w:pPr>
      <w:r>
        <w:rPr>
          <w:rFonts w:ascii="Arial" w:hAnsi="Arial" w:cs="Arial"/>
          <w:b/>
          <w:bCs/>
          <w:sz w:val="22"/>
          <w:szCs w:val="22"/>
        </w:rPr>
        <w:t xml:space="preserve">Table S6. </w:t>
      </w:r>
      <w:r>
        <w:rPr>
          <w:rFonts w:ascii="Arial" w:hAnsi="Arial" w:cs="Arial"/>
          <w:sz w:val="22"/>
          <w:szCs w:val="22"/>
        </w:rPr>
        <w:t>Pseudo-bulk analysis of snRNAseq datasets of cortical brain organoids from LS patients and controls and chronic sildenafil treatment showing differentially expressed genes (DEG) within the different brain organoid populations.</w:t>
      </w:r>
    </w:p>
    <w:p w14:paraId="21BB704F" w14:textId="77777777" w:rsidR="00073E4F" w:rsidRDefault="00073E4F" w:rsidP="00073E4F">
      <w:pPr>
        <w:spacing w:after="0" w:line="300" w:lineRule="auto"/>
        <w:jc w:val="both"/>
        <w:rPr>
          <w:rFonts w:ascii="Arial" w:hAnsi="Arial" w:cs="Arial"/>
          <w:b/>
          <w:bCs/>
          <w:sz w:val="22"/>
          <w:szCs w:val="22"/>
        </w:rPr>
      </w:pPr>
    </w:p>
    <w:p w14:paraId="6B9E9748" w14:textId="28209A13" w:rsidR="00073E4F" w:rsidRDefault="00073E4F" w:rsidP="00073E4F">
      <w:pPr>
        <w:spacing w:after="0" w:line="300" w:lineRule="auto"/>
        <w:jc w:val="both"/>
        <w:rPr>
          <w:rFonts w:ascii="Arial" w:hAnsi="Arial" w:cs="Arial"/>
          <w:sz w:val="22"/>
          <w:szCs w:val="22"/>
        </w:rPr>
      </w:pPr>
      <w:r>
        <w:rPr>
          <w:rFonts w:ascii="Arial" w:hAnsi="Arial" w:cs="Arial"/>
          <w:b/>
          <w:bCs/>
          <w:sz w:val="22"/>
          <w:szCs w:val="22"/>
        </w:rPr>
        <w:t>Table S</w:t>
      </w:r>
      <w:r w:rsidR="004E40E7">
        <w:rPr>
          <w:rFonts w:ascii="Arial" w:hAnsi="Arial" w:cs="Arial"/>
          <w:b/>
          <w:bCs/>
          <w:sz w:val="22"/>
          <w:szCs w:val="22"/>
        </w:rPr>
        <w:t>7</w:t>
      </w:r>
      <w:r>
        <w:rPr>
          <w:rFonts w:ascii="Arial" w:hAnsi="Arial" w:cs="Arial"/>
          <w:b/>
          <w:bCs/>
          <w:sz w:val="22"/>
          <w:szCs w:val="22"/>
        </w:rPr>
        <w:t xml:space="preserve">. </w:t>
      </w:r>
      <w:r>
        <w:rPr>
          <w:rFonts w:ascii="Arial" w:hAnsi="Arial" w:cs="Arial"/>
          <w:sz w:val="22"/>
          <w:szCs w:val="22"/>
        </w:rPr>
        <w:t>List of parameters employed for the computational mitochondrial model based on calcium responses of cortical brain organoid slices (cBOS).</w:t>
      </w:r>
    </w:p>
    <w:p w14:paraId="3E1E92A0" w14:textId="77777777" w:rsidR="00073E4F" w:rsidRDefault="00073E4F" w:rsidP="00073E4F">
      <w:pPr>
        <w:spacing w:after="0" w:line="300" w:lineRule="auto"/>
        <w:jc w:val="both"/>
        <w:rPr>
          <w:rFonts w:ascii="Arial" w:hAnsi="Arial" w:cs="Arial"/>
          <w:sz w:val="22"/>
          <w:szCs w:val="22"/>
        </w:rPr>
      </w:pPr>
    </w:p>
    <w:p w14:paraId="35EBEC80" w14:textId="3B3839DB" w:rsidR="00073E4F" w:rsidRDefault="00073E4F" w:rsidP="00073E4F">
      <w:pPr>
        <w:spacing w:after="0" w:line="300" w:lineRule="auto"/>
        <w:jc w:val="both"/>
        <w:rPr>
          <w:rFonts w:ascii="Arial" w:hAnsi="Arial" w:cs="Arial"/>
          <w:sz w:val="22"/>
          <w:szCs w:val="22"/>
        </w:rPr>
      </w:pPr>
      <w:r>
        <w:rPr>
          <w:rFonts w:ascii="Arial" w:hAnsi="Arial" w:cs="Arial"/>
          <w:b/>
          <w:sz w:val="22"/>
          <w:szCs w:val="22"/>
        </w:rPr>
        <w:t>Table S</w:t>
      </w:r>
      <w:r w:rsidR="004E40E7">
        <w:rPr>
          <w:rFonts w:ascii="Arial" w:hAnsi="Arial" w:cs="Arial"/>
          <w:b/>
          <w:sz w:val="22"/>
          <w:szCs w:val="22"/>
        </w:rPr>
        <w:t>8</w:t>
      </w:r>
      <w:r>
        <w:rPr>
          <w:rFonts w:ascii="Arial" w:hAnsi="Arial" w:cs="Arial"/>
          <w:b/>
          <w:sz w:val="22"/>
          <w:szCs w:val="22"/>
        </w:rPr>
        <w:t xml:space="preserve">. </w:t>
      </w:r>
      <w:r>
        <w:rPr>
          <w:rFonts w:ascii="Arial" w:hAnsi="Arial" w:cs="Arial"/>
          <w:sz w:val="22"/>
          <w:szCs w:val="22"/>
        </w:rPr>
        <w:t xml:space="preserve">Clinical outcomes in six LS patients carrying </w:t>
      </w:r>
      <w:r>
        <w:rPr>
          <w:rFonts w:ascii="Arial" w:hAnsi="Arial" w:cs="Arial"/>
          <w:i/>
          <w:sz w:val="22"/>
          <w:szCs w:val="22"/>
        </w:rPr>
        <w:t>MT-ATP6</w:t>
      </w:r>
      <w:r>
        <w:rPr>
          <w:rFonts w:ascii="Arial" w:hAnsi="Arial" w:cs="Arial"/>
          <w:sz w:val="22"/>
          <w:szCs w:val="22"/>
        </w:rPr>
        <w:t xml:space="preserve"> mutations upon treatment with sildenafil.</w:t>
      </w:r>
    </w:p>
    <w:p w14:paraId="36DCC550" w14:textId="77777777" w:rsidR="00073E4F" w:rsidRDefault="00073E4F" w:rsidP="00073E4F">
      <w:pPr>
        <w:spacing w:after="0" w:line="300" w:lineRule="auto"/>
        <w:jc w:val="both"/>
        <w:rPr>
          <w:rFonts w:ascii="Arial" w:hAnsi="Arial" w:cs="Arial"/>
          <w:sz w:val="22"/>
          <w:szCs w:val="22"/>
        </w:rPr>
      </w:pPr>
    </w:p>
    <w:p w14:paraId="4E8A6D98" w14:textId="759365F2" w:rsidR="00073E4F" w:rsidRDefault="00073E4F" w:rsidP="00073E4F">
      <w:pPr>
        <w:spacing w:after="0" w:line="300" w:lineRule="auto"/>
        <w:jc w:val="both"/>
        <w:rPr>
          <w:rFonts w:ascii="Arial" w:hAnsi="Arial" w:cs="Arial"/>
          <w:sz w:val="22"/>
          <w:szCs w:val="22"/>
        </w:rPr>
      </w:pPr>
      <w:r>
        <w:rPr>
          <w:rFonts w:ascii="Arial" w:hAnsi="Arial" w:cs="Arial"/>
          <w:b/>
          <w:sz w:val="22"/>
          <w:szCs w:val="22"/>
        </w:rPr>
        <w:t>Table S</w:t>
      </w:r>
      <w:r w:rsidR="004E40E7">
        <w:rPr>
          <w:rFonts w:ascii="Arial" w:hAnsi="Arial" w:cs="Arial"/>
          <w:b/>
          <w:sz w:val="22"/>
          <w:szCs w:val="22"/>
        </w:rPr>
        <w:t>9</w:t>
      </w:r>
      <w:r>
        <w:rPr>
          <w:rFonts w:ascii="Arial" w:hAnsi="Arial" w:cs="Arial"/>
          <w:b/>
          <w:sz w:val="22"/>
          <w:szCs w:val="22"/>
        </w:rPr>
        <w:t xml:space="preserve">. </w:t>
      </w:r>
      <w:bookmarkStart w:id="8" w:name="_Hlk193711957"/>
      <w:r>
        <w:rPr>
          <w:rFonts w:ascii="Arial" w:hAnsi="Arial" w:cs="Arial"/>
          <w:sz w:val="22"/>
          <w:szCs w:val="22"/>
        </w:rPr>
        <w:t>Questionnaire on side effects of continuous sildenafil use in six LS patients treated with sildenafil</w:t>
      </w:r>
      <w:bookmarkEnd w:id="8"/>
      <w:r w:rsidR="004E40E7">
        <w:rPr>
          <w:rFonts w:ascii="Arial" w:hAnsi="Arial" w:cs="Arial"/>
          <w:sz w:val="22"/>
          <w:szCs w:val="22"/>
        </w:rPr>
        <w:t>.</w:t>
      </w:r>
    </w:p>
    <w:p w14:paraId="7E4CCE96" w14:textId="77777777" w:rsidR="004E40E7" w:rsidRPr="00D16BD2" w:rsidRDefault="004E40E7" w:rsidP="004E40E7">
      <w:pPr>
        <w:spacing w:after="0" w:line="300" w:lineRule="auto"/>
        <w:rPr>
          <w:rFonts w:ascii="Arial" w:hAnsi="Arial" w:cs="Arial"/>
          <w:b/>
          <w:bCs/>
          <w:color w:val="2F5496" w:themeColor="accent5" w:themeShade="BF"/>
          <w:sz w:val="28"/>
          <w:szCs w:val="28"/>
        </w:rPr>
      </w:pPr>
      <w:r>
        <w:rPr>
          <w:rFonts w:ascii="Arial" w:hAnsi="Arial" w:cs="Arial"/>
          <w:sz w:val="22"/>
          <w:szCs w:val="22"/>
        </w:rPr>
        <w:br w:type="column"/>
      </w:r>
      <w:r w:rsidRPr="00D16BD2">
        <w:rPr>
          <w:rFonts w:ascii="Arial" w:hAnsi="Arial" w:cs="Arial"/>
          <w:b/>
          <w:bCs/>
          <w:color w:val="2F5496" w:themeColor="accent5" w:themeShade="BF"/>
          <w:sz w:val="28"/>
          <w:szCs w:val="28"/>
        </w:rPr>
        <w:lastRenderedPageBreak/>
        <w:t>Supplementary references</w:t>
      </w:r>
    </w:p>
    <w:p w14:paraId="639E4A79" w14:textId="77777777" w:rsidR="004E40E7" w:rsidRPr="00B626D5" w:rsidRDefault="004E40E7" w:rsidP="004E40E7">
      <w:pPr>
        <w:spacing w:after="0" w:line="300" w:lineRule="auto"/>
        <w:jc w:val="both"/>
        <w:rPr>
          <w:rFonts w:ascii="Arial" w:hAnsi="Arial" w:cs="Arial"/>
          <w:b/>
          <w:bCs/>
          <w:sz w:val="22"/>
          <w:szCs w:val="22"/>
        </w:rPr>
      </w:pPr>
    </w:p>
    <w:p w14:paraId="4A9BF912" w14:textId="77777777" w:rsidR="004E40E7" w:rsidRPr="004E40E7" w:rsidRDefault="004E40E7" w:rsidP="004E40E7">
      <w:pPr>
        <w:pStyle w:val="EndNoteBibliography"/>
        <w:spacing w:after="0"/>
        <w:ind w:left="720" w:hanging="720"/>
        <w:jc w:val="both"/>
        <w:rPr>
          <w:rFonts w:ascii="Arial" w:hAnsi="Arial" w:cs="Arial"/>
          <w:noProof/>
          <w:sz w:val="22"/>
          <w:szCs w:val="22"/>
          <w:lang w:val="it-IT"/>
        </w:rPr>
      </w:pPr>
      <w:r w:rsidRPr="00B626D5">
        <w:rPr>
          <w:rFonts w:ascii="Arial" w:hAnsi="Arial" w:cs="Arial"/>
          <w:sz w:val="22"/>
          <w:szCs w:val="22"/>
        </w:rPr>
        <w:fldChar w:fldCharType="begin"/>
      </w:r>
      <w:r w:rsidRPr="00B626D5">
        <w:rPr>
          <w:rFonts w:ascii="Arial" w:hAnsi="Arial" w:cs="Arial"/>
          <w:sz w:val="22"/>
          <w:szCs w:val="22"/>
        </w:rPr>
        <w:instrText xml:space="preserve"> ADDIN EN.REFLIST </w:instrText>
      </w:r>
      <w:r w:rsidRPr="00B626D5">
        <w:rPr>
          <w:rFonts w:ascii="Arial" w:hAnsi="Arial" w:cs="Arial"/>
          <w:sz w:val="22"/>
          <w:szCs w:val="22"/>
        </w:rPr>
        <w:fldChar w:fldCharType="separate"/>
      </w:r>
      <w:r w:rsidRPr="00B626D5">
        <w:rPr>
          <w:rFonts w:ascii="Arial" w:hAnsi="Arial" w:cs="Arial"/>
          <w:noProof/>
          <w:sz w:val="22"/>
          <w:szCs w:val="22"/>
        </w:rPr>
        <w:t>1.</w:t>
      </w:r>
      <w:r w:rsidRPr="00B626D5">
        <w:rPr>
          <w:rFonts w:ascii="Arial" w:hAnsi="Arial" w:cs="Arial"/>
          <w:noProof/>
          <w:sz w:val="22"/>
          <w:szCs w:val="22"/>
        </w:rPr>
        <w:tab/>
        <w:t xml:space="preserve">Picardi, E., and Pesole, G. (2012). Mitochondrial genomes gleaned from human whole-exome sequencing. </w:t>
      </w:r>
      <w:r w:rsidRPr="004E40E7">
        <w:rPr>
          <w:rFonts w:ascii="Arial" w:hAnsi="Arial" w:cs="Arial"/>
          <w:noProof/>
          <w:sz w:val="22"/>
          <w:szCs w:val="22"/>
          <w:lang w:val="it-IT"/>
        </w:rPr>
        <w:t xml:space="preserve">Nat Methods </w:t>
      </w:r>
      <w:r w:rsidRPr="004E40E7">
        <w:rPr>
          <w:rFonts w:ascii="Arial" w:hAnsi="Arial" w:cs="Arial"/>
          <w:i/>
          <w:noProof/>
          <w:sz w:val="22"/>
          <w:szCs w:val="22"/>
          <w:lang w:val="it-IT"/>
        </w:rPr>
        <w:t>9</w:t>
      </w:r>
      <w:r w:rsidRPr="004E40E7">
        <w:rPr>
          <w:rFonts w:ascii="Arial" w:hAnsi="Arial" w:cs="Arial"/>
          <w:noProof/>
          <w:sz w:val="22"/>
          <w:szCs w:val="22"/>
          <w:lang w:val="it-IT"/>
        </w:rPr>
        <w:t>, 523-524. 10.1038/nmeth.2029.</w:t>
      </w:r>
    </w:p>
    <w:p w14:paraId="5CAEFDB5" w14:textId="77777777" w:rsidR="004E40E7" w:rsidRPr="00B626D5" w:rsidRDefault="004E40E7" w:rsidP="004E40E7">
      <w:pPr>
        <w:pStyle w:val="EndNoteBibliography"/>
        <w:spacing w:after="0"/>
        <w:ind w:left="720" w:hanging="720"/>
        <w:jc w:val="both"/>
        <w:rPr>
          <w:rFonts w:ascii="Arial" w:hAnsi="Arial" w:cs="Arial"/>
          <w:noProof/>
          <w:sz w:val="22"/>
          <w:szCs w:val="22"/>
        </w:rPr>
      </w:pPr>
      <w:r w:rsidRPr="004E40E7">
        <w:rPr>
          <w:rFonts w:ascii="Arial" w:hAnsi="Arial" w:cs="Arial"/>
          <w:noProof/>
          <w:sz w:val="22"/>
          <w:szCs w:val="22"/>
          <w:lang w:val="it-IT"/>
        </w:rPr>
        <w:t>2.</w:t>
      </w:r>
      <w:r w:rsidRPr="004E40E7">
        <w:rPr>
          <w:rFonts w:ascii="Arial" w:hAnsi="Arial" w:cs="Arial"/>
          <w:noProof/>
          <w:sz w:val="22"/>
          <w:szCs w:val="22"/>
          <w:lang w:val="it-IT"/>
        </w:rPr>
        <w:tab/>
        <w:t xml:space="preserve">Rubino, F., Piredda, R., Calabrese, F.M., Simone, D., Lang, M., Calabrese, C., Petruzzella, V., Tommaseo-Ponzetta, M., Gasparre, G., and Attimonelli, M. (2012). </w:t>
      </w:r>
      <w:r w:rsidRPr="00B626D5">
        <w:rPr>
          <w:rFonts w:ascii="Arial" w:hAnsi="Arial" w:cs="Arial"/>
          <w:noProof/>
          <w:sz w:val="22"/>
          <w:szCs w:val="22"/>
        </w:rPr>
        <w:t xml:space="preserve">HmtDB, a genomic resource for mitochondrion-based human variability studies. Nucleic Acids Res </w:t>
      </w:r>
      <w:r w:rsidRPr="00B626D5">
        <w:rPr>
          <w:rFonts w:ascii="Arial" w:hAnsi="Arial" w:cs="Arial"/>
          <w:i/>
          <w:noProof/>
          <w:sz w:val="22"/>
          <w:szCs w:val="22"/>
        </w:rPr>
        <w:t>40</w:t>
      </w:r>
      <w:r w:rsidRPr="00B626D5">
        <w:rPr>
          <w:rFonts w:ascii="Arial" w:hAnsi="Arial" w:cs="Arial"/>
          <w:noProof/>
          <w:sz w:val="22"/>
          <w:szCs w:val="22"/>
        </w:rPr>
        <w:t>, D1150-1159. 10.1093/nar/gkr1086.</w:t>
      </w:r>
    </w:p>
    <w:p w14:paraId="4047DE3F" w14:textId="77777777" w:rsidR="004E40E7" w:rsidRPr="00B626D5" w:rsidRDefault="004E40E7" w:rsidP="004E40E7">
      <w:pPr>
        <w:pStyle w:val="EndNoteBibliography"/>
        <w:spacing w:after="0"/>
        <w:ind w:left="720" w:hanging="720"/>
        <w:jc w:val="both"/>
        <w:rPr>
          <w:rFonts w:ascii="Arial" w:hAnsi="Arial" w:cs="Arial"/>
          <w:noProof/>
          <w:sz w:val="22"/>
          <w:szCs w:val="22"/>
        </w:rPr>
      </w:pPr>
      <w:r w:rsidRPr="00B626D5">
        <w:rPr>
          <w:rFonts w:ascii="Arial" w:hAnsi="Arial" w:cs="Arial"/>
          <w:noProof/>
          <w:sz w:val="22"/>
          <w:szCs w:val="22"/>
        </w:rPr>
        <w:t>3.</w:t>
      </w:r>
      <w:r w:rsidRPr="00B626D5">
        <w:rPr>
          <w:rFonts w:ascii="Arial" w:hAnsi="Arial" w:cs="Arial"/>
          <w:noProof/>
          <w:sz w:val="22"/>
          <w:szCs w:val="22"/>
        </w:rPr>
        <w:tab/>
        <w:t xml:space="preserve">Robinson, J.T., Thorvaldsdottir, H., Winckler, W., Guttman, M., Lander, E.S., Getz, G., and Mesirov, J.P. (2011). Integrative genomics viewer. Nat Biotechnol </w:t>
      </w:r>
      <w:r w:rsidRPr="00B626D5">
        <w:rPr>
          <w:rFonts w:ascii="Arial" w:hAnsi="Arial" w:cs="Arial"/>
          <w:i/>
          <w:noProof/>
          <w:sz w:val="22"/>
          <w:szCs w:val="22"/>
        </w:rPr>
        <w:t>29</w:t>
      </w:r>
      <w:r w:rsidRPr="00B626D5">
        <w:rPr>
          <w:rFonts w:ascii="Arial" w:hAnsi="Arial" w:cs="Arial"/>
          <w:noProof/>
          <w:sz w:val="22"/>
          <w:szCs w:val="22"/>
        </w:rPr>
        <w:t>, 24-26. 10.1038/nbt.1754.</w:t>
      </w:r>
    </w:p>
    <w:p w14:paraId="2025FA65" w14:textId="77777777" w:rsidR="004E40E7" w:rsidRPr="00B626D5" w:rsidRDefault="004E40E7" w:rsidP="004E40E7">
      <w:pPr>
        <w:pStyle w:val="EndNoteBibliography"/>
        <w:spacing w:after="0"/>
        <w:ind w:left="720" w:hanging="720"/>
        <w:jc w:val="both"/>
        <w:rPr>
          <w:rFonts w:ascii="Arial" w:hAnsi="Arial" w:cs="Arial"/>
          <w:noProof/>
          <w:sz w:val="22"/>
          <w:szCs w:val="22"/>
        </w:rPr>
      </w:pPr>
      <w:r w:rsidRPr="00B626D5">
        <w:rPr>
          <w:rFonts w:ascii="Arial" w:hAnsi="Arial" w:cs="Arial"/>
          <w:noProof/>
          <w:sz w:val="22"/>
          <w:szCs w:val="22"/>
        </w:rPr>
        <w:t>4.</w:t>
      </w:r>
      <w:r w:rsidRPr="00B626D5">
        <w:rPr>
          <w:rFonts w:ascii="Arial" w:hAnsi="Arial" w:cs="Arial"/>
          <w:noProof/>
          <w:sz w:val="22"/>
          <w:szCs w:val="22"/>
        </w:rPr>
        <w:tab/>
        <w:t xml:space="preserve">Lorenz, C., Lesimple, P., Bukowiecki, R., Zink, A., Inak, G., Mlody, B., Singh, M., Semtner, M., Mah, N., Aure, K., et al. (2017). Human iPSC-Derived Neural Progenitors Are an Effective Drug Discovery Model for Neurological mtDNA Disorders. Cell Stem Cell </w:t>
      </w:r>
      <w:r w:rsidRPr="00B626D5">
        <w:rPr>
          <w:rFonts w:ascii="Arial" w:hAnsi="Arial" w:cs="Arial"/>
          <w:i/>
          <w:noProof/>
          <w:sz w:val="22"/>
          <w:szCs w:val="22"/>
        </w:rPr>
        <w:t>20</w:t>
      </w:r>
      <w:r w:rsidRPr="00B626D5">
        <w:rPr>
          <w:rFonts w:ascii="Arial" w:hAnsi="Arial" w:cs="Arial"/>
          <w:noProof/>
          <w:sz w:val="22"/>
          <w:szCs w:val="22"/>
        </w:rPr>
        <w:t>, 659-674 e659. 10.1016/j.stem.2016.12.013.</w:t>
      </w:r>
    </w:p>
    <w:p w14:paraId="6C03B08F" w14:textId="77777777" w:rsidR="004E40E7" w:rsidRPr="00B626D5" w:rsidRDefault="004E40E7" w:rsidP="004E40E7">
      <w:pPr>
        <w:pStyle w:val="EndNoteBibliography"/>
        <w:spacing w:after="0"/>
        <w:ind w:left="720" w:hanging="720"/>
        <w:jc w:val="both"/>
        <w:rPr>
          <w:rFonts w:ascii="Arial" w:hAnsi="Arial" w:cs="Arial"/>
          <w:noProof/>
          <w:sz w:val="22"/>
          <w:szCs w:val="22"/>
        </w:rPr>
      </w:pPr>
      <w:r w:rsidRPr="00B626D5">
        <w:rPr>
          <w:rFonts w:ascii="Arial" w:hAnsi="Arial" w:cs="Arial"/>
          <w:noProof/>
          <w:sz w:val="22"/>
          <w:szCs w:val="22"/>
        </w:rPr>
        <w:t>5.</w:t>
      </w:r>
      <w:r w:rsidRPr="00B626D5">
        <w:rPr>
          <w:rFonts w:ascii="Arial" w:hAnsi="Arial" w:cs="Arial"/>
          <w:noProof/>
          <w:sz w:val="22"/>
          <w:szCs w:val="22"/>
        </w:rPr>
        <w:tab/>
        <w:t xml:space="preserve">Kruse, S.E., Watt, W.C., Marcinek, D.J., Kapur, R.P., Schenkman, K.A., and Palmiter, R.D. (2008). Mice with mitochondrial complex I deficiency develop a fatal encephalomyopathy. Cell Metab </w:t>
      </w:r>
      <w:r w:rsidRPr="00B626D5">
        <w:rPr>
          <w:rFonts w:ascii="Arial" w:hAnsi="Arial" w:cs="Arial"/>
          <w:i/>
          <w:noProof/>
          <w:sz w:val="22"/>
          <w:szCs w:val="22"/>
        </w:rPr>
        <w:t>7</w:t>
      </w:r>
      <w:r w:rsidRPr="00B626D5">
        <w:rPr>
          <w:rFonts w:ascii="Arial" w:hAnsi="Arial" w:cs="Arial"/>
          <w:noProof/>
          <w:sz w:val="22"/>
          <w:szCs w:val="22"/>
        </w:rPr>
        <w:t>, 312-320. 10.1016/j.cmet.2008.02.004.</w:t>
      </w:r>
    </w:p>
    <w:p w14:paraId="64993CCE" w14:textId="77777777" w:rsidR="004E40E7" w:rsidRPr="00B626D5" w:rsidRDefault="004E40E7" w:rsidP="004E40E7">
      <w:pPr>
        <w:pStyle w:val="EndNoteBibliography"/>
        <w:spacing w:after="0"/>
        <w:ind w:left="720" w:hanging="720"/>
        <w:jc w:val="both"/>
        <w:rPr>
          <w:rFonts w:ascii="Arial" w:hAnsi="Arial" w:cs="Arial"/>
          <w:noProof/>
          <w:sz w:val="22"/>
          <w:szCs w:val="22"/>
        </w:rPr>
      </w:pPr>
      <w:r w:rsidRPr="00B626D5">
        <w:rPr>
          <w:rFonts w:ascii="Arial" w:hAnsi="Arial" w:cs="Arial"/>
          <w:noProof/>
          <w:sz w:val="22"/>
          <w:szCs w:val="22"/>
        </w:rPr>
        <w:t>6.</w:t>
      </w:r>
      <w:r w:rsidRPr="00B626D5">
        <w:rPr>
          <w:rFonts w:ascii="Arial" w:hAnsi="Arial" w:cs="Arial"/>
          <w:noProof/>
          <w:sz w:val="22"/>
          <w:szCs w:val="22"/>
        </w:rPr>
        <w:tab/>
        <w:t xml:space="preserve">Xia, W., Veeragandham, P., Cao, Y., Xu, Y., Rhyne, T.E., Qian, J., Hung, C.W., Zhao, P., Jones, Y., Gao, H., et al. (2024). Obesity causes mitochondrial fragmentation and dysfunction in white adipocytes due to RalA activation. Nat Metab </w:t>
      </w:r>
      <w:r w:rsidRPr="00B626D5">
        <w:rPr>
          <w:rFonts w:ascii="Arial" w:hAnsi="Arial" w:cs="Arial"/>
          <w:i/>
          <w:noProof/>
          <w:sz w:val="22"/>
          <w:szCs w:val="22"/>
        </w:rPr>
        <w:t>6</w:t>
      </w:r>
      <w:r w:rsidRPr="00B626D5">
        <w:rPr>
          <w:rFonts w:ascii="Arial" w:hAnsi="Arial" w:cs="Arial"/>
          <w:noProof/>
          <w:sz w:val="22"/>
          <w:szCs w:val="22"/>
        </w:rPr>
        <w:t>, 273-289. 10.1038/s42255-024-00978-0.</w:t>
      </w:r>
    </w:p>
    <w:p w14:paraId="65BEA98A" w14:textId="77777777" w:rsidR="004E40E7" w:rsidRPr="00B626D5" w:rsidRDefault="004E40E7" w:rsidP="004E40E7">
      <w:pPr>
        <w:pStyle w:val="EndNoteBibliography"/>
        <w:spacing w:after="0"/>
        <w:ind w:left="720" w:hanging="720"/>
        <w:jc w:val="both"/>
        <w:rPr>
          <w:rFonts w:ascii="Arial" w:hAnsi="Arial" w:cs="Arial"/>
          <w:noProof/>
          <w:sz w:val="22"/>
          <w:szCs w:val="22"/>
        </w:rPr>
      </w:pPr>
      <w:r w:rsidRPr="00B626D5">
        <w:rPr>
          <w:rFonts w:ascii="Arial" w:hAnsi="Arial" w:cs="Arial"/>
          <w:noProof/>
          <w:sz w:val="22"/>
          <w:szCs w:val="22"/>
        </w:rPr>
        <w:t>7.</w:t>
      </w:r>
      <w:r w:rsidRPr="00B626D5">
        <w:rPr>
          <w:rFonts w:ascii="Arial" w:hAnsi="Arial" w:cs="Arial"/>
          <w:noProof/>
          <w:sz w:val="22"/>
          <w:szCs w:val="22"/>
        </w:rPr>
        <w:tab/>
        <w:t xml:space="preserve">Maravall, M., Mainen, Z.F., Sabatini, B.L., and Svoboda, K. (2000). Estimating intracellular calcium concentrations and buffering without wavelength ratioing. Biophys J </w:t>
      </w:r>
      <w:r w:rsidRPr="00B626D5">
        <w:rPr>
          <w:rFonts w:ascii="Arial" w:hAnsi="Arial" w:cs="Arial"/>
          <w:i/>
          <w:noProof/>
          <w:sz w:val="22"/>
          <w:szCs w:val="22"/>
        </w:rPr>
        <w:t>78</w:t>
      </w:r>
      <w:r w:rsidRPr="00B626D5">
        <w:rPr>
          <w:rFonts w:ascii="Arial" w:hAnsi="Arial" w:cs="Arial"/>
          <w:noProof/>
          <w:sz w:val="22"/>
          <w:szCs w:val="22"/>
        </w:rPr>
        <w:t>, 2655-2667. 10.1016/S0006-3495(00)76809-3.</w:t>
      </w:r>
    </w:p>
    <w:p w14:paraId="5E7AF2E4" w14:textId="77777777" w:rsidR="004E40E7" w:rsidRPr="00B626D5" w:rsidRDefault="004E40E7" w:rsidP="004E40E7">
      <w:pPr>
        <w:pStyle w:val="EndNoteBibliography"/>
        <w:spacing w:after="0"/>
        <w:ind w:left="720" w:hanging="720"/>
        <w:jc w:val="both"/>
        <w:rPr>
          <w:rFonts w:ascii="Arial" w:hAnsi="Arial" w:cs="Arial"/>
          <w:noProof/>
          <w:sz w:val="22"/>
          <w:szCs w:val="22"/>
        </w:rPr>
      </w:pPr>
      <w:r w:rsidRPr="00B626D5">
        <w:rPr>
          <w:rFonts w:ascii="Arial" w:hAnsi="Arial" w:cs="Arial"/>
          <w:noProof/>
          <w:sz w:val="22"/>
          <w:szCs w:val="22"/>
        </w:rPr>
        <w:t>8.</w:t>
      </w:r>
      <w:r w:rsidRPr="00B626D5">
        <w:rPr>
          <w:rFonts w:ascii="Arial" w:hAnsi="Arial" w:cs="Arial"/>
          <w:noProof/>
          <w:sz w:val="22"/>
          <w:szCs w:val="22"/>
        </w:rPr>
        <w:tab/>
        <w:t xml:space="preserve">Csordas, G., Golenar, T., Seifert, E.L., Kamer, K.J., Sancak, Y., Perocchi, F., Moffat, C., Weaver, D., Perez, S.F., Bogorad, R., et al. (2013). MICU1 controls both the threshold and cooperative activation of the mitochondrial Ca(2)(+) uniporter. Cell Metab </w:t>
      </w:r>
      <w:r w:rsidRPr="00B626D5">
        <w:rPr>
          <w:rFonts w:ascii="Arial" w:hAnsi="Arial" w:cs="Arial"/>
          <w:i/>
          <w:noProof/>
          <w:sz w:val="22"/>
          <w:szCs w:val="22"/>
        </w:rPr>
        <w:t>17</w:t>
      </w:r>
      <w:r w:rsidRPr="00B626D5">
        <w:rPr>
          <w:rFonts w:ascii="Arial" w:hAnsi="Arial" w:cs="Arial"/>
          <w:noProof/>
          <w:sz w:val="22"/>
          <w:szCs w:val="22"/>
        </w:rPr>
        <w:t>, 976-987. 10.1016/j.cmet.2013.04.020.</w:t>
      </w:r>
    </w:p>
    <w:p w14:paraId="2DC4F3EA" w14:textId="77777777" w:rsidR="004E40E7" w:rsidRPr="00A37FE9" w:rsidRDefault="004E40E7" w:rsidP="004E40E7">
      <w:pPr>
        <w:pStyle w:val="EndNoteBibliography"/>
        <w:spacing w:after="0"/>
        <w:ind w:left="720" w:hanging="720"/>
        <w:jc w:val="both"/>
        <w:rPr>
          <w:rFonts w:ascii="Arial" w:hAnsi="Arial" w:cs="Arial"/>
          <w:noProof/>
          <w:sz w:val="22"/>
          <w:szCs w:val="22"/>
          <w:lang w:val="de-DE"/>
        </w:rPr>
      </w:pPr>
      <w:r w:rsidRPr="00B626D5">
        <w:rPr>
          <w:rFonts w:ascii="Arial" w:hAnsi="Arial" w:cs="Arial"/>
          <w:noProof/>
          <w:sz w:val="22"/>
          <w:szCs w:val="22"/>
        </w:rPr>
        <w:t>9.</w:t>
      </w:r>
      <w:r w:rsidRPr="00B626D5">
        <w:rPr>
          <w:rFonts w:ascii="Arial" w:hAnsi="Arial" w:cs="Arial"/>
          <w:noProof/>
          <w:sz w:val="22"/>
          <w:szCs w:val="22"/>
        </w:rPr>
        <w:tab/>
        <w:t xml:space="preserve">Wacquier, B., Combettes, L., Van Nhieu, G.T., and Dupont, G. (2016). Interplay Between Intracellular Ca(2+) Oscillations and Ca(2+)-stimulated Mitochondrial Metabolism. </w:t>
      </w:r>
      <w:r w:rsidRPr="00A37FE9">
        <w:rPr>
          <w:rFonts w:ascii="Arial" w:hAnsi="Arial" w:cs="Arial"/>
          <w:noProof/>
          <w:sz w:val="22"/>
          <w:szCs w:val="22"/>
          <w:lang w:val="de-DE"/>
        </w:rPr>
        <w:t xml:space="preserve">Sci Rep </w:t>
      </w:r>
      <w:r w:rsidRPr="00A37FE9">
        <w:rPr>
          <w:rFonts w:ascii="Arial" w:hAnsi="Arial" w:cs="Arial"/>
          <w:i/>
          <w:noProof/>
          <w:sz w:val="22"/>
          <w:szCs w:val="22"/>
          <w:lang w:val="de-DE"/>
        </w:rPr>
        <w:t>6</w:t>
      </w:r>
      <w:r w:rsidRPr="00A37FE9">
        <w:rPr>
          <w:rFonts w:ascii="Arial" w:hAnsi="Arial" w:cs="Arial"/>
          <w:noProof/>
          <w:sz w:val="22"/>
          <w:szCs w:val="22"/>
          <w:lang w:val="de-DE"/>
        </w:rPr>
        <w:t>, 19316. 10.1038/srep19316.</w:t>
      </w:r>
    </w:p>
    <w:p w14:paraId="77CE1EBD" w14:textId="77777777" w:rsidR="004E40E7" w:rsidRPr="00B626D5" w:rsidRDefault="004E40E7" w:rsidP="004E40E7">
      <w:pPr>
        <w:pStyle w:val="EndNoteBibliography"/>
        <w:spacing w:after="0"/>
        <w:ind w:left="720" w:hanging="720"/>
        <w:jc w:val="both"/>
        <w:rPr>
          <w:rFonts w:ascii="Arial" w:hAnsi="Arial" w:cs="Arial"/>
          <w:noProof/>
          <w:sz w:val="22"/>
          <w:szCs w:val="22"/>
        </w:rPr>
      </w:pPr>
      <w:r w:rsidRPr="00A37FE9">
        <w:rPr>
          <w:rFonts w:ascii="Arial" w:hAnsi="Arial" w:cs="Arial"/>
          <w:noProof/>
          <w:sz w:val="22"/>
          <w:szCs w:val="22"/>
          <w:lang w:val="de-DE"/>
        </w:rPr>
        <w:t>10.</w:t>
      </w:r>
      <w:r w:rsidRPr="00A37FE9">
        <w:rPr>
          <w:rFonts w:ascii="Arial" w:hAnsi="Arial" w:cs="Arial"/>
          <w:noProof/>
          <w:sz w:val="22"/>
          <w:szCs w:val="22"/>
          <w:lang w:val="de-DE"/>
        </w:rPr>
        <w:tab/>
        <w:t xml:space="preserve">Krasemann, S., Haferkamp, U., Pfefferle, S., Woo, M.S., Heinrich, F., Schweizer, M., Appelt-Menzel, A., Cubukova, A., Barenberg, J., Leu, J., et al. </w:t>
      </w:r>
      <w:r w:rsidRPr="00B626D5">
        <w:rPr>
          <w:rFonts w:ascii="Arial" w:hAnsi="Arial" w:cs="Arial"/>
          <w:noProof/>
          <w:sz w:val="22"/>
          <w:szCs w:val="22"/>
        </w:rPr>
        <w:t xml:space="preserve">(2022). The blood-brain barrier is dysregulated in COVID-19 and serves as a CNS entry route for SARS-CoV-2. Stem Cell Reports </w:t>
      </w:r>
      <w:r w:rsidRPr="00B626D5">
        <w:rPr>
          <w:rFonts w:ascii="Arial" w:hAnsi="Arial" w:cs="Arial"/>
          <w:i/>
          <w:noProof/>
          <w:sz w:val="22"/>
          <w:szCs w:val="22"/>
        </w:rPr>
        <w:t>17</w:t>
      </w:r>
      <w:r w:rsidRPr="00B626D5">
        <w:rPr>
          <w:rFonts w:ascii="Arial" w:hAnsi="Arial" w:cs="Arial"/>
          <w:noProof/>
          <w:sz w:val="22"/>
          <w:szCs w:val="22"/>
        </w:rPr>
        <w:t>, 307-320. 10.1016/j.stemcr.2021.12.011.</w:t>
      </w:r>
    </w:p>
    <w:p w14:paraId="397E247C" w14:textId="77777777" w:rsidR="004E40E7" w:rsidRPr="00B626D5" w:rsidRDefault="004E40E7" w:rsidP="004E40E7">
      <w:pPr>
        <w:pStyle w:val="EndNoteBibliography"/>
        <w:spacing w:after="0"/>
        <w:ind w:left="720" w:hanging="720"/>
        <w:jc w:val="both"/>
        <w:rPr>
          <w:rFonts w:ascii="Arial" w:hAnsi="Arial" w:cs="Arial"/>
          <w:noProof/>
          <w:sz w:val="22"/>
          <w:szCs w:val="22"/>
        </w:rPr>
      </w:pPr>
      <w:r w:rsidRPr="00B626D5">
        <w:rPr>
          <w:rFonts w:ascii="Arial" w:hAnsi="Arial" w:cs="Arial"/>
          <w:noProof/>
          <w:sz w:val="22"/>
          <w:szCs w:val="22"/>
        </w:rPr>
        <w:t>11.</w:t>
      </w:r>
      <w:r w:rsidRPr="00B626D5">
        <w:rPr>
          <w:rFonts w:ascii="Arial" w:hAnsi="Arial" w:cs="Arial"/>
          <w:noProof/>
          <w:sz w:val="22"/>
          <w:szCs w:val="22"/>
        </w:rPr>
        <w:tab/>
        <w:t xml:space="preserve">Haferkamp, U., Hartmann, C., Abid, C.L., Brachner, A., Hochner, A., Gerhartl, A., Harwardt, B., Leckzik, S., Leu, J., Metzger, M., et al. (2023). Human isogenic cells of the neurovascular unit exert transcriptomic cell type-specific effects on a blood-brain barrier in vitro model of late-onset Alzheimer disease. Fluids Barriers CNS </w:t>
      </w:r>
      <w:r w:rsidRPr="00B626D5">
        <w:rPr>
          <w:rFonts w:ascii="Arial" w:hAnsi="Arial" w:cs="Arial"/>
          <w:i/>
          <w:noProof/>
          <w:sz w:val="22"/>
          <w:szCs w:val="22"/>
        </w:rPr>
        <w:t>20</w:t>
      </w:r>
      <w:r w:rsidRPr="00B626D5">
        <w:rPr>
          <w:rFonts w:ascii="Arial" w:hAnsi="Arial" w:cs="Arial"/>
          <w:noProof/>
          <w:sz w:val="22"/>
          <w:szCs w:val="22"/>
        </w:rPr>
        <w:t>, 78. 10.1186/s12987-023-00471-y.</w:t>
      </w:r>
    </w:p>
    <w:p w14:paraId="374A6B36" w14:textId="77777777" w:rsidR="004E40E7" w:rsidRPr="00B626D5" w:rsidRDefault="004E40E7" w:rsidP="004E40E7">
      <w:pPr>
        <w:pStyle w:val="EndNoteBibliography"/>
        <w:spacing w:after="0"/>
        <w:ind w:left="720" w:hanging="720"/>
        <w:jc w:val="both"/>
        <w:rPr>
          <w:rFonts w:ascii="Arial" w:hAnsi="Arial" w:cs="Arial"/>
          <w:noProof/>
          <w:sz w:val="22"/>
          <w:szCs w:val="22"/>
        </w:rPr>
      </w:pPr>
      <w:r w:rsidRPr="00B626D5">
        <w:rPr>
          <w:rFonts w:ascii="Arial" w:hAnsi="Arial" w:cs="Arial"/>
          <w:noProof/>
          <w:sz w:val="22"/>
          <w:szCs w:val="22"/>
        </w:rPr>
        <w:t>12.</w:t>
      </w:r>
      <w:r w:rsidRPr="00B626D5">
        <w:rPr>
          <w:rFonts w:ascii="Arial" w:hAnsi="Arial" w:cs="Arial"/>
          <w:noProof/>
          <w:sz w:val="22"/>
          <w:szCs w:val="22"/>
        </w:rPr>
        <w:tab/>
        <w:t xml:space="preserve">Appelt-Menzel, A., Cubukova, A., Gunther, K., Edenhofer, F., Piontek, J., Krause, G., Stuber, T., Walles, H., Neuhaus, W., and Metzger, M. (2017). Establishment of a Human Blood-Brain Barrier Co-culture Model Mimicking the Neurovascular Unit Using Induced Pluri- and Multipotent Stem Cells. Stem Cell Reports </w:t>
      </w:r>
      <w:r w:rsidRPr="00B626D5">
        <w:rPr>
          <w:rFonts w:ascii="Arial" w:hAnsi="Arial" w:cs="Arial"/>
          <w:i/>
          <w:noProof/>
          <w:sz w:val="22"/>
          <w:szCs w:val="22"/>
        </w:rPr>
        <w:t>8</w:t>
      </w:r>
      <w:r w:rsidRPr="00B626D5">
        <w:rPr>
          <w:rFonts w:ascii="Arial" w:hAnsi="Arial" w:cs="Arial"/>
          <w:noProof/>
          <w:sz w:val="22"/>
          <w:szCs w:val="22"/>
        </w:rPr>
        <w:t>, 894-906. 10.1016/j.stemcr.2017.02.021.</w:t>
      </w:r>
    </w:p>
    <w:p w14:paraId="3CFFB901" w14:textId="77777777" w:rsidR="004E40E7" w:rsidRPr="00B626D5" w:rsidRDefault="004E40E7" w:rsidP="004E40E7">
      <w:pPr>
        <w:pStyle w:val="EndNoteBibliography"/>
        <w:spacing w:after="0"/>
        <w:ind w:left="720" w:hanging="720"/>
        <w:jc w:val="both"/>
        <w:rPr>
          <w:rFonts w:ascii="Arial" w:hAnsi="Arial" w:cs="Arial"/>
          <w:noProof/>
          <w:sz w:val="22"/>
          <w:szCs w:val="22"/>
        </w:rPr>
      </w:pPr>
      <w:r w:rsidRPr="00B626D5">
        <w:rPr>
          <w:rFonts w:ascii="Arial" w:hAnsi="Arial" w:cs="Arial"/>
          <w:noProof/>
          <w:sz w:val="22"/>
          <w:szCs w:val="22"/>
        </w:rPr>
        <w:t>13.</w:t>
      </w:r>
      <w:r w:rsidRPr="00B626D5">
        <w:rPr>
          <w:rFonts w:ascii="Arial" w:hAnsi="Arial" w:cs="Arial"/>
          <w:noProof/>
          <w:sz w:val="22"/>
          <w:szCs w:val="22"/>
        </w:rPr>
        <w:tab/>
        <w:t xml:space="preserve">Lippmann, E.S., Al-Ahmad, A., Azarin, S.M., Palecek, S.P., and Shusta, E.V. (2014). A retinoic acid-enhanced, multicellular human blood-brain barrier model derived from stem cell sources. Sci Rep </w:t>
      </w:r>
      <w:r w:rsidRPr="00B626D5">
        <w:rPr>
          <w:rFonts w:ascii="Arial" w:hAnsi="Arial" w:cs="Arial"/>
          <w:i/>
          <w:noProof/>
          <w:sz w:val="22"/>
          <w:szCs w:val="22"/>
        </w:rPr>
        <w:t>4</w:t>
      </w:r>
      <w:r w:rsidRPr="00B626D5">
        <w:rPr>
          <w:rFonts w:ascii="Arial" w:hAnsi="Arial" w:cs="Arial"/>
          <w:noProof/>
          <w:sz w:val="22"/>
          <w:szCs w:val="22"/>
        </w:rPr>
        <w:t>, 4160. 10.1038/srep04160.</w:t>
      </w:r>
    </w:p>
    <w:p w14:paraId="396932A8" w14:textId="77777777" w:rsidR="004E40E7" w:rsidRPr="00B626D5" w:rsidRDefault="004E40E7" w:rsidP="004E40E7">
      <w:pPr>
        <w:pStyle w:val="EndNoteBibliography"/>
        <w:spacing w:after="0"/>
        <w:ind w:left="720" w:hanging="720"/>
        <w:jc w:val="both"/>
        <w:rPr>
          <w:rFonts w:ascii="Arial" w:hAnsi="Arial" w:cs="Arial"/>
          <w:noProof/>
          <w:sz w:val="22"/>
          <w:szCs w:val="22"/>
        </w:rPr>
      </w:pPr>
      <w:r w:rsidRPr="00B626D5">
        <w:rPr>
          <w:rFonts w:ascii="Arial" w:hAnsi="Arial" w:cs="Arial"/>
          <w:noProof/>
          <w:sz w:val="22"/>
          <w:szCs w:val="22"/>
        </w:rPr>
        <w:t>14.</w:t>
      </w:r>
      <w:r w:rsidRPr="00B626D5">
        <w:rPr>
          <w:rFonts w:ascii="Arial" w:hAnsi="Arial" w:cs="Arial"/>
          <w:noProof/>
          <w:sz w:val="22"/>
          <w:szCs w:val="22"/>
        </w:rPr>
        <w:tab/>
        <w:t xml:space="preserve">Zhang, J.H., Chung, T.D., and Oldenburg, K.R. (1999). A Simple Statistical Parameter for Use in Evaluation and Validation of High Throughput Screening Assays. J Biomol Screen </w:t>
      </w:r>
      <w:r w:rsidRPr="00B626D5">
        <w:rPr>
          <w:rFonts w:ascii="Arial" w:hAnsi="Arial" w:cs="Arial"/>
          <w:i/>
          <w:noProof/>
          <w:sz w:val="22"/>
          <w:szCs w:val="22"/>
        </w:rPr>
        <w:t>4</w:t>
      </w:r>
      <w:r w:rsidRPr="00B626D5">
        <w:rPr>
          <w:rFonts w:ascii="Arial" w:hAnsi="Arial" w:cs="Arial"/>
          <w:noProof/>
          <w:sz w:val="22"/>
          <w:szCs w:val="22"/>
        </w:rPr>
        <w:t>, 67-73. 10.1177/108705719900400206.</w:t>
      </w:r>
    </w:p>
    <w:p w14:paraId="13C921F6" w14:textId="77777777" w:rsidR="004E40E7" w:rsidRPr="00B626D5" w:rsidRDefault="004E40E7" w:rsidP="004E40E7">
      <w:pPr>
        <w:pStyle w:val="EndNoteBibliography"/>
        <w:spacing w:after="0"/>
        <w:ind w:left="720" w:hanging="720"/>
        <w:jc w:val="both"/>
        <w:rPr>
          <w:rFonts w:ascii="Arial" w:hAnsi="Arial" w:cs="Arial"/>
          <w:noProof/>
          <w:sz w:val="22"/>
          <w:szCs w:val="22"/>
        </w:rPr>
      </w:pPr>
      <w:r w:rsidRPr="00B626D5">
        <w:rPr>
          <w:rFonts w:ascii="Arial" w:hAnsi="Arial" w:cs="Arial"/>
          <w:noProof/>
          <w:sz w:val="22"/>
          <w:szCs w:val="22"/>
        </w:rPr>
        <w:t>15.</w:t>
      </w:r>
      <w:r w:rsidRPr="00B626D5">
        <w:rPr>
          <w:rFonts w:ascii="Arial" w:hAnsi="Arial" w:cs="Arial"/>
          <w:noProof/>
          <w:sz w:val="22"/>
          <w:szCs w:val="22"/>
        </w:rPr>
        <w:tab/>
        <w:t>Le, S., Petersilie, L., Inak, G., Menacho-Pando, C., Kafitz, K.W., Rybak-Wolf, A., Rajewsky, N., Rose, C.R., and Prigione, A. (2021). Generation of Human Brain Organoids for Mitochondrial Disease Modeling. J Vis Exp. 10.3791/62756.</w:t>
      </w:r>
    </w:p>
    <w:p w14:paraId="2F9B50C3" w14:textId="72EF6DD7" w:rsidR="00073E4F" w:rsidRDefault="004E40E7" w:rsidP="00EE649D">
      <w:pPr>
        <w:pStyle w:val="EndNoteBibliography"/>
        <w:ind w:left="720" w:hanging="720"/>
        <w:jc w:val="both"/>
      </w:pPr>
      <w:r w:rsidRPr="00B626D5">
        <w:rPr>
          <w:rFonts w:ascii="Arial" w:hAnsi="Arial" w:cs="Arial"/>
          <w:noProof/>
          <w:sz w:val="22"/>
          <w:szCs w:val="22"/>
        </w:rPr>
        <w:t>16.</w:t>
      </w:r>
      <w:r w:rsidRPr="00B626D5">
        <w:rPr>
          <w:rFonts w:ascii="Arial" w:hAnsi="Arial" w:cs="Arial"/>
          <w:noProof/>
          <w:sz w:val="22"/>
          <w:szCs w:val="22"/>
        </w:rPr>
        <w:tab/>
        <w:t xml:space="preserve">Miura, Y., Li, M.Y., Birey, F., Ikeda, K., Revah, O., Thete, M.V., Park, J.Y., Puno, A., Lee, S.H., Porteus, M.H., and Pasca, S.P. (2020). Generation of human striatal organoids and cortico-striatal assembloids from human pluripotent stem cells. Nat Biotechnol </w:t>
      </w:r>
      <w:r w:rsidRPr="00B626D5">
        <w:rPr>
          <w:rFonts w:ascii="Arial" w:hAnsi="Arial" w:cs="Arial"/>
          <w:i/>
          <w:noProof/>
          <w:sz w:val="22"/>
          <w:szCs w:val="22"/>
        </w:rPr>
        <w:t>38</w:t>
      </w:r>
      <w:r w:rsidRPr="00B626D5">
        <w:rPr>
          <w:rFonts w:ascii="Arial" w:hAnsi="Arial" w:cs="Arial"/>
          <w:noProof/>
          <w:sz w:val="22"/>
          <w:szCs w:val="22"/>
        </w:rPr>
        <w:t>, 1421-1430. 10.1038/s41587-020-00763-w.</w:t>
      </w:r>
      <w:r w:rsidRPr="00B626D5">
        <w:rPr>
          <w:rFonts w:ascii="Arial" w:hAnsi="Arial" w:cs="Arial"/>
          <w:sz w:val="22"/>
          <w:szCs w:val="22"/>
        </w:rPr>
        <w:fldChar w:fldCharType="end"/>
      </w:r>
    </w:p>
    <w:p w14:paraId="47E93DB4" w14:textId="77777777" w:rsidR="00073E4F" w:rsidRPr="00B626D5" w:rsidRDefault="00073E4F" w:rsidP="00B626D5">
      <w:pPr>
        <w:pStyle w:val="EndNoteBibliography"/>
        <w:spacing w:after="0"/>
        <w:jc w:val="both"/>
        <w:rPr>
          <w:sz w:val="22"/>
          <w:szCs w:val="22"/>
        </w:rPr>
      </w:pPr>
    </w:p>
    <w:p w14:paraId="47B56C38" w14:textId="2DDD61ED" w:rsidR="00B626D5" w:rsidRDefault="00B626D5" w:rsidP="00B626D5"/>
    <w:p w14:paraId="086870A5" w14:textId="16057B16" w:rsidR="004D49C5" w:rsidRDefault="004D49C5" w:rsidP="00B626D5">
      <w:pPr>
        <w:pStyle w:val="EndNoteBibliography"/>
        <w:spacing w:after="0"/>
        <w:jc w:val="both"/>
      </w:pPr>
    </w:p>
    <w:sectPr w:rsidR="004D49C5" w:rsidSect="00924717">
      <w:type w:val="continuous"/>
      <w:pgSz w:w="11906" w:h="16838"/>
      <w:pgMar w:top="720" w:right="720" w:bottom="720" w:left="720" w:header="708" w:footer="708" w:gutter="0"/>
      <w:cols w:space="34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550E25D" w14:textId="77777777" w:rsidR="002A761F" w:rsidRDefault="002A761F" w:rsidP="004046C4">
      <w:pPr>
        <w:spacing w:after="0" w:line="240" w:lineRule="auto"/>
      </w:pPr>
      <w:r>
        <w:separator/>
      </w:r>
    </w:p>
  </w:endnote>
  <w:endnote w:type="continuationSeparator" w:id="0">
    <w:p w14:paraId="520260EA" w14:textId="77777777" w:rsidR="002A761F" w:rsidRDefault="002A761F" w:rsidP="004046C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Arial">
    <w:panose1 w:val="020B0604020202020204"/>
    <w:charset w:val="00"/>
    <w:family w:val="swiss"/>
    <w:pitch w:val="variable"/>
    <w:sig w:usb0="E0002EFF" w:usb1="C000785B" w:usb2="00000009" w:usb3="00000000" w:csb0="000001FF" w:csb1="00000000"/>
  </w:font>
  <w:font w:name="Aptos">
    <w:altName w:val="Calibri"/>
    <w:charset w:val="00"/>
    <w:family w:val="auto"/>
    <w:pitch w:val="default"/>
  </w:font>
  <w:font w:name="Segoe UI">
    <w:panose1 w:val="020B0502040204020203"/>
    <w:charset w:val="00"/>
    <w:family w:val="swiss"/>
    <w:pitch w:val="variable"/>
    <w:sig w:usb0="E4002EFF" w:usb1="C000E47F" w:usb2="00000009" w:usb3="00000000" w:csb0="000001FF" w:csb1="00000000"/>
  </w:font>
  <w:font w:name="Yu Mincho">
    <w:altName w:val="游明朝"/>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mn-cs">
    <w:charset w:val="00"/>
    <w:family w:val="auto"/>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7AA5800" w14:textId="77777777" w:rsidR="002A761F" w:rsidRDefault="002A761F" w:rsidP="004046C4">
      <w:pPr>
        <w:spacing w:after="0" w:line="240" w:lineRule="auto"/>
      </w:pPr>
      <w:r>
        <w:separator/>
      </w:r>
    </w:p>
  </w:footnote>
  <w:footnote w:type="continuationSeparator" w:id="0">
    <w:p w14:paraId="046F11AE" w14:textId="77777777" w:rsidR="002A761F" w:rsidRDefault="002A761F" w:rsidP="004046C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7391906"/>
    <w:multiLevelType w:val="hybridMultilevel"/>
    <w:tmpl w:val="348413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70"/>
  <w:defaultTabStop w:val="708"/>
  <w:hyphenationZone w:val="425"/>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EN.Layout" w:val="&lt;ENLayout&gt;&lt;Style&gt;Cell&lt;/Style&gt;&lt;LeftDelim&gt;{&lt;/LeftDelim&gt;&lt;RightDelim&gt;}&lt;/RightDelim&gt;&lt;FontName&gt;Aptos&lt;/FontName&gt;&lt;FontSize&gt;12&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9rre0swecrswetepfz85tawyetvfdeffe0xx&quot;&gt;SURF1 Library-Converted&lt;record-ids&gt;&lt;item&gt;85&lt;/item&gt;&lt;item&gt;135&lt;/item&gt;&lt;item&gt;406&lt;/item&gt;&lt;item&gt;725&lt;/item&gt;&lt;item&gt;760&lt;/item&gt;&lt;item&gt;792&lt;/item&gt;&lt;item&gt;1235&lt;/item&gt;&lt;item&gt;1294&lt;/item&gt;&lt;item&gt;1295&lt;/item&gt;&lt;item&gt;1305&lt;/item&gt;&lt;item&gt;1337&lt;/item&gt;&lt;item&gt;1338&lt;/item&gt;&lt;item&gt;1342&lt;/item&gt;&lt;item&gt;1343&lt;/item&gt;&lt;item&gt;1344&lt;/item&gt;&lt;item&gt;1347&lt;/item&gt;&lt;/record-ids&gt;&lt;/item&gt;&lt;/Libraries&gt;"/>
  </w:docVars>
  <w:rsids>
    <w:rsidRoot w:val="00187C95"/>
    <w:rsid w:val="00073E4F"/>
    <w:rsid w:val="000D6643"/>
    <w:rsid w:val="001044A3"/>
    <w:rsid w:val="00150362"/>
    <w:rsid w:val="00187C95"/>
    <w:rsid w:val="00191206"/>
    <w:rsid w:val="00207BCB"/>
    <w:rsid w:val="002563A7"/>
    <w:rsid w:val="002A761F"/>
    <w:rsid w:val="002C028A"/>
    <w:rsid w:val="002F268F"/>
    <w:rsid w:val="004046C4"/>
    <w:rsid w:val="004538D4"/>
    <w:rsid w:val="00496BB6"/>
    <w:rsid w:val="004D49C5"/>
    <w:rsid w:val="004E40E7"/>
    <w:rsid w:val="004F71D8"/>
    <w:rsid w:val="00504EB7"/>
    <w:rsid w:val="0050636C"/>
    <w:rsid w:val="00565943"/>
    <w:rsid w:val="006338E2"/>
    <w:rsid w:val="00633A5C"/>
    <w:rsid w:val="00666B0F"/>
    <w:rsid w:val="006805D4"/>
    <w:rsid w:val="007247B3"/>
    <w:rsid w:val="007575CC"/>
    <w:rsid w:val="00760443"/>
    <w:rsid w:val="00774E0A"/>
    <w:rsid w:val="007A347B"/>
    <w:rsid w:val="007D7BF0"/>
    <w:rsid w:val="007E52B7"/>
    <w:rsid w:val="00882C62"/>
    <w:rsid w:val="0088792C"/>
    <w:rsid w:val="008C395E"/>
    <w:rsid w:val="00903353"/>
    <w:rsid w:val="00924717"/>
    <w:rsid w:val="00940319"/>
    <w:rsid w:val="00972F85"/>
    <w:rsid w:val="00A17CE2"/>
    <w:rsid w:val="00A37FE9"/>
    <w:rsid w:val="00A679DD"/>
    <w:rsid w:val="00A73C37"/>
    <w:rsid w:val="00AB0D57"/>
    <w:rsid w:val="00AC3A6A"/>
    <w:rsid w:val="00AE469F"/>
    <w:rsid w:val="00B26845"/>
    <w:rsid w:val="00B509EA"/>
    <w:rsid w:val="00B626D5"/>
    <w:rsid w:val="00BA1797"/>
    <w:rsid w:val="00BA7A80"/>
    <w:rsid w:val="00BC47CB"/>
    <w:rsid w:val="00C468AB"/>
    <w:rsid w:val="00C86573"/>
    <w:rsid w:val="00CC21E6"/>
    <w:rsid w:val="00D16BD2"/>
    <w:rsid w:val="00D17A2A"/>
    <w:rsid w:val="00DA725F"/>
    <w:rsid w:val="00DC6618"/>
    <w:rsid w:val="00DD5538"/>
    <w:rsid w:val="00DF3257"/>
    <w:rsid w:val="00DF35C9"/>
    <w:rsid w:val="00E7467D"/>
    <w:rsid w:val="00EE649D"/>
    <w:rsid w:val="00F353DA"/>
    <w:rsid w:val="00F35988"/>
    <w:rsid w:val="00FC0B78"/>
    <w:rsid w:val="00FD5FDC"/>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shapeDefaults>
    <o:shapedefaults v:ext="edit" spidmax="14337"/>
    <o:shapelayout v:ext="edit">
      <o:idmap v:ext="edit" data="1"/>
    </o:shapelayout>
  </w:shapeDefaults>
  <w:decimalSymbol w:val=","/>
  <w:listSeparator w:val=";"/>
  <w14:docId w14:val="53B0B8F9"/>
  <w15:chartTrackingRefBased/>
  <w15:docId w15:val="{2AF6A908-CE92-4AEB-B32E-6F60EFB82D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59"/>
    <w:lsdException w:name="Plain Table 2" w:uiPriority="59"/>
    <w:lsdException w:name="Grid Table Light" w:uiPriority="59"/>
    <w:lsdException w:name="Grid Table 4" w:uiPriority="59"/>
    <w:lsdException w:name="Grid Table 4 Accent 1" w:uiPriority="59"/>
    <w:lsdException w:name="Grid Table 5 Dark Accent 1" w:uiPriority="50"/>
    <w:lsdException w:name="Grid Table 4 Accent 2" w:uiPriority="59"/>
    <w:lsdException w:name="Grid Table 4 Accent 3" w:uiPriority="59"/>
    <w:lsdException w:name="Grid Table 4 Accent 4" w:uiPriority="59"/>
    <w:lsdException w:name="Grid Table 5 Dark Accent 4" w:uiPriority="50"/>
    <w:lsdException w:name="Grid Table 4 Accent 5" w:uiPriority="59"/>
    <w:lsdException w:name="Grid Table 4 Accent 6" w:uiPriority="59"/>
  </w:latentStyles>
  <w:style w:type="paragraph" w:default="1" w:styleId="Standard">
    <w:name w:val="Normal"/>
    <w:qFormat/>
    <w:rsid w:val="00187C95"/>
    <w:pPr>
      <w:spacing w:line="278" w:lineRule="auto"/>
    </w:pPr>
    <w:rPr>
      <w:sz w:val="24"/>
      <w:szCs w:val="24"/>
      <w:lang w:val="en-US"/>
      <w14:ligatures w14:val="standardContextual"/>
    </w:rPr>
  </w:style>
  <w:style w:type="paragraph" w:styleId="berschrift1">
    <w:name w:val="heading 1"/>
    <w:basedOn w:val="Standard"/>
    <w:next w:val="Standard"/>
    <w:link w:val="berschrift1Zchn"/>
    <w:uiPriority w:val="9"/>
    <w:qFormat/>
    <w:rsid w:val="00187C95"/>
    <w:pPr>
      <w:keepNext/>
      <w:keepLines/>
      <w:spacing w:before="360" w:after="80"/>
      <w:outlineLvl w:val="0"/>
    </w:pPr>
    <w:rPr>
      <w:rFonts w:asciiTheme="majorHAnsi" w:eastAsiaTheme="majorEastAsia" w:hAnsiTheme="majorHAnsi" w:cstheme="majorBidi"/>
      <w:color w:val="2E74B5" w:themeColor="accent1" w:themeShade="BF"/>
      <w:sz w:val="40"/>
      <w:szCs w:val="40"/>
    </w:rPr>
  </w:style>
  <w:style w:type="paragraph" w:styleId="berschrift2">
    <w:name w:val="heading 2"/>
    <w:basedOn w:val="Standard"/>
    <w:next w:val="Standard"/>
    <w:link w:val="berschrift2Zchn"/>
    <w:uiPriority w:val="9"/>
    <w:semiHidden/>
    <w:unhideWhenUsed/>
    <w:qFormat/>
    <w:rsid w:val="00187C95"/>
    <w:pPr>
      <w:keepNext/>
      <w:keepLines/>
      <w:spacing w:before="160" w:after="80"/>
      <w:outlineLvl w:val="1"/>
    </w:pPr>
    <w:rPr>
      <w:rFonts w:asciiTheme="majorHAnsi" w:eastAsiaTheme="majorEastAsia" w:hAnsiTheme="majorHAnsi" w:cstheme="majorBidi"/>
      <w:color w:val="2E74B5" w:themeColor="accent1" w:themeShade="BF"/>
      <w:sz w:val="32"/>
      <w:szCs w:val="32"/>
    </w:rPr>
  </w:style>
  <w:style w:type="paragraph" w:styleId="berschrift3">
    <w:name w:val="heading 3"/>
    <w:basedOn w:val="Standard"/>
    <w:next w:val="Standard"/>
    <w:link w:val="berschrift3Zchn"/>
    <w:uiPriority w:val="9"/>
    <w:semiHidden/>
    <w:unhideWhenUsed/>
    <w:qFormat/>
    <w:rsid w:val="00187C95"/>
    <w:pPr>
      <w:keepNext/>
      <w:keepLines/>
      <w:spacing w:before="160" w:after="80"/>
      <w:outlineLvl w:val="2"/>
    </w:pPr>
    <w:rPr>
      <w:rFonts w:eastAsiaTheme="majorEastAsia" w:cstheme="majorBidi"/>
      <w:color w:val="2E74B5" w:themeColor="accent1" w:themeShade="BF"/>
      <w:sz w:val="28"/>
      <w:szCs w:val="28"/>
    </w:rPr>
  </w:style>
  <w:style w:type="paragraph" w:styleId="berschrift4">
    <w:name w:val="heading 4"/>
    <w:basedOn w:val="Standard"/>
    <w:next w:val="Standard"/>
    <w:link w:val="berschrift4Zchn"/>
    <w:uiPriority w:val="9"/>
    <w:semiHidden/>
    <w:unhideWhenUsed/>
    <w:qFormat/>
    <w:rsid w:val="00187C95"/>
    <w:pPr>
      <w:keepNext/>
      <w:keepLines/>
      <w:spacing w:before="80" w:after="40"/>
      <w:outlineLvl w:val="3"/>
    </w:pPr>
    <w:rPr>
      <w:rFonts w:eastAsiaTheme="majorEastAsia" w:cstheme="majorBidi"/>
      <w:i/>
      <w:iCs/>
      <w:color w:val="2E74B5" w:themeColor="accent1" w:themeShade="BF"/>
    </w:rPr>
  </w:style>
  <w:style w:type="paragraph" w:styleId="berschrift5">
    <w:name w:val="heading 5"/>
    <w:basedOn w:val="Standard"/>
    <w:next w:val="Standard"/>
    <w:link w:val="berschrift5Zchn"/>
    <w:uiPriority w:val="9"/>
    <w:semiHidden/>
    <w:unhideWhenUsed/>
    <w:qFormat/>
    <w:rsid w:val="00187C95"/>
    <w:pPr>
      <w:keepNext/>
      <w:keepLines/>
      <w:spacing w:before="80" w:after="40"/>
      <w:outlineLvl w:val="4"/>
    </w:pPr>
    <w:rPr>
      <w:rFonts w:eastAsiaTheme="majorEastAsia" w:cstheme="majorBidi"/>
      <w:color w:val="2E74B5" w:themeColor="accent1" w:themeShade="BF"/>
    </w:rPr>
  </w:style>
  <w:style w:type="paragraph" w:styleId="berschrift6">
    <w:name w:val="heading 6"/>
    <w:basedOn w:val="Standard"/>
    <w:next w:val="Standard"/>
    <w:link w:val="berschrift6Zchn"/>
    <w:uiPriority w:val="9"/>
    <w:semiHidden/>
    <w:unhideWhenUsed/>
    <w:qFormat/>
    <w:rsid w:val="00187C95"/>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187C95"/>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187C95"/>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187C95"/>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187C95"/>
    <w:rPr>
      <w:rFonts w:asciiTheme="majorHAnsi" w:eastAsiaTheme="majorEastAsia" w:hAnsiTheme="majorHAnsi" w:cstheme="majorBidi"/>
      <w:color w:val="2E74B5" w:themeColor="accent1" w:themeShade="BF"/>
      <w:sz w:val="40"/>
      <w:szCs w:val="40"/>
      <w:lang w:val="en-US"/>
      <w14:ligatures w14:val="standardContextual"/>
    </w:rPr>
  </w:style>
  <w:style w:type="character" w:customStyle="1" w:styleId="berschrift2Zchn">
    <w:name w:val="Überschrift 2 Zchn"/>
    <w:basedOn w:val="Absatz-Standardschriftart"/>
    <w:link w:val="berschrift2"/>
    <w:uiPriority w:val="9"/>
    <w:semiHidden/>
    <w:rsid w:val="00187C95"/>
    <w:rPr>
      <w:rFonts w:asciiTheme="majorHAnsi" w:eastAsiaTheme="majorEastAsia" w:hAnsiTheme="majorHAnsi" w:cstheme="majorBidi"/>
      <w:color w:val="2E74B5" w:themeColor="accent1" w:themeShade="BF"/>
      <w:sz w:val="32"/>
      <w:szCs w:val="32"/>
      <w:lang w:val="en-US"/>
      <w14:ligatures w14:val="standardContextual"/>
    </w:rPr>
  </w:style>
  <w:style w:type="character" w:customStyle="1" w:styleId="berschrift3Zchn">
    <w:name w:val="Überschrift 3 Zchn"/>
    <w:basedOn w:val="Absatz-Standardschriftart"/>
    <w:link w:val="berschrift3"/>
    <w:uiPriority w:val="9"/>
    <w:semiHidden/>
    <w:rsid w:val="00187C95"/>
    <w:rPr>
      <w:rFonts w:eastAsiaTheme="majorEastAsia" w:cstheme="majorBidi"/>
      <w:color w:val="2E74B5" w:themeColor="accent1" w:themeShade="BF"/>
      <w:sz w:val="28"/>
      <w:szCs w:val="28"/>
      <w:lang w:val="en-US"/>
      <w14:ligatures w14:val="standardContextual"/>
    </w:rPr>
  </w:style>
  <w:style w:type="character" w:customStyle="1" w:styleId="berschrift4Zchn">
    <w:name w:val="Überschrift 4 Zchn"/>
    <w:basedOn w:val="Absatz-Standardschriftart"/>
    <w:link w:val="berschrift4"/>
    <w:uiPriority w:val="9"/>
    <w:semiHidden/>
    <w:rsid w:val="00187C95"/>
    <w:rPr>
      <w:rFonts w:eastAsiaTheme="majorEastAsia" w:cstheme="majorBidi"/>
      <w:i/>
      <w:iCs/>
      <w:color w:val="2E74B5" w:themeColor="accent1" w:themeShade="BF"/>
      <w:sz w:val="24"/>
      <w:szCs w:val="24"/>
      <w:lang w:val="en-US"/>
      <w14:ligatures w14:val="standardContextual"/>
    </w:rPr>
  </w:style>
  <w:style w:type="character" w:customStyle="1" w:styleId="berschrift5Zchn">
    <w:name w:val="Überschrift 5 Zchn"/>
    <w:basedOn w:val="Absatz-Standardschriftart"/>
    <w:link w:val="berschrift5"/>
    <w:uiPriority w:val="9"/>
    <w:semiHidden/>
    <w:rsid w:val="00187C95"/>
    <w:rPr>
      <w:rFonts w:eastAsiaTheme="majorEastAsia" w:cstheme="majorBidi"/>
      <w:color w:val="2E74B5" w:themeColor="accent1" w:themeShade="BF"/>
      <w:sz w:val="24"/>
      <w:szCs w:val="24"/>
      <w:lang w:val="en-US"/>
      <w14:ligatures w14:val="standardContextual"/>
    </w:rPr>
  </w:style>
  <w:style w:type="character" w:customStyle="1" w:styleId="berschrift6Zchn">
    <w:name w:val="Überschrift 6 Zchn"/>
    <w:basedOn w:val="Absatz-Standardschriftart"/>
    <w:link w:val="berschrift6"/>
    <w:uiPriority w:val="9"/>
    <w:semiHidden/>
    <w:rsid w:val="00187C95"/>
    <w:rPr>
      <w:rFonts w:eastAsiaTheme="majorEastAsia" w:cstheme="majorBidi"/>
      <w:i/>
      <w:iCs/>
      <w:color w:val="595959" w:themeColor="text1" w:themeTint="A6"/>
      <w:sz w:val="24"/>
      <w:szCs w:val="24"/>
      <w:lang w:val="en-US"/>
      <w14:ligatures w14:val="standardContextual"/>
    </w:rPr>
  </w:style>
  <w:style w:type="character" w:customStyle="1" w:styleId="berschrift7Zchn">
    <w:name w:val="Überschrift 7 Zchn"/>
    <w:basedOn w:val="Absatz-Standardschriftart"/>
    <w:link w:val="berschrift7"/>
    <w:uiPriority w:val="9"/>
    <w:semiHidden/>
    <w:rsid w:val="00187C95"/>
    <w:rPr>
      <w:rFonts w:eastAsiaTheme="majorEastAsia" w:cstheme="majorBidi"/>
      <w:color w:val="595959" w:themeColor="text1" w:themeTint="A6"/>
      <w:sz w:val="24"/>
      <w:szCs w:val="24"/>
      <w:lang w:val="en-US"/>
      <w14:ligatures w14:val="standardContextual"/>
    </w:rPr>
  </w:style>
  <w:style w:type="character" w:customStyle="1" w:styleId="berschrift8Zchn">
    <w:name w:val="Überschrift 8 Zchn"/>
    <w:basedOn w:val="Absatz-Standardschriftart"/>
    <w:link w:val="berschrift8"/>
    <w:uiPriority w:val="9"/>
    <w:semiHidden/>
    <w:rsid w:val="00187C95"/>
    <w:rPr>
      <w:rFonts w:eastAsiaTheme="majorEastAsia" w:cstheme="majorBidi"/>
      <w:i/>
      <w:iCs/>
      <w:color w:val="272727" w:themeColor="text1" w:themeTint="D8"/>
      <w:sz w:val="24"/>
      <w:szCs w:val="24"/>
      <w:lang w:val="en-US"/>
      <w14:ligatures w14:val="standardContextual"/>
    </w:rPr>
  </w:style>
  <w:style w:type="character" w:customStyle="1" w:styleId="berschrift9Zchn">
    <w:name w:val="Überschrift 9 Zchn"/>
    <w:basedOn w:val="Absatz-Standardschriftart"/>
    <w:link w:val="berschrift9"/>
    <w:uiPriority w:val="9"/>
    <w:semiHidden/>
    <w:rsid w:val="00187C95"/>
    <w:rPr>
      <w:rFonts w:eastAsiaTheme="majorEastAsia" w:cstheme="majorBidi"/>
      <w:color w:val="272727" w:themeColor="text1" w:themeTint="D8"/>
      <w:sz w:val="24"/>
      <w:szCs w:val="24"/>
      <w:lang w:val="en-US"/>
      <w14:ligatures w14:val="standardContextual"/>
    </w:rPr>
  </w:style>
  <w:style w:type="table" w:styleId="TabellemithellemGitternetz">
    <w:name w:val="Grid Table Light"/>
    <w:basedOn w:val="NormaleTabelle"/>
    <w:uiPriority w:val="59"/>
    <w:rsid w:val="00187C95"/>
    <w:pPr>
      <w:spacing w:after="0" w:line="240" w:lineRule="auto"/>
    </w:pPr>
    <w:rPr>
      <w:sz w:val="24"/>
      <w:szCs w:val="24"/>
      <w:lang w:val="nl-NL"/>
      <w14:ligatures w14:val="standardContextual"/>
    </w:r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Gitternetztabelle1hellAkzent1">
    <w:name w:val="Grid Table 1 Light Accent 1"/>
    <w:basedOn w:val="NormaleTabelle"/>
    <w:uiPriority w:val="99"/>
    <w:rsid w:val="00187C95"/>
    <w:pPr>
      <w:spacing w:after="0" w:line="240" w:lineRule="auto"/>
    </w:pPr>
    <w:rPr>
      <w:sz w:val="24"/>
      <w:szCs w:val="24"/>
      <w:lang w:val="nl-NL"/>
      <w14:ligatures w14:val="standardContextual"/>
    </w:rPr>
    <w:tblPr>
      <w:tblStyleRowBandSize w:val="1"/>
      <w:tblStyleColBandSize w:val="1"/>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Pr>
    <w:tblStylePr w:type="firstRow">
      <w:rPr>
        <w:b/>
        <w:color w:val="404040"/>
      </w:rPr>
      <w:tblPr/>
      <w:tcPr>
        <w:tcBorders>
          <w:bottom w:val="single" w:sz="12" w:space="0" w:color="9EC4E6"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styleId="Gitternetztabelle1hell-Akzent2">
    <w:name w:val="Grid Table 1 Light Accent 2"/>
    <w:basedOn w:val="NormaleTabelle"/>
    <w:uiPriority w:val="99"/>
    <w:rsid w:val="00187C95"/>
    <w:pPr>
      <w:spacing w:after="0" w:line="240" w:lineRule="auto"/>
    </w:pPr>
    <w:rPr>
      <w:sz w:val="24"/>
      <w:szCs w:val="24"/>
      <w:lang w:val="nl-NL"/>
      <w14:ligatures w14:val="standardContextual"/>
    </w:r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styleId="Gitternetztabelle1hellAkzent3">
    <w:name w:val="Grid Table 1 Light Accent 3"/>
    <w:basedOn w:val="NormaleTabelle"/>
    <w:uiPriority w:val="99"/>
    <w:rsid w:val="00187C95"/>
    <w:pPr>
      <w:spacing w:after="0" w:line="240" w:lineRule="auto"/>
    </w:pPr>
    <w:rPr>
      <w:sz w:val="24"/>
      <w:szCs w:val="24"/>
      <w:lang w:val="nl-NL"/>
      <w14:ligatures w14:val="standardContextual"/>
    </w:r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styleId="Gitternetztabelle1hellAkzent4">
    <w:name w:val="Grid Table 1 Light Accent 4"/>
    <w:basedOn w:val="NormaleTabelle"/>
    <w:uiPriority w:val="99"/>
    <w:rsid w:val="00187C95"/>
    <w:pPr>
      <w:spacing w:after="0" w:line="240" w:lineRule="auto"/>
    </w:pPr>
    <w:rPr>
      <w:sz w:val="24"/>
      <w:szCs w:val="24"/>
      <w:lang w:val="nl-NL"/>
      <w14:ligatures w14:val="standardContextual"/>
    </w:r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styleId="Gitternetztabelle1hellAkzent5">
    <w:name w:val="Grid Table 1 Light Accent 5"/>
    <w:basedOn w:val="NormaleTabelle"/>
    <w:uiPriority w:val="99"/>
    <w:rsid w:val="00187C95"/>
    <w:pPr>
      <w:spacing w:after="0" w:line="240" w:lineRule="auto"/>
    </w:pPr>
    <w:rPr>
      <w:sz w:val="24"/>
      <w:szCs w:val="24"/>
      <w:lang w:val="nl-NL"/>
      <w14:ligatures w14:val="standardContextual"/>
    </w:rPr>
    <w:tblPr>
      <w:tblStyleRowBandSize w:val="1"/>
      <w:tblStyleColBandSize w:val="1"/>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Pr>
    <w:tblStylePr w:type="firstRow">
      <w:rPr>
        <w:b/>
        <w:color w:val="404040"/>
      </w:rPr>
      <w:tblPr/>
      <w:tcPr>
        <w:tcBorders>
          <w:bottom w:val="single" w:sz="12" w:space="0" w:color="91ACDC"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styleId="Gitternetztabelle1hellAkzent6">
    <w:name w:val="Grid Table 1 Light Accent 6"/>
    <w:basedOn w:val="NormaleTabelle"/>
    <w:uiPriority w:val="99"/>
    <w:rsid w:val="00187C95"/>
    <w:pPr>
      <w:spacing w:after="0" w:line="240" w:lineRule="auto"/>
    </w:pPr>
    <w:rPr>
      <w:sz w:val="24"/>
      <w:szCs w:val="24"/>
      <w:lang w:val="nl-NL"/>
      <w14:ligatures w14:val="standardContextual"/>
    </w:r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styleId="Gitternetztabelle2Akzent1">
    <w:name w:val="Grid Table 2 Accent 1"/>
    <w:basedOn w:val="NormaleTabelle"/>
    <w:uiPriority w:val="99"/>
    <w:rsid w:val="00187C95"/>
    <w:pPr>
      <w:spacing w:after="0" w:line="240" w:lineRule="auto"/>
    </w:pPr>
    <w:rPr>
      <w:sz w:val="24"/>
      <w:szCs w:val="24"/>
      <w:lang w:val="nl-NL"/>
      <w14:ligatures w14:val="standardContextual"/>
    </w:rPr>
    <w:tblPr>
      <w:tblStyleRowBandSize w:val="1"/>
      <w:tblStyleColBandSize w:val="1"/>
      <w:tblBorders>
        <w:bottom w:val="single" w:sz="4" w:space="0" w:color="68A2D8" w:themeColor="accent1" w:themeTint="EA"/>
        <w:insideH w:val="single" w:sz="4" w:space="0" w:color="68A2D8" w:themeColor="accent1" w:themeTint="EA"/>
        <w:insideV w:val="single" w:sz="4" w:space="0" w:color="68A2D8" w:themeColor="accent1" w:themeTint="EA"/>
      </w:tblBorders>
    </w:tblPr>
    <w:tblStylePr w:type="firstRow">
      <w:rPr>
        <w:b/>
        <w:color w:val="404040"/>
      </w:rPr>
      <w:tblPr/>
      <w:tcPr>
        <w:tcBorders>
          <w:top w:val="none" w:sz="4" w:space="0" w:color="000000"/>
          <w:left w:val="none" w:sz="4" w:space="0" w:color="000000"/>
          <w:bottom w:val="single" w:sz="12" w:space="0" w:color="68A2D8" w:themeColor="accent1" w:themeTint="EA"/>
          <w:right w:val="none" w:sz="4" w:space="0" w:color="000000"/>
        </w:tcBorders>
        <w:shd w:val="clear" w:color="FFFFFF" w:fill="auto"/>
      </w:tcPr>
    </w:tblStylePr>
    <w:tblStylePr w:type="lastRow">
      <w:rPr>
        <w:b/>
        <w:color w:val="404040"/>
      </w:rPr>
      <w:tblPr/>
      <w:tcPr>
        <w:tcBorders>
          <w:top w:val="single" w:sz="4" w:space="0" w:color="68A2D8"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1" w:themeTint="34" w:fill="DDEAF6" w:themeFill="accent1" w:themeFillTint="34"/>
      </w:tcPr>
    </w:tblStylePr>
    <w:tblStylePr w:type="band1Horz">
      <w:rPr>
        <w:rFonts w:ascii="Arial" w:hAnsi="Arial"/>
        <w:color w:val="404040"/>
        <w:sz w:val="22"/>
      </w:rPr>
      <w:tblPr/>
      <w:tcPr>
        <w:shd w:val="clear" w:color="DDEAF6" w:themeColor="accent1" w:themeTint="34" w:fill="DDEAF6" w:themeFill="accent1" w:themeFillTint="34"/>
      </w:tcPr>
    </w:tblStylePr>
  </w:style>
  <w:style w:type="table" w:styleId="Gitternetztabelle2Akzent2">
    <w:name w:val="Grid Table 2 Accent 2"/>
    <w:basedOn w:val="NormaleTabelle"/>
    <w:uiPriority w:val="99"/>
    <w:rsid w:val="00187C95"/>
    <w:pPr>
      <w:spacing w:after="0" w:line="240" w:lineRule="auto"/>
    </w:pPr>
    <w:rPr>
      <w:sz w:val="24"/>
      <w:szCs w:val="24"/>
      <w:lang w:val="nl-NL"/>
      <w14:ligatures w14:val="standardContextual"/>
    </w:r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FFFFFF" w:fill="auto"/>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styleId="Gitternetztabelle2Akzent3">
    <w:name w:val="Grid Table 2 Accent 3"/>
    <w:basedOn w:val="NormaleTabelle"/>
    <w:uiPriority w:val="99"/>
    <w:rsid w:val="00187C95"/>
    <w:pPr>
      <w:spacing w:after="0" w:line="240" w:lineRule="auto"/>
    </w:pPr>
    <w:rPr>
      <w:sz w:val="24"/>
      <w:szCs w:val="24"/>
      <w:lang w:val="nl-NL"/>
      <w14:ligatures w14:val="standardContextual"/>
    </w:r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FFFFFF" w:fill="auto"/>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styleId="Gitternetztabelle2Akzent4">
    <w:name w:val="Grid Table 2 Accent 4"/>
    <w:basedOn w:val="NormaleTabelle"/>
    <w:uiPriority w:val="99"/>
    <w:rsid w:val="00187C95"/>
    <w:pPr>
      <w:spacing w:after="0" w:line="240" w:lineRule="auto"/>
    </w:pPr>
    <w:rPr>
      <w:sz w:val="24"/>
      <w:szCs w:val="24"/>
      <w:lang w:val="nl-NL"/>
      <w14:ligatures w14:val="standardContextual"/>
    </w:r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FFFFFF" w:fill="auto"/>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styleId="Gitternetztabelle2Akzent5">
    <w:name w:val="Grid Table 2 Accent 5"/>
    <w:basedOn w:val="NormaleTabelle"/>
    <w:uiPriority w:val="99"/>
    <w:rsid w:val="00187C95"/>
    <w:pPr>
      <w:spacing w:after="0" w:line="240" w:lineRule="auto"/>
    </w:pPr>
    <w:rPr>
      <w:sz w:val="24"/>
      <w:szCs w:val="24"/>
      <w:lang w:val="nl-NL"/>
      <w14:ligatures w14:val="standardContextual"/>
    </w:rPr>
    <w:tblPr>
      <w:tblStyleRowBandSize w:val="1"/>
      <w:tblStyleColBandSize w:val="1"/>
      <w:tblBorders>
        <w:bottom w:val="single" w:sz="4" w:space="0" w:color="4472C4" w:themeColor="accent5"/>
        <w:insideH w:val="single" w:sz="4" w:space="0" w:color="4472C4" w:themeColor="accent5"/>
        <w:insideV w:val="single" w:sz="4" w:space="0" w:color="4472C4" w:themeColor="accent5"/>
      </w:tblBorders>
    </w:tblPr>
    <w:tblStylePr w:type="firstRow">
      <w:rPr>
        <w:b/>
        <w:color w:val="404040"/>
      </w:rPr>
      <w:tblPr/>
      <w:tcPr>
        <w:tcBorders>
          <w:top w:val="none" w:sz="4" w:space="0" w:color="000000"/>
          <w:left w:val="none" w:sz="4" w:space="0" w:color="000000"/>
          <w:bottom w:val="single" w:sz="12" w:space="0" w:color="4472C4" w:themeColor="accent5"/>
          <w:right w:val="none" w:sz="4" w:space="0" w:color="000000"/>
        </w:tcBorders>
        <w:shd w:val="clear" w:color="FFFFFF" w:fill="auto"/>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styleId="Gitternetztabelle2Akzent6">
    <w:name w:val="Grid Table 2 Accent 6"/>
    <w:basedOn w:val="NormaleTabelle"/>
    <w:uiPriority w:val="99"/>
    <w:rsid w:val="00187C95"/>
    <w:pPr>
      <w:spacing w:after="0" w:line="240" w:lineRule="auto"/>
    </w:pPr>
    <w:rPr>
      <w:sz w:val="24"/>
      <w:szCs w:val="24"/>
      <w:lang w:val="nl-NL"/>
      <w14:ligatures w14:val="standardContextual"/>
    </w:r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FFFFFF" w:fill="auto"/>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Gitternetztabelle3Akzent1">
    <w:name w:val="Grid Table 3 Accent 1"/>
    <w:basedOn w:val="NormaleTabelle"/>
    <w:uiPriority w:val="99"/>
    <w:rsid w:val="00187C95"/>
    <w:pPr>
      <w:spacing w:after="0" w:line="240" w:lineRule="auto"/>
    </w:pPr>
    <w:rPr>
      <w:sz w:val="24"/>
      <w:szCs w:val="24"/>
      <w:lang w:val="nl-NL"/>
      <w14:ligatures w14:val="standardContextual"/>
    </w:rPr>
    <w:tblPr>
      <w:tblStyleRowBandSize w:val="1"/>
      <w:tblStyleColBandSize w:val="1"/>
      <w:tblBorders>
        <w:bottom w:val="single" w:sz="4" w:space="0" w:color="68A2D8" w:themeColor="accent1" w:themeTint="EA"/>
        <w:insideH w:val="single" w:sz="4" w:space="0" w:color="68A2D8" w:themeColor="accent1" w:themeTint="EA"/>
        <w:insideV w:val="single" w:sz="4" w:space="0" w:color="68A2D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DEAF6" w:themeColor="accent1" w:themeTint="34" w:fill="DDEAF6" w:themeFill="accent1" w:themeFillTint="34"/>
      </w:tcPr>
    </w:tblStylePr>
    <w:tblStylePr w:type="band1Horz">
      <w:rPr>
        <w:rFonts w:ascii="Arial" w:hAnsi="Arial"/>
        <w:color w:val="404040"/>
        <w:sz w:val="22"/>
      </w:rPr>
      <w:tblPr/>
      <w:tcPr>
        <w:shd w:val="clear" w:color="DDEAF6" w:themeColor="accent1" w:themeTint="34" w:fill="DDEAF6" w:themeFill="accent1" w:themeFillTint="34"/>
      </w:tcPr>
    </w:tblStylePr>
  </w:style>
  <w:style w:type="table" w:styleId="Gitternetztabelle3Akzent2">
    <w:name w:val="Grid Table 3 Accent 2"/>
    <w:basedOn w:val="NormaleTabelle"/>
    <w:uiPriority w:val="99"/>
    <w:rsid w:val="00187C95"/>
    <w:pPr>
      <w:spacing w:after="0" w:line="240" w:lineRule="auto"/>
    </w:pPr>
    <w:rPr>
      <w:sz w:val="24"/>
      <w:szCs w:val="24"/>
      <w:lang w:val="nl-NL"/>
      <w14:ligatures w14:val="standardContextual"/>
    </w:r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styleId="Gitternetztabelle3Akzent3">
    <w:name w:val="Grid Table 3 Accent 3"/>
    <w:basedOn w:val="NormaleTabelle"/>
    <w:uiPriority w:val="99"/>
    <w:rsid w:val="00187C95"/>
    <w:pPr>
      <w:spacing w:after="0" w:line="240" w:lineRule="auto"/>
    </w:pPr>
    <w:rPr>
      <w:sz w:val="24"/>
      <w:szCs w:val="24"/>
      <w:lang w:val="nl-NL"/>
      <w14:ligatures w14:val="standardContextual"/>
    </w:r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styleId="Gitternetztabelle3Akzent4">
    <w:name w:val="Grid Table 3 Accent 4"/>
    <w:basedOn w:val="NormaleTabelle"/>
    <w:uiPriority w:val="99"/>
    <w:rsid w:val="00187C95"/>
    <w:pPr>
      <w:spacing w:after="0" w:line="240" w:lineRule="auto"/>
    </w:pPr>
    <w:rPr>
      <w:sz w:val="24"/>
      <w:szCs w:val="24"/>
      <w:lang w:val="nl-NL"/>
      <w14:ligatures w14:val="standardContextual"/>
    </w:r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styleId="Gitternetztabelle3Akzent5">
    <w:name w:val="Grid Table 3 Accent 5"/>
    <w:basedOn w:val="NormaleTabelle"/>
    <w:uiPriority w:val="99"/>
    <w:rsid w:val="00187C95"/>
    <w:pPr>
      <w:spacing w:after="0" w:line="240" w:lineRule="auto"/>
    </w:pPr>
    <w:rPr>
      <w:sz w:val="24"/>
      <w:szCs w:val="24"/>
      <w:lang w:val="nl-NL"/>
      <w14:ligatures w14:val="standardContextual"/>
    </w:rPr>
    <w:tblPr>
      <w:tblStyleRowBandSize w:val="1"/>
      <w:tblStyleColBandSize w:val="1"/>
      <w:tblBorders>
        <w:bottom w:val="single" w:sz="4" w:space="0" w:color="4472C4" w:themeColor="accent5"/>
        <w:insideH w:val="single" w:sz="4" w:space="0" w:color="4472C4" w:themeColor="accent5"/>
        <w:insideV w:val="single" w:sz="4" w:space="0" w:color="4472C4"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styleId="Gitternetztabelle3Akzent6">
    <w:name w:val="Grid Table 3 Accent 6"/>
    <w:basedOn w:val="NormaleTabelle"/>
    <w:uiPriority w:val="99"/>
    <w:rsid w:val="00187C95"/>
    <w:pPr>
      <w:spacing w:after="0" w:line="240" w:lineRule="auto"/>
    </w:pPr>
    <w:rPr>
      <w:sz w:val="24"/>
      <w:szCs w:val="24"/>
      <w:lang w:val="nl-NL"/>
      <w14:ligatures w14:val="standardContextual"/>
    </w:r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Gitternetztabelle4Akzent1">
    <w:name w:val="Grid Table 4 Accent 1"/>
    <w:basedOn w:val="NormaleTabelle"/>
    <w:uiPriority w:val="59"/>
    <w:rsid w:val="00187C95"/>
    <w:pPr>
      <w:spacing w:after="0" w:line="240" w:lineRule="auto"/>
    </w:pPr>
    <w:rPr>
      <w:sz w:val="24"/>
      <w:szCs w:val="24"/>
      <w:lang w:val="nl-NL"/>
      <w14:ligatures w14:val="standardContextual"/>
    </w:rPr>
    <w:tblPr>
      <w:tblStyleRowBandSize w:val="1"/>
      <w:tblStyleColBandSize w:val="1"/>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insideV w:val="single" w:sz="4" w:space="0" w:color="A2C6E7" w:themeColor="accent1" w:themeTint="90"/>
      </w:tblBorders>
    </w:tblPr>
    <w:tblStylePr w:type="firstRow">
      <w:rPr>
        <w:rFonts w:ascii="Arial" w:hAnsi="Arial"/>
        <w:b/>
        <w:color w:val="FFFFFF"/>
        <w:sz w:val="22"/>
      </w:rPr>
      <w:tblPr/>
      <w:tcPr>
        <w:tcBorders>
          <w:top w:val="single" w:sz="4" w:space="0" w:color="68A2D8" w:themeColor="accent1" w:themeTint="EA"/>
          <w:left w:val="single" w:sz="4" w:space="0" w:color="68A2D8" w:themeColor="accent1" w:themeTint="EA"/>
          <w:bottom w:val="single" w:sz="4" w:space="0" w:color="68A2D8" w:themeColor="accent1" w:themeTint="EA"/>
          <w:right w:val="single" w:sz="4" w:space="0" w:color="68A2D8" w:themeColor="accent1" w:themeTint="EA"/>
        </w:tcBorders>
        <w:shd w:val="clear" w:color="68A2D8" w:themeColor="accent1" w:themeTint="EA" w:fill="68A2D8" w:themeFill="accent1" w:themeFillTint="EA"/>
      </w:tcPr>
    </w:tblStylePr>
    <w:tblStylePr w:type="lastRow">
      <w:rPr>
        <w:b/>
        <w:color w:val="404040"/>
      </w:rPr>
      <w:tblPr/>
      <w:tcPr>
        <w:tcBorders>
          <w:top w:val="single" w:sz="4" w:space="0" w:color="68A2D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EEBF6" w:themeColor="accent1" w:themeTint="32" w:fill="DEEBF6" w:themeFill="accent1" w:themeFillTint="32"/>
      </w:tcPr>
    </w:tblStylePr>
    <w:tblStylePr w:type="band1Horz">
      <w:rPr>
        <w:rFonts w:ascii="Arial" w:hAnsi="Arial"/>
        <w:color w:val="404040"/>
        <w:sz w:val="22"/>
      </w:rPr>
      <w:tblPr/>
      <w:tcPr>
        <w:shd w:val="clear" w:color="DEEBF6" w:themeColor="accent1" w:themeTint="32" w:fill="DEEBF6" w:themeFill="accent1" w:themeFillTint="32"/>
      </w:tcPr>
    </w:tblStylePr>
  </w:style>
  <w:style w:type="table" w:styleId="Gitternetztabelle4Akzent2">
    <w:name w:val="Grid Table 4 Accent 2"/>
    <w:basedOn w:val="NormaleTabelle"/>
    <w:uiPriority w:val="59"/>
    <w:rsid w:val="00187C95"/>
    <w:pPr>
      <w:spacing w:after="0" w:line="240" w:lineRule="auto"/>
    </w:pPr>
    <w:rPr>
      <w:sz w:val="24"/>
      <w:szCs w:val="24"/>
      <w:lang w:val="nl-NL"/>
      <w14:ligatures w14:val="standardContextual"/>
    </w:r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F4B184" w:themeColor="accent2" w:themeTint="97"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styleId="Gitternetztabelle4Akzent3">
    <w:name w:val="Grid Table 4 Accent 3"/>
    <w:basedOn w:val="NormaleTabelle"/>
    <w:uiPriority w:val="59"/>
    <w:rsid w:val="00187C95"/>
    <w:pPr>
      <w:spacing w:after="0" w:line="240" w:lineRule="auto"/>
    </w:pPr>
    <w:rPr>
      <w:sz w:val="24"/>
      <w:szCs w:val="24"/>
      <w:lang w:val="nl-NL"/>
      <w14:ligatures w14:val="standardContextual"/>
    </w:r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5A5A5" w:themeColor="accent3" w:themeTint="FE"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styleId="Gitternetztabelle4Akzent4">
    <w:name w:val="Grid Table 4 Accent 4"/>
    <w:basedOn w:val="NormaleTabelle"/>
    <w:uiPriority w:val="59"/>
    <w:rsid w:val="00187C95"/>
    <w:pPr>
      <w:spacing w:after="0" w:line="240" w:lineRule="auto"/>
    </w:pPr>
    <w:rPr>
      <w:sz w:val="24"/>
      <w:szCs w:val="24"/>
      <w:lang w:val="nl-NL"/>
      <w14:ligatures w14:val="standardContextual"/>
    </w:r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FFD865" w:themeColor="accent4" w:themeTint="9A"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styleId="Gitternetztabelle4Akzent5">
    <w:name w:val="Grid Table 4 Accent 5"/>
    <w:basedOn w:val="NormaleTabelle"/>
    <w:uiPriority w:val="59"/>
    <w:rsid w:val="00187C95"/>
    <w:pPr>
      <w:spacing w:after="0" w:line="240" w:lineRule="auto"/>
    </w:pPr>
    <w:rPr>
      <w:sz w:val="24"/>
      <w:szCs w:val="24"/>
      <w:lang w:val="nl-NL"/>
      <w14:ligatures w14:val="standardContextual"/>
    </w:rPr>
    <w:tblPr>
      <w:tblStyleRowBandSize w:val="1"/>
      <w:tblStyleColBandSize w:val="1"/>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Pr>
    <w:tblStylePr w:type="firstRow">
      <w:rPr>
        <w:rFonts w:ascii="Arial" w:hAnsi="Arial"/>
        <w:b/>
        <w:color w:val="FFFFFF"/>
        <w:sz w:val="22"/>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tcBorders>
        <w:shd w:val="clear" w:color="4472C4" w:themeColor="accent5" w:fill="4472C4" w:themeFill="accent5"/>
      </w:tcPr>
    </w:tblStylePr>
    <w:tblStylePr w:type="lastRow">
      <w:rPr>
        <w:b/>
        <w:color w:val="404040"/>
      </w:rPr>
      <w:tblPr/>
      <w:tcPr>
        <w:tcBorders>
          <w:top w:val="single" w:sz="4" w:space="0" w:color="4472C4"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styleId="Gitternetztabelle4Akzent6">
    <w:name w:val="Grid Table 4 Accent 6"/>
    <w:basedOn w:val="NormaleTabelle"/>
    <w:uiPriority w:val="59"/>
    <w:rsid w:val="00187C95"/>
    <w:pPr>
      <w:spacing w:after="0" w:line="240" w:lineRule="auto"/>
    </w:pPr>
    <w:rPr>
      <w:sz w:val="24"/>
      <w:szCs w:val="24"/>
      <w:lang w:val="nl-NL"/>
      <w14:ligatures w14:val="standardContextual"/>
    </w:r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70AD47" w:themeColor="accent6"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Gitternetztabelle5dunkelAkzent2">
    <w:name w:val="Grid Table 5 Dark Accent 2"/>
    <w:basedOn w:val="NormaleTabelle"/>
    <w:uiPriority w:val="99"/>
    <w:rsid w:val="00187C95"/>
    <w:pPr>
      <w:spacing w:after="0" w:line="240" w:lineRule="auto"/>
    </w:pPr>
    <w:rPr>
      <w:sz w:val="24"/>
      <w:szCs w:val="24"/>
      <w:lang w:val="nl-NL"/>
      <w14:ligatures w14:val="standardContextual"/>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BE5D6" w:themeColor="accent2" w:themeTint="32" w:fill="FBE5D6" w:themeFill="accent2" w:themeFillTint="32"/>
    </w:tblPr>
    <w:tblStylePr w:type="firstRow">
      <w:rPr>
        <w:rFonts w:ascii="Arial" w:hAnsi="Arial"/>
        <w:b/>
        <w:color w:val="FFFFFF"/>
        <w:sz w:val="22"/>
      </w:rPr>
      <w:tblPr/>
      <w:tcPr>
        <w:shd w:val="clear" w:color="ED7D31" w:themeColor="accent2" w:fill="ED7D31" w:themeFill="accent2"/>
      </w:tcPr>
    </w:tblStylePr>
    <w:tblStylePr w:type="lastRow">
      <w:rPr>
        <w:rFonts w:ascii="Arial" w:hAnsi="Arial"/>
        <w:b/>
        <w:color w:val="FFFFFF"/>
        <w:sz w:val="22"/>
      </w:rPr>
      <w:tblPr/>
      <w:tcPr>
        <w:tcBorders>
          <w:top w:val="single" w:sz="4" w:space="0" w:color="FFFFFF" w:themeColor="light1"/>
        </w:tcBorders>
        <w:shd w:val="clear" w:color="ED7D31" w:themeColor="accent2" w:fill="ED7D31" w:themeFill="accent2"/>
      </w:tcPr>
    </w:tblStylePr>
    <w:tblStylePr w:type="firstCol">
      <w:rPr>
        <w:rFonts w:ascii="Arial" w:hAnsi="Arial"/>
        <w:b/>
        <w:color w:val="FFFFFF"/>
        <w:sz w:val="22"/>
      </w:rPr>
      <w:tblPr/>
      <w:tcPr>
        <w:shd w:val="clear" w:color="ED7D31" w:themeColor="accent2" w:fill="ED7D31" w:themeFill="accent2"/>
      </w:tcPr>
    </w:tblStylePr>
    <w:tblStylePr w:type="lastCol">
      <w:rPr>
        <w:rFonts w:ascii="Arial" w:hAnsi="Arial"/>
        <w:b/>
        <w:color w:val="FFFFFF"/>
        <w:sz w:val="22"/>
      </w:rPr>
      <w:tblPr/>
      <w:tcPr>
        <w:shd w:val="clear" w:color="ED7D31" w:themeColor="accent2" w:fill="ED7D31" w:themeFill="accent2"/>
      </w:tcPr>
    </w:tblStylePr>
    <w:tblStylePr w:type="band1Vert">
      <w:tblPr/>
      <w:tcPr>
        <w:shd w:val="clear" w:color="F6C3A0" w:themeColor="accent2" w:themeTint="75" w:fill="F6C3A0" w:themeFill="accent2" w:themeFillTint="75"/>
      </w:tcPr>
    </w:tblStylePr>
    <w:tblStylePr w:type="band1Horz">
      <w:tblPr/>
      <w:tcPr>
        <w:shd w:val="clear" w:color="F6C3A0" w:themeColor="accent2" w:themeTint="75" w:fill="F6C3A0" w:themeFill="accent2" w:themeFillTint="75"/>
      </w:tcPr>
    </w:tblStylePr>
  </w:style>
  <w:style w:type="table" w:styleId="Gitternetztabelle5dunkelAkzent3">
    <w:name w:val="Grid Table 5 Dark Accent 3"/>
    <w:basedOn w:val="NormaleTabelle"/>
    <w:uiPriority w:val="99"/>
    <w:rsid w:val="00187C95"/>
    <w:pPr>
      <w:spacing w:after="0" w:line="240" w:lineRule="auto"/>
    </w:pPr>
    <w:rPr>
      <w:sz w:val="24"/>
      <w:szCs w:val="24"/>
      <w:lang w:val="nl-NL"/>
      <w14:ligatures w14:val="standardContextual"/>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CECEC" w:themeColor="accent3" w:themeTint="34" w:fill="ECECEC" w:themeFill="accent3" w:themeFillTint="34"/>
    </w:tblPr>
    <w:tblStylePr w:type="firstRow">
      <w:rPr>
        <w:rFonts w:ascii="Arial" w:hAnsi="Arial"/>
        <w:b/>
        <w:color w:val="FFFFFF"/>
        <w:sz w:val="22"/>
      </w:rPr>
      <w:tblPr/>
      <w:tcPr>
        <w:shd w:val="clear" w:color="A5A5A5" w:themeColor="accent3" w:fill="A5A5A5" w:themeFill="accent3"/>
      </w:tcPr>
    </w:tblStylePr>
    <w:tblStylePr w:type="lastRow">
      <w:rPr>
        <w:rFonts w:ascii="Arial" w:hAnsi="Arial"/>
        <w:b/>
        <w:color w:val="FFFFFF"/>
        <w:sz w:val="22"/>
      </w:rPr>
      <w:tblPr/>
      <w:tcPr>
        <w:tcBorders>
          <w:top w:val="single" w:sz="4" w:space="0" w:color="FFFFFF" w:themeColor="light1"/>
        </w:tcBorders>
        <w:shd w:val="clear" w:color="A5A5A5" w:themeColor="accent3" w:fill="A5A5A5" w:themeFill="accent3"/>
      </w:tcPr>
    </w:tblStylePr>
    <w:tblStylePr w:type="firstCol">
      <w:rPr>
        <w:rFonts w:ascii="Arial" w:hAnsi="Arial"/>
        <w:b/>
        <w:color w:val="FFFFFF"/>
        <w:sz w:val="22"/>
      </w:rPr>
      <w:tblPr/>
      <w:tcPr>
        <w:shd w:val="clear" w:color="A5A5A5" w:themeColor="accent3" w:fill="A5A5A5" w:themeFill="accent3"/>
      </w:tcPr>
    </w:tblStylePr>
    <w:tblStylePr w:type="lastCol">
      <w:rPr>
        <w:rFonts w:ascii="Arial" w:hAnsi="Arial"/>
        <w:b/>
        <w:color w:val="FFFFFF"/>
        <w:sz w:val="22"/>
      </w:rPr>
      <w:tblPr/>
      <w:tcPr>
        <w:shd w:val="clear" w:color="A5A5A5" w:themeColor="accent3" w:fill="A5A5A5" w:themeFill="accent3"/>
      </w:tcPr>
    </w:tblStylePr>
    <w:tblStylePr w:type="band1Vert">
      <w:tblPr/>
      <w:tcPr>
        <w:shd w:val="clear" w:color="D5D5D5" w:themeColor="accent3" w:themeTint="75" w:fill="D5D5D5" w:themeFill="accent3" w:themeFillTint="75"/>
      </w:tcPr>
    </w:tblStylePr>
    <w:tblStylePr w:type="band1Horz">
      <w:tblPr/>
      <w:tcPr>
        <w:shd w:val="clear" w:color="D5D5D5" w:themeColor="accent3" w:themeTint="75" w:fill="D5D5D5" w:themeFill="accent3" w:themeFillTint="75"/>
      </w:tcPr>
    </w:tblStylePr>
  </w:style>
  <w:style w:type="table" w:styleId="Gitternetztabelle5dunkelAkzent5">
    <w:name w:val="Grid Table 5 Dark Accent 5"/>
    <w:basedOn w:val="NormaleTabelle"/>
    <w:uiPriority w:val="99"/>
    <w:rsid w:val="00187C95"/>
    <w:pPr>
      <w:spacing w:after="0" w:line="240" w:lineRule="auto"/>
    </w:pPr>
    <w:rPr>
      <w:sz w:val="24"/>
      <w:szCs w:val="24"/>
      <w:lang w:val="nl-NL"/>
      <w14:ligatures w14:val="standardContextual"/>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E2F3" w:themeColor="accent5" w:themeTint="34" w:fill="D8E2F3" w:themeFill="accent5" w:themeFillTint="34"/>
    </w:tblPr>
    <w:tblStylePr w:type="firstRow">
      <w:rPr>
        <w:rFonts w:ascii="Arial" w:hAnsi="Arial"/>
        <w:b/>
        <w:color w:val="FFFFFF"/>
        <w:sz w:val="22"/>
      </w:rPr>
      <w:tblPr/>
      <w:tcPr>
        <w:shd w:val="clear" w:color="4472C4" w:themeColor="accent5" w:fill="4472C4" w:themeFill="accent5"/>
      </w:tcPr>
    </w:tblStylePr>
    <w:tblStylePr w:type="lastRow">
      <w:rPr>
        <w:rFonts w:ascii="Arial" w:hAnsi="Arial"/>
        <w:b/>
        <w:color w:val="FFFFFF"/>
        <w:sz w:val="22"/>
      </w:rPr>
      <w:tblPr/>
      <w:tcPr>
        <w:tcBorders>
          <w:top w:val="single" w:sz="4" w:space="0" w:color="FFFFFF" w:themeColor="light1"/>
        </w:tcBorders>
        <w:shd w:val="clear" w:color="4472C4" w:themeColor="accent5" w:fill="4472C4" w:themeFill="accent5"/>
      </w:tcPr>
    </w:tblStylePr>
    <w:tblStylePr w:type="firstCol">
      <w:rPr>
        <w:rFonts w:ascii="Arial" w:hAnsi="Arial"/>
        <w:b/>
        <w:color w:val="FFFFFF"/>
        <w:sz w:val="22"/>
      </w:rPr>
      <w:tblPr/>
      <w:tcPr>
        <w:shd w:val="clear" w:color="4472C4" w:themeColor="accent5" w:fill="4472C4" w:themeFill="accent5"/>
      </w:tcPr>
    </w:tblStylePr>
    <w:tblStylePr w:type="lastCol">
      <w:rPr>
        <w:rFonts w:ascii="Arial" w:hAnsi="Arial"/>
        <w:b/>
        <w:color w:val="FFFFFF"/>
        <w:sz w:val="22"/>
      </w:rPr>
      <w:tblPr/>
      <w:tcPr>
        <w:shd w:val="clear" w:color="4472C4" w:themeColor="accent5" w:fill="4472C4" w:themeFill="accent5"/>
      </w:tcPr>
    </w:tblStylePr>
    <w:tblStylePr w:type="band1Vert">
      <w:tblPr/>
      <w:tcPr>
        <w:shd w:val="clear" w:color="A9BEE4" w:themeColor="accent5" w:themeTint="75" w:fill="A9BEE4" w:themeFill="accent5" w:themeFillTint="75"/>
      </w:tcPr>
    </w:tblStylePr>
    <w:tblStylePr w:type="band1Horz">
      <w:tblPr/>
      <w:tcPr>
        <w:shd w:val="clear" w:color="A9BEE4" w:themeColor="accent5" w:themeTint="75" w:fill="A9BEE4" w:themeFill="accent5" w:themeFillTint="75"/>
      </w:tcPr>
    </w:tblStylePr>
  </w:style>
  <w:style w:type="table" w:styleId="Gitternetztabelle5dunkelAkzent6">
    <w:name w:val="Grid Table 5 Dark Accent 6"/>
    <w:basedOn w:val="NormaleTabelle"/>
    <w:uiPriority w:val="99"/>
    <w:rsid w:val="00187C95"/>
    <w:pPr>
      <w:spacing w:after="0" w:line="240" w:lineRule="auto"/>
    </w:pPr>
    <w:rPr>
      <w:sz w:val="24"/>
      <w:szCs w:val="24"/>
      <w:lang w:val="nl-NL"/>
      <w14:ligatures w14:val="standardContextual"/>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1EFD8" w:themeColor="accent6" w:themeTint="34" w:fill="E1EFD8" w:themeFill="accent6" w:themeFillTint="34"/>
    </w:tblPr>
    <w:tblStylePr w:type="firstRow">
      <w:rPr>
        <w:rFonts w:ascii="Arial" w:hAnsi="Arial"/>
        <w:b/>
        <w:color w:val="FFFFFF"/>
        <w:sz w:val="22"/>
      </w:rPr>
      <w:tblPr/>
      <w:tcPr>
        <w:shd w:val="clear" w:color="70AD47" w:themeColor="accent6" w:fill="70AD47" w:themeFill="accent6"/>
      </w:tcPr>
    </w:tblStylePr>
    <w:tblStylePr w:type="lastRow">
      <w:rPr>
        <w:rFonts w:ascii="Arial" w:hAnsi="Arial"/>
        <w:b/>
        <w:color w:val="FFFFFF"/>
        <w:sz w:val="22"/>
      </w:rPr>
      <w:tblPr/>
      <w:tcPr>
        <w:tcBorders>
          <w:top w:val="single" w:sz="4" w:space="0" w:color="FFFFFF" w:themeColor="light1"/>
        </w:tcBorders>
        <w:shd w:val="clear" w:color="70AD47" w:themeColor="accent6" w:fill="70AD47" w:themeFill="accent6"/>
      </w:tcPr>
    </w:tblStylePr>
    <w:tblStylePr w:type="firstCol">
      <w:rPr>
        <w:rFonts w:ascii="Arial" w:hAnsi="Arial"/>
        <w:b/>
        <w:color w:val="FFFFFF"/>
        <w:sz w:val="22"/>
      </w:rPr>
      <w:tblPr/>
      <w:tcPr>
        <w:shd w:val="clear" w:color="70AD47" w:themeColor="accent6" w:fill="70AD47" w:themeFill="accent6"/>
      </w:tcPr>
    </w:tblStylePr>
    <w:tblStylePr w:type="lastCol">
      <w:rPr>
        <w:rFonts w:ascii="Arial" w:hAnsi="Arial"/>
        <w:b/>
        <w:color w:val="FFFFFF"/>
        <w:sz w:val="22"/>
      </w:rPr>
      <w:tblPr/>
      <w:tcPr>
        <w:shd w:val="clear" w:color="70AD47" w:themeColor="accent6" w:fill="70AD47" w:themeFill="accent6"/>
      </w:tcPr>
    </w:tblStylePr>
    <w:tblStylePr w:type="band1Vert">
      <w:tblPr/>
      <w:tcPr>
        <w:shd w:val="clear" w:color="BCDBA8" w:themeColor="accent6" w:themeTint="75" w:fill="BCDBA8" w:themeFill="accent6" w:themeFillTint="75"/>
      </w:tcPr>
    </w:tblStylePr>
    <w:tblStylePr w:type="band1Horz">
      <w:tblPr/>
      <w:tcPr>
        <w:shd w:val="clear" w:color="BCDBA8" w:themeColor="accent6" w:themeTint="75" w:fill="BCDBA8" w:themeFill="accent6" w:themeFillTint="75"/>
      </w:tcPr>
    </w:tblStylePr>
  </w:style>
  <w:style w:type="table" w:styleId="Gitternetztabelle6farbigAkzent1">
    <w:name w:val="Grid Table 6 Colorful Accent 1"/>
    <w:basedOn w:val="NormaleTabelle"/>
    <w:uiPriority w:val="99"/>
    <w:rsid w:val="00187C95"/>
    <w:pPr>
      <w:spacing w:after="0" w:line="240" w:lineRule="auto"/>
    </w:pPr>
    <w:rPr>
      <w:sz w:val="24"/>
      <w:szCs w:val="24"/>
      <w:lang w:val="nl-NL"/>
      <w14:ligatures w14:val="standardContextual"/>
    </w:rPr>
    <w:tblPr>
      <w:tblStyleRowBandSize w:val="1"/>
      <w:tblStyleColBandSize w:val="1"/>
      <w:tblBorders>
        <w:top w:val="single" w:sz="4" w:space="0" w:color="ACCCEA" w:themeColor="accent1" w:themeTint="80"/>
        <w:left w:val="single" w:sz="4" w:space="0" w:color="ACCCEA" w:themeColor="accent1" w:themeTint="80"/>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Pr>
    <w:tblStylePr w:type="firstRow">
      <w:rPr>
        <w:b/>
        <w:color w:val="ACCCEA" w:themeColor="accent1" w:themeTint="80" w:themeShade="95"/>
      </w:rPr>
      <w:tblPr/>
      <w:tcPr>
        <w:tcBorders>
          <w:bottom w:val="single" w:sz="12" w:space="0" w:color="ACCCEA" w:themeColor="accent1" w:themeTint="80"/>
        </w:tcBorders>
      </w:tcPr>
    </w:tblStylePr>
    <w:tblStylePr w:type="lastRow">
      <w:rPr>
        <w:b/>
        <w:color w:val="ACCCEA" w:themeColor="accent1" w:themeTint="80" w:themeShade="95"/>
      </w:rPr>
    </w:tblStylePr>
    <w:tblStylePr w:type="firstCol">
      <w:rPr>
        <w:b/>
        <w:color w:val="ACCCEA" w:themeColor="accent1" w:themeTint="80" w:themeShade="95"/>
      </w:rPr>
    </w:tblStylePr>
    <w:tblStylePr w:type="lastCol">
      <w:rPr>
        <w:b/>
        <w:color w:val="ACCCEA" w:themeColor="accent1" w:themeTint="80" w:themeShade="95"/>
      </w:rPr>
    </w:tblStylePr>
    <w:tblStylePr w:type="band1Vert">
      <w:tblPr/>
      <w:tcPr>
        <w:shd w:val="clear" w:color="DDEAF6" w:themeColor="accent1" w:themeTint="34" w:fill="DDEAF6" w:themeFill="accent1" w:themeFillTint="34"/>
      </w:tcPr>
    </w:tblStylePr>
    <w:tblStylePr w:type="band1Horz">
      <w:rPr>
        <w:rFonts w:ascii="Arial" w:hAnsi="Arial"/>
        <w:color w:val="ACCCEA" w:themeColor="accent1" w:themeTint="80" w:themeShade="95"/>
        <w:sz w:val="22"/>
      </w:rPr>
      <w:tblPr/>
      <w:tcPr>
        <w:shd w:val="clear" w:color="DDEAF6" w:themeColor="accent1" w:themeTint="34" w:fill="DDEAF6" w:themeFill="accent1" w:themeFillTint="34"/>
      </w:tcPr>
    </w:tblStylePr>
    <w:tblStylePr w:type="band2Horz">
      <w:rPr>
        <w:rFonts w:ascii="Arial" w:hAnsi="Arial"/>
        <w:color w:val="ACCCEA" w:themeColor="accent1" w:themeTint="80" w:themeShade="95"/>
        <w:sz w:val="22"/>
      </w:rPr>
    </w:tblStylePr>
  </w:style>
  <w:style w:type="table" w:styleId="Gitternetztabelle6farbigAkzent2">
    <w:name w:val="Grid Table 6 Colorful Accent 2"/>
    <w:basedOn w:val="NormaleTabelle"/>
    <w:uiPriority w:val="99"/>
    <w:rsid w:val="00187C95"/>
    <w:pPr>
      <w:spacing w:after="0" w:line="240" w:lineRule="auto"/>
    </w:pPr>
    <w:rPr>
      <w:sz w:val="24"/>
      <w:szCs w:val="24"/>
      <w:lang w:val="nl-NL"/>
      <w14:ligatures w14:val="standardContextual"/>
    </w:r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styleId="Gitternetztabelle6farbigAkzent3">
    <w:name w:val="Grid Table 6 Colorful Accent 3"/>
    <w:basedOn w:val="NormaleTabelle"/>
    <w:uiPriority w:val="99"/>
    <w:rsid w:val="00187C95"/>
    <w:pPr>
      <w:spacing w:after="0" w:line="240" w:lineRule="auto"/>
    </w:pPr>
    <w:rPr>
      <w:sz w:val="24"/>
      <w:szCs w:val="24"/>
      <w:lang w:val="nl-NL"/>
      <w14:ligatures w14:val="standardContextual"/>
    </w:rPr>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styleId="Gitternetztabelle6farbigAkzent4">
    <w:name w:val="Grid Table 6 Colorful Accent 4"/>
    <w:basedOn w:val="NormaleTabelle"/>
    <w:uiPriority w:val="99"/>
    <w:rsid w:val="00187C95"/>
    <w:pPr>
      <w:spacing w:after="0" w:line="240" w:lineRule="auto"/>
    </w:pPr>
    <w:rPr>
      <w:sz w:val="24"/>
      <w:szCs w:val="24"/>
      <w:lang w:val="nl-NL"/>
      <w14:ligatures w14:val="standardContextual"/>
    </w:r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styleId="Gitternetztabelle6farbigAkzent5">
    <w:name w:val="Grid Table 6 Colorful Accent 5"/>
    <w:basedOn w:val="NormaleTabelle"/>
    <w:uiPriority w:val="99"/>
    <w:rsid w:val="00187C95"/>
    <w:pPr>
      <w:spacing w:after="0" w:line="240" w:lineRule="auto"/>
    </w:pPr>
    <w:rPr>
      <w:sz w:val="24"/>
      <w:szCs w:val="24"/>
      <w:lang w:val="nl-NL"/>
      <w14:ligatures w14:val="standardContextual"/>
    </w:rPr>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insideH w:val="single" w:sz="4" w:space="0" w:color="4472C4" w:themeColor="accent5"/>
        <w:insideV w:val="single" w:sz="4" w:space="0" w:color="4472C4" w:themeColor="accent5"/>
      </w:tblBorders>
    </w:tblPr>
    <w:tblStylePr w:type="firstRow">
      <w:rPr>
        <w:b/>
        <w:color w:val="254175" w:themeColor="accent5" w:themeShade="95"/>
      </w:rPr>
      <w:tblPr/>
      <w:tcPr>
        <w:tcBorders>
          <w:bottom w:val="single" w:sz="12" w:space="0" w:color="4472C4" w:themeColor="accent5"/>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D8E2F3" w:themeColor="accent5" w:themeTint="34" w:fill="D8E2F3" w:themeFill="accent5" w:themeFillTint="34"/>
      </w:tcPr>
    </w:tblStylePr>
    <w:tblStylePr w:type="band1Horz">
      <w:rPr>
        <w:rFonts w:ascii="Arial" w:hAnsi="Arial"/>
        <w:color w:val="254175" w:themeColor="accent5" w:themeShade="95"/>
        <w:sz w:val="22"/>
      </w:rPr>
      <w:tblPr/>
      <w:tcPr>
        <w:shd w:val="clear" w:color="D8E2F3" w:themeColor="accent5" w:themeTint="34" w:fill="D8E2F3" w:themeFill="accent5" w:themeFillTint="34"/>
      </w:tcPr>
    </w:tblStylePr>
    <w:tblStylePr w:type="band2Horz">
      <w:rPr>
        <w:rFonts w:ascii="Arial" w:hAnsi="Arial"/>
        <w:color w:val="254175" w:themeColor="accent5" w:themeShade="95"/>
        <w:sz w:val="22"/>
      </w:rPr>
    </w:tblStylePr>
  </w:style>
  <w:style w:type="table" w:styleId="Gitternetztabelle6farbigAkzent6">
    <w:name w:val="Grid Table 6 Colorful Accent 6"/>
    <w:basedOn w:val="NormaleTabelle"/>
    <w:uiPriority w:val="99"/>
    <w:rsid w:val="00187C95"/>
    <w:pPr>
      <w:spacing w:after="0" w:line="240" w:lineRule="auto"/>
    </w:pPr>
    <w:rPr>
      <w:sz w:val="24"/>
      <w:szCs w:val="24"/>
      <w:lang w:val="nl-NL"/>
      <w14:ligatures w14:val="standardContextual"/>
    </w:rPr>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54175" w:themeColor="accent5" w:themeShade="95"/>
      </w:rPr>
      <w:tblPr/>
      <w:tcPr>
        <w:tcBorders>
          <w:bottom w:val="single" w:sz="12" w:space="0" w:color="70AD47" w:themeColor="accent6"/>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E1EFD8" w:themeColor="accent6" w:themeTint="34" w:fill="E1EFD8" w:themeFill="accent6" w:themeFillTint="34"/>
      </w:tcPr>
    </w:tblStylePr>
    <w:tblStylePr w:type="band1Horz">
      <w:rPr>
        <w:rFonts w:ascii="Arial" w:hAnsi="Arial"/>
        <w:color w:val="254175" w:themeColor="accent5" w:themeShade="95"/>
        <w:sz w:val="22"/>
      </w:rPr>
      <w:tblPr/>
      <w:tcPr>
        <w:shd w:val="clear" w:color="E1EFD8" w:themeColor="accent6" w:themeTint="34" w:fill="E1EFD8" w:themeFill="accent6" w:themeFillTint="34"/>
      </w:tcPr>
    </w:tblStylePr>
    <w:tblStylePr w:type="band2Horz">
      <w:rPr>
        <w:rFonts w:ascii="Arial" w:hAnsi="Arial"/>
        <w:color w:val="254175" w:themeColor="accent5" w:themeShade="95"/>
        <w:sz w:val="22"/>
      </w:rPr>
    </w:tblStylePr>
  </w:style>
  <w:style w:type="table" w:styleId="Gitternetztabelle7farbigAkzent1">
    <w:name w:val="Grid Table 7 Colorful Accent 1"/>
    <w:basedOn w:val="NormaleTabelle"/>
    <w:uiPriority w:val="99"/>
    <w:rsid w:val="00187C95"/>
    <w:pPr>
      <w:spacing w:after="0" w:line="240" w:lineRule="auto"/>
    </w:pPr>
    <w:rPr>
      <w:sz w:val="24"/>
      <w:szCs w:val="24"/>
      <w:lang w:val="nl-NL"/>
      <w14:ligatures w14:val="standardContextual"/>
    </w:rPr>
    <w:tblPr>
      <w:tblStyleRowBandSize w:val="1"/>
      <w:tblStyleColBandSize w:val="1"/>
      <w:tblBorders>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Pr>
    <w:tblStylePr w:type="firstRow">
      <w:rPr>
        <w:rFonts w:ascii="Arial" w:hAnsi="Arial"/>
        <w:b/>
        <w:color w:val="ACCCEA" w:themeColor="accent1" w:themeTint="80" w:themeShade="95"/>
        <w:sz w:val="22"/>
      </w:rPr>
      <w:tblPr/>
      <w:tcPr>
        <w:tcBorders>
          <w:top w:val="none" w:sz="0" w:space="0" w:color="000000"/>
          <w:left w:val="none" w:sz="0" w:space="0" w:color="000000"/>
          <w:bottom w:val="single" w:sz="4" w:space="0" w:color="ACCCEA" w:themeColor="accent1" w:themeTint="80"/>
          <w:right w:val="none" w:sz="0" w:space="0" w:color="000000"/>
        </w:tcBorders>
        <w:shd w:val="clear" w:color="FFFFFF" w:themeColor="light1" w:fill="FFFFFF" w:themeFill="light1"/>
      </w:tcPr>
    </w:tblStylePr>
    <w:tblStylePr w:type="lastRow">
      <w:rPr>
        <w:rFonts w:ascii="Arial" w:hAnsi="Arial"/>
        <w:b/>
        <w:color w:val="ACCCEA" w:themeColor="accent1" w:themeTint="80" w:themeShade="95"/>
        <w:sz w:val="22"/>
      </w:rPr>
      <w:tblPr/>
      <w:tcPr>
        <w:tcBorders>
          <w:top w:val="single" w:sz="4" w:space="0" w:color="ACCCEA" w:themeColor="accent1" w:themeTint="8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ACCCEA" w:themeColor="accent1" w:themeTint="80" w:themeShade="95"/>
        <w:sz w:val="22"/>
      </w:rPr>
      <w:tblPr/>
      <w:tcPr>
        <w:tcBorders>
          <w:top w:val="none" w:sz="0" w:space="0" w:color="000000"/>
          <w:left w:val="none" w:sz="0" w:space="0" w:color="000000"/>
          <w:bottom w:val="none" w:sz="0" w:space="0" w:color="000000"/>
          <w:right w:val="single" w:sz="4" w:space="0" w:color="ACCCEA" w:themeColor="accent1" w:themeTint="80"/>
        </w:tcBorders>
        <w:shd w:val="clear" w:color="FFFFFF" w:fill="auto"/>
      </w:tcPr>
    </w:tblStylePr>
    <w:tblStylePr w:type="lastCol">
      <w:rPr>
        <w:rFonts w:ascii="Arial" w:hAnsi="Arial"/>
        <w:i/>
        <w:color w:val="ACCCEA" w:themeColor="accent1" w:themeTint="80" w:themeShade="95"/>
        <w:sz w:val="22"/>
      </w:rPr>
      <w:tblPr/>
      <w:tcPr>
        <w:tcBorders>
          <w:top w:val="none" w:sz="0" w:space="0" w:color="000000"/>
          <w:left w:val="single" w:sz="4" w:space="0" w:color="ACCCEA" w:themeColor="accent1" w:themeTint="80"/>
          <w:bottom w:val="none" w:sz="0" w:space="0" w:color="000000"/>
          <w:right w:val="none" w:sz="0" w:space="0" w:color="000000"/>
        </w:tcBorders>
        <w:shd w:val="clear" w:color="FFFFFF" w:fill="auto"/>
      </w:tcPr>
    </w:tblStylePr>
    <w:tblStylePr w:type="band1Vert">
      <w:tblPr/>
      <w:tcPr>
        <w:shd w:val="clear" w:color="DDEAF6" w:themeColor="accent1" w:themeTint="34" w:fill="DDEAF6" w:themeFill="accent1" w:themeFillTint="34"/>
      </w:tcPr>
    </w:tblStylePr>
    <w:tblStylePr w:type="band1Horz">
      <w:rPr>
        <w:rFonts w:ascii="Arial" w:hAnsi="Arial"/>
        <w:color w:val="ACCCEA" w:themeColor="accent1" w:themeTint="80" w:themeShade="95"/>
        <w:sz w:val="22"/>
      </w:rPr>
      <w:tblPr/>
      <w:tcPr>
        <w:shd w:val="clear" w:color="DDEAF6" w:themeColor="accent1" w:themeTint="34" w:fill="DDEAF6" w:themeFill="accent1" w:themeFillTint="34"/>
      </w:tcPr>
    </w:tblStylePr>
    <w:tblStylePr w:type="band2Horz">
      <w:rPr>
        <w:rFonts w:ascii="Arial" w:hAnsi="Arial"/>
        <w:color w:val="ACCCEA" w:themeColor="accent1" w:themeTint="80" w:themeShade="95"/>
        <w:sz w:val="22"/>
      </w:rPr>
    </w:tblStylePr>
  </w:style>
  <w:style w:type="table" w:styleId="Gitternetztabelle7farbigAkzent2">
    <w:name w:val="Grid Table 7 Colorful Accent 2"/>
    <w:basedOn w:val="NormaleTabelle"/>
    <w:uiPriority w:val="99"/>
    <w:rsid w:val="00187C95"/>
    <w:pPr>
      <w:spacing w:after="0" w:line="240" w:lineRule="auto"/>
    </w:pPr>
    <w:rPr>
      <w:sz w:val="24"/>
      <w:szCs w:val="24"/>
      <w:lang w:val="nl-NL"/>
      <w14:ligatures w14:val="standardContextual"/>
    </w:rPr>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0" w:space="0" w:color="000000"/>
          <w:left w:val="none" w:sz="0" w:space="0" w:color="000000"/>
          <w:bottom w:val="single" w:sz="4" w:space="0" w:color="F4B184" w:themeColor="accent2" w:themeTint="97"/>
          <w:right w:val="none" w:sz="0" w:space="0" w:color="000000"/>
        </w:tcBorders>
        <w:shd w:val="clear" w:color="FFFFFF" w:themeColor="light1"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0" w:space="0" w:color="000000"/>
          <w:left w:val="none" w:sz="0" w:space="0" w:color="000000"/>
          <w:bottom w:val="none" w:sz="0" w:space="0" w:color="000000"/>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0" w:space="0" w:color="000000"/>
          <w:left w:val="single" w:sz="4" w:space="0" w:color="F4B184" w:themeColor="accent2" w:themeTint="97"/>
          <w:bottom w:val="none" w:sz="0" w:space="0" w:color="000000"/>
          <w:right w:val="none" w:sz="0" w:space="0" w:color="000000"/>
        </w:tcBorders>
        <w:shd w:val="clear" w:color="FFFFFF" w:fill="auto"/>
      </w:tc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styleId="Gitternetztabelle7farbigAkzent3">
    <w:name w:val="Grid Table 7 Colorful Accent 3"/>
    <w:basedOn w:val="NormaleTabelle"/>
    <w:uiPriority w:val="99"/>
    <w:rsid w:val="00187C95"/>
    <w:pPr>
      <w:spacing w:after="0" w:line="240" w:lineRule="auto"/>
    </w:pPr>
    <w:rPr>
      <w:sz w:val="24"/>
      <w:szCs w:val="24"/>
      <w:lang w:val="nl-NL"/>
      <w14:ligatures w14:val="standardContextual"/>
    </w:rPr>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0" w:space="0" w:color="000000"/>
          <w:left w:val="none" w:sz="0" w:space="0" w:color="000000"/>
          <w:bottom w:val="single" w:sz="4" w:space="0" w:color="A5A5A5" w:themeColor="accent3" w:themeTint="FE"/>
          <w:right w:val="none" w:sz="0" w:space="0" w:color="000000"/>
        </w:tcBorders>
        <w:shd w:val="clear" w:color="FFFFFF" w:themeColor="light1"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A5A5A5" w:themeColor="accent3" w:themeTint="FE" w:themeShade="95"/>
        <w:sz w:val="22"/>
      </w:rPr>
      <w:tblPr/>
      <w:tcPr>
        <w:tcBorders>
          <w:top w:val="none" w:sz="0" w:space="0" w:color="000000"/>
          <w:left w:val="none" w:sz="0" w:space="0" w:color="000000"/>
          <w:bottom w:val="none" w:sz="0" w:space="0" w:color="000000"/>
          <w:right w:val="single" w:sz="4" w:space="0" w:color="A5A5A5" w:themeColor="accent3" w:themeTint="FE"/>
        </w:tcBorders>
        <w:shd w:val="clear" w:color="FFFFFF" w:fill="auto"/>
      </w:tcPr>
    </w:tblStylePr>
    <w:tblStylePr w:type="lastCol">
      <w:rPr>
        <w:rFonts w:ascii="Arial" w:hAnsi="Arial"/>
        <w:i/>
        <w:color w:val="A5A5A5" w:themeColor="accent3" w:themeTint="FE" w:themeShade="95"/>
        <w:sz w:val="22"/>
      </w:rPr>
      <w:tblPr/>
      <w:tcPr>
        <w:tcBorders>
          <w:top w:val="none" w:sz="0" w:space="0" w:color="000000"/>
          <w:left w:val="single" w:sz="4" w:space="0" w:color="A5A5A5" w:themeColor="accent3" w:themeTint="FE"/>
          <w:bottom w:val="none" w:sz="0" w:space="0" w:color="000000"/>
          <w:right w:val="none" w:sz="0" w:space="0" w:color="000000"/>
        </w:tcBorders>
        <w:shd w:val="clear" w:color="FFFFFF" w:fill="auto"/>
      </w:tc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styleId="Gitternetztabelle7farbigAkzent4">
    <w:name w:val="Grid Table 7 Colorful Accent 4"/>
    <w:basedOn w:val="NormaleTabelle"/>
    <w:uiPriority w:val="99"/>
    <w:rsid w:val="00187C95"/>
    <w:pPr>
      <w:spacing w:after="0" w:line="240" w:lineRule="auto"/>
    </w:pPr>
    <w:rPr>
      <w:sz w:val="24"/>
      <w:szCs w:val="24"/>
      <w:lang w:val="nl-NL"/>
      <w14:ligatures w14:val="standardContextual"/>
    </w:rPr>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0" w:space="0" w:color="000000"/>
          <w:left w:val="none" w:sz="0" w:space="0" w:color="000000"/>
          <w:bottom w:val="single" w:sz="4" w:space="0" w:color="FFD865" w:themeColor="accent4" w:themeTint="9A"/>
          <w:right w:val="none" w:sz="0" w:space="0" w:color="000000"/>
        </w:tcBorders>
        <w:shd w:val="clear" w:color="FFFFFF" w:themeColor="light1"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0" w:space="0" w:color="000000"/>
          <w:left w:val="none" w:sz="0" w:space="0" w:color="000000"/>
          <w:bottom w:val="none" w:sz="0" w:space="0" w:color="000000"/>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0" w:space="0" w:color="000000"/>
          <w:left w:val="single" w:sz="4" w:space="0" w:color="FFD865" w:themeColor="accent4" w:themeTint="9A"/>
          <w:bottom w:val="none" w:sz="0" w:space="0" w:color="000000"/>
          <w:right w:val="none" w:sz="0" w:space="0" w:color="000000"/>
        </w:tcBorders>
        <w:shd w:val="clear" w:color="FFFFFF" w:fill="auto"/>
      </w:tc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styleId="Gitternetztabelle7farbigAkzent5">
    <w:name w:val="Grid Table 7 Colorful Accent 5"/>
    <w:basedOn w:val="NormaleTabelle"/>
    <w:uiPriority w:val="99"/>
    <w:rsid w:val="00187C95"/>
    <w:pPr>
      <w:spacing w:after="0" w:line="240" w:lineRule="auto"/>
    </w:pPr>
    <w:rPr>
      <w:sz w:val="24"/>
      <w:szCs w:val="24"/>
      <w:lang w:val="nl-NL"/>
      <w14:ligatures w14:val="standardContextual"/>
    </w:rPr>
    <w:tblPr>
      <w:tblStyleRowBandSize w:val="1"/>
      <w:tblStyleColBandSize w:val="1"/>
      <w:tblBorders>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Pr>
    <w:tblStylePr w:type="firstRow">
      <w:rPr>
        <w:rFonts w:ascii="Arial" w:hAnsi="Arial"/>
        <w:b/>
        <w:color w:val="254175" w:themeColor="accent5" w:themeShade="95"/>
        <w:sz w:val="22"/>
      </w:rPr>
      <w:tblPr/>
      <w:tcPr>
        <w:tcBorders>
          <w:top w:val="none" w:sz="0" w:space="0" w:color="000000"/>
          <w:left w:val="none" w:sz="0" w:space="0" w:color="000000"/>
          <w:bottom w:val="single" w:sz="4" w:space="0" w:color="95AFDD" w:themeColor="accent5" w:themeTint="90"/>
          <w:right w:val="none" w:sz="0" w:space="0" w:color="000000"/>
        </w:tcBorders>
        <w:shd w:val="clear" w:color="FFFFFF" w:themeColor="light1" w:fill="FFFFFF" w:themeFill="light1"/>
      </w:tcPr>
    </w:tblStylePr>
    <w:tblStylePr w:type="lastRow">
      <w:rPr>
        <w:rFonts w:ascii="Arial" w:hAnsi="Arial"/>
        <w:b/>
        <w:color w:val="254175" w:themeColor="accent5" w:themeShade="95"/>
        <w:sz w:val="22"/>
      </w:rPr>
      <w:tblPr/>
      <w:tcPr>
        <w:tcBorders>
          <w:top w:val="single" w:sz="4" w:space="0" w:color="95AFDD" w:themeColor="accent5" w:themeTint="9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254175" w:themeColor="accent5" w:themeShade="95"/>
        <w:sz w:val="22"/>
      </w:rPr>
      <w:tblPr/>
      <w:tcPr>
        <w:tcBorders>
          <w:top w:val="none" w:sz="0" w:space="0" w:color="000000"/>
          <w:left w:val="none" w:sz="0" w:space="0" w:color="000000"/>
          <w:bottom w:val="none" w:sz="0" w:space="0" w:color="000000"/>
          <w:right w:val="single" w:sz="4" w:space="0" w:color="95AFDD" w:themeColor="accent5" w:themeTint="90"/>
        </w:tcBorders>
        <w:shd w:val="clear" w:color="FFFFFF" w:fill="auto"/>
      </w:tcPr>
    </w:tblStylePr>
    <w:tblStylePr w:type="lastCol">
      <w:rPr>
        <w:rFonts w:ascii="Arial" w:hAnsi="Arial"/>
        <w:i/>
        <w:color w:val="254175" w:themeColor="accent5" w:themeShade="95"/>
        <w:sz w:val="22"/>
      </w:rPr>
      <w:tblPr/>
      <w:tcPr>
        <w:tcBorders>
          <w:top w:val="none" w:sz="0" w:space="0" w:color="000000"/>
          <w:left w:val="single" w:sz="4" w:space="0" w:color="95AFDD" w:themeColor="accent5" w:themeTint="90"/>
          <w:bottom w:val="none" w:sz="0" w:space="0" w:color="000000"/>
          <w:right w:val="none" w:sz="0" w:space="0" w:color="000000"/>
        </w:tcBorders>
        <w:shd w:val="clear" w:color="FFFFFF" w:fill="auto"/>
      </w:tcPr>
    </w:tblStylePr>
    <w:tblStylePr w:type="band1Vert">
      <w:tblPr/>
      <w:tcPr>
        <w:shd w:val="clear" w:color="D8E2F3" w:themeColor="accent5" w:themeTint="34" w:fill="D8E2F3" w:themeFill="accent5" w:themeFillTint="34"/>
      </w:tcPr>
    </w:tblStylePr>
    <w:tblStylePr w:type="band1Horz">
      <w:rPr>
        <w:rFonts w:ascii="Arial" w:hAnsi="Arial"/>
        <w:color w:val="254175" w:themeColor="accent5" w:themeShade="95"/>
        <w:sz w:val="22"/>
      </w:rPr>
      <w:tblPr/>
      <w:tcPr>
        <w:shd w:val="clear" w:color="D8E2F3" w:themeColor="accent5" w:themeTint="34" w:fill="D8E2F3" w:themeFill="accent5" w:themeFillTint="34"/>
      </w:tcPr>
    </w:tblStylePr>
    <w:tblStylePr w:type="band2Horz">
      <w:rPr>
        <w:rFonts w:ascii="Arial" w:hAnsi="Arial"/>
        <w:color w:val="254175" w:themeColor="accent5" w:themeShade="95"/>
        <w:sz w:val="22"/>
      </w:rPr>
    </w:tblStylePr>
  </w:style>
  <w:style w:type="table" w:styleId="Gitternetztabelle7farbigAkzent6">
    <w:name w:val="Grid Table 7 Colorful Accent 6"/>
    <w:basedOn w:val="NormaleTabelle"/>
    <w:uiPriority w:val="99"/>
    <w:rsid w:val="00187C95"/>
    <w:pPr>
      <w:spacing w:after="0" w:line="240" w:lineRule="auto"/>
    </w:pPr>
    <w:rPr>
      <w:sz w:val="24"/>
      <w:szCs w:val="24"/>
      <w:lang w:val="nl-NL"/>
      <w14:ligatures w14:val="standardContextual"/>
    </w:rPr>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0" w:space="0" w:color="000000"/>
          <w:left w:val="none" w:sz="0" w:space="0" w:color="000000"/>
          <w:bottom w:val="single" w:sz="4" w:space="0" w:color="ADD394" w:themeColor="accent6" w:themeTint="90"/>
          <w:right w:val="none" w:sz="0" w:space="0" w:color="000000"/>
        </w:tcBorders>
        <w:shd w:val="clear" w:color="FFFFFF" w:themeColor="light1"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416429" w:themeColor="accent6" w:themeShade="95"/>
        <w:sz w:val="22"/>
      </w:rPr>
      <w:tblPr/>
      <w:tcPr>
        <w:tcBorders>
          <w:top w:val="none" w:sz="0" w:space="0" w:color="000000"/>
          <w:left w:val="none" w:sz="0" w:space="0" w:color="000000"/>
          <w:bottom w:val="none" w:sz="0" w:space="0" w:color="000000"/>
          <w:right w:val="single" w:sz="4" w:space="0" w:color="ADD394" w:themeColor="accent6" w:themeTint="90"/>
        </w:tcBorders>
        <w:shd w:val="clear" w:color="FFFFFF" w:fill="auto"/>
      </w:tcPr>
    </w:tblStylePr>
    <w:tblStylePr w:type="lastCol">
      <w:rPr>
        <w:rFonts w:ascii="Arial" w:hAnsi="Arial"/>
        <w:i/>
        <w:color w:val="416429" w:themeColor="accent6" w:themeShade="95"/>
        <w:sz w:val="22"/>
      </w:rPr>
      <w:tblPr/>
      <w:tcPr>
        <w:tcBorders>
          <w:top w:val="none" w:sz="0" w:space="0" w:color="000000"/>
          <w:left w:val="single" w:sz="4" w:space="0" w:color="ADD394" w:themeColor="accent6" w:themeTint="90"/>
          <w:bottom w:val="none" w:sz="0" w:space="0" w:color="000000"/>
          <w:right w:val="none" w:sz="0" w:space="0" w:color="000000"/>
        </w:tcBorders>
        <w:shd w:val="clear" w:color="FFFFFF" w:fill="auto"/>
      </w:tcPr>
    </w:tblStylePr>
    <w:tblStylePr w:type="band1Vert">
      <w:tblPr/>
      <w:tcPr>
        <w:shd w:val="clear" w:color="E1EFD8" w:themeColor="accent6" w:themeTint="34" w:fill="E1EFD8" w:themeFill="accent6" w:themeFillTint="34"/>
      </w:tcPr>
    </w:tblStylePr>
    <w:tblStylePr w:type="band1Horz">
      <w:rPr>
        <w:rFonts w:ascii="Arial" w:hAnsi="Arial"/>
        <w:color w:val="416429" w:themeColor="accent6" w:themeShade="95"/>
        <w:sz w:val="22"/>
      </w:rPr>
      <w:tblPr/>
      <w:tcPr>
        <w:shd w:val="clear" w:color="E1EFD8" w:themeColor="accent6" w:themeTint="34" w:fill="E1EFD8" w:themeFill="accent6" w:themeFillTint="34"/>
      </w:tcPr>
    </w:tblStylePr>
    <w:tblStylePr w:type="band2Horz">
      <w:rPr>
        <w:rFonts w:ascii="Arial" w:hAnsi="Arial"/>
        <w:color w:val="416429" w:themeColor="accent6" w:themeShade="95"/>
        <w:sz w:val="22"/>
      </w:rPr>
    </w:tblStylePr>
  </w:style>
  <w:style w:type="table" w:styleId="Listentabelle1hellAkzent1">
    <w:name w:val="List Table 1 Light Accent 1"/>
    <w:basedOn w:val="NormaleTabelle"/>
    <w:uiPriority w:val="99"/>
    <w:rsid w:val="00187C95"/>
    <w:pPr>
      <w:spacing w:after="0" w:line="240" w:lineRule="auto"/>
    </w:pPr>
    <w:rPr>
      <w:sz w:val="24"/>
      <w:szCs w:val="24"/>
      <w:lang w:val="nl-NL"/>
      <w14:ligatures w14:val="standardContextual"/>
    </w:rPr>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1"/>
          <w:right w:val="none" w:sz="4" w:space="0" w:color="000000"/>
        </w:tcBorders>
      </w:tcPr>
    </w:tblStylePr>
    <w:tblStylePr w:type="lastRow">
      <w:rPr>
        <w:b/>
        <w:color w:val="404040"/>
      </w:rPr>
      <w:tblPr/>
      <w:tcPr>
        <w:tcBorders>
          <w:top w:val="single" w:sz="4" w:space="0" w:color="5B9BD5"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5E5F4" w:themeColor="accent1" w:themeTint="40" w:fill="D5E5F4" w:themeFill="accent1" w:themeFillTint="40"/>
      </w:tcPr>
    </w:tblStylePr>
    <w:tblStylePr w:type="band1Horz">
      <w:tblPr/>
      <w:tcPr>
        <w:shd w:val="clear" w:color="D5E5F4" w:themeColor="accent1" w:themeTint="40" w:fill="D5E5F4" w:themeFill="accent1" w:themeFillTint="40"/>
      </w:tcPr>
    </w:tblStylePr>
  </w:style>
  <w:style w:type="table" w:styleId="Listentabelle1hellAkzent2">
    <w:name w:val="List Table 1 Light Accent 2"/>
    <w:basedOn w:val="NormaleTabelle"/>
    <w:uiPriority w:val="99"/>
    <w:rsid w:val="00187C95"/>
    <w:pPr>
      <w:spacing w:after="0" w:line="240" w:lineRule="auto"/>
    </w:pPr>
    <w:rPr>
      <w:sz w:val="24"/>
      <w:szCs w:val="24"/>
      <w:lang w:val="nl-NL"/>
      <w14:ligatures w14:val="standardContextual"/>
    </w:rPr>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ADECB" w:themeColor="accent2" w:themeTint="40" w:fill="FADECB" w:themeFill="accent2" w:themeFillTint="40"/>
      </w:tcPr>
    </w:tblStylePr>
    <w:tblStylePr w:type="band1Horz">
      <w:tblPr/>
      <w:tcPr>
        <w:shd w:val="clear" w:color="FADECB" w:themeColor="accent2" w:themeTint="40" w:fill="FADECB" w:themeFill="accent2" w:themeFillTint="40"/>
      </w:tcPr>
    </w:tblStylePr>
  </w:style>
  <w:style w:type="table" w:styleId="Listentabelle1hellAkzent3">
    <w:name w:val="List Table 1 Light Accent 3"/>
    <w:basedOn w:val="NormaleTabelle"/>
    <w:uiPriority w:val="99"/>
    <w:rsid w:val="00187C95"/>
    <w:pPr>
      <w:spacing w:after="0" w:line="240" w:lineRule="auto"/>
    </w:pPr>
    <w:rPr>
      <w:sz w:val="24"/>
      <w:szCs w:val="24"/>
      <w:lang w:val="nl-NL"/>
      <w14:ligatures w14:val="standardContextual"/>
    </w:rPr>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8E8E8" w:themeColor="accent3" w:themeTint="40" w:fill="E8E8E8" w:themeFill="accent3" w:themeFillTint="40"/>
      </w:tcPr>
    </w:tblStylePr>
    <w:tblStylePr w:type="band1Horz">
      <w:tblPr/>
      <w:tcPr>
        <w:shd w:val="clear" w:color="E8E8E8" w:themeColor="accent3" w:themeTint="40" w:fill="E8E8E8" w:themeFill="accent3" w:themeFillTint="40"/>
      </w:tcPr>
    </w:tblStylePr>
  </w:style>
  <w:style w:type="table" w:styleId="Listentabelle1hellAkzent4">
    <w:name w:val="List Table 1 Light Accent 4"/>
    <w:basedOn w:val="NormaleTabelle"/>
    <w:uiPriority w:val="99"/>
    <w:rsid w:val="00187C95"/>
    <w:pPr>
      <w:spacing w:after="0" w:line="240" w:lineRule="auto"/>
    </w:pPr>
    <w:rPr>
      <w:sz w:val="24"/>
      <w:szCs w:val="24"/>
      <w:lang w:val="nl-NL"/>
      <w14:ligatures w14:val="standardContextual"/>
    </w:rPr>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EFBF" w:themeColor="accent4" w:themeTint="40" w:fill="FFEFBF" w:themeFill="accent4" w:themeFillTint="40"/>
      </w:tcPr>
    </w:tblStylePr>
    <w:tblStylePr w:type="band1Horz">
      <w:tblPr/>
      <w:tcPr>
        <w:shd w:val="clear" w:color="FFEFBF" w:themeColor="accent4" w:themeTint="40" w:fill="FFEFBF" w:themeFill="accent4" w:themeFillTint="40"/>
      </w:tcPr>
    </w:tblStylePr>
  </w:style>
  <w:style w:type="table" w:styleId="Listentabelle1hellAkzent5">
    <w:name w:val="List Table 1 Light Accent 5"/>
    <w:basedOn w:val="NormaleTabelle"/>
    <w:uiPriority w:val="99"/>
    <w:rsid w:val="00187C95"/>
    <w:pPr>
      <w:spacing w:after="0" w:line="240" w:lineRule="auto"/>
    </w:pPr>
    <w:rPr>
      <w:sz w:val="24"/>
      <w:szCs w:val="24"/>
      <w:lang w:val="nl-NL"/>
      <w14:ligatures w14:val="standardContextual"/>
    </w:rPr>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5"/>
          <w:right w:val="none" w:sz="4" w:space="0" w:color="000000"/>
        </w:tcBorders>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DBF0" w:themeColor="accent5" w:themeTint="40" w:fill="CFDBF0" w:themeFill="accent5" w:themeFillTint="40"/>
      </w:tcPr>
    </w:tblStylePr>
    <w:tblStylePr w:type="band1Horz">
      <w:tblPr/>
      <w:tcPr>
        <w:shd w:val="clear" w:color="CFDBF0" w:themeColor="accent5" w:themeTint="40" w:fill="CFDBF0" w:themeFill="accent5" w:themeFillTint="40"/>
      </w:tcPr>
    </w:tblStylePr>
  </w:style>
  <w:style w:type="table" w:styleId="Listentabelle1hellAkzent6">
    <w:name w:val="List Table 1 Light Accent 6"/>
    <w:basedOn w:val="NormaleTabelle"/>
    <w:uiPriority w:val="99"/>
    <w:rsid w:val="00187C95"/>
    <w:pPr>
      <w:spacing w:after="0" w:line="240" w:lineRule="auto"/>
    </w:pPr>
    <w:rPr>
      <w:sz w:val="24"/>
      <w:szCs w:val="24"/>
      <w:lang w:val="nl-NL"/>
      <w14:ligatures w14:val="standardContextual"/>
    </w:rPr>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AEBCF" w:themeColor="accent6" w:themeTint="40" w:fill="DAEBCF" w:themeFill="accent6" w:themeFillTint="40"/>
      </w:tcPr>
    </w:tblStylePr>
    <w:tblStylePr w:type="band1Horz">
      <w:tblPr/>
      <w:tcPr>
        <w:shd w:val="clear" w:color="DAEBCF" w:themeColor="accent6" w:themeTint="40" w:fill="DAEBCF" w:themeFill="accent6" w:themeFillTint="40"/>
      </w:tcPr>
    </w:tblStylePr>
  </w:style>
  <w:style w:type="table" w:styleId="Listentabelle2Akzent1">
    <w:name w:val="List Table 2 Accent 1"/>
    <w:basedOn w:val="NormaleTabelle"/>
    <w:uiPriority w:val="99"/>
    <w:rsid w:val="00187C95"/>
    <w:pPr>
      <w:spacing w:after="0" w:line="240" w:lineRule="auto"/>
    </w:pPr>
    <w:rPr>
      <w:sz w:val="24"/>
      <w:szCs w:val="24"/>
      <w:lang w:val="nl-NL"/>
      <w14:ligatures w14:val="standardContextual"/>
    </w:rPr>
    <w:tblPr>
      <w:tblStyleRowBandSize w:val="1"/>
      <w:tblStyleColBandSize w:val="1"/>
      <w:tblBorders>
        <w:top w:val="single" w:sz="4" w:space="0" w:color="A2C6E7" w:themeColor="accent1" w:themeTint="90"/>
        <w:bottom w:val="single" w:sz="4" w:space="0" w:color="A2C6E7" w:themeColor="accent1" w:themeTint="90"/>
        <w:insideH w:val="single" w:sz="4" w:space="0" w:color="A2C6E7" w:themeColor="accent1" w:themeTint="90"/>
      </w:tblBorders>
    </w:tblPr>
    <w:tblStylePr w:type="fir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la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5E5F4" w:themeColor="accent1" w:themeTint="40" w:fill="D5E5F4" w:themeFill="accent1" w:themeFillTint="40"/>
      </w:tcPr>
    </w:tblStylePr>
    <w:tblStylePr w:type="band1Horz">
      <w:rPr>
        <w:rFonts w:ascii="Arial" w:hAnsi="Arial"/>
        <w:color w:val="404040"/>
        <w:sz w:val="22"/>
      </w:rPr>
      <w:tblPr/>
      <w:tcPr>
        <w:shd w:val="clear" w:color="D5E5F4" w:themeColor="accent1" w:themeTint="40" w:fill="D5E5F4" w:themeFill="accent1" w:themeFillTint="40"/>
      </w:tcPr>
    </w:tblStylePr>
  </w:style>
  <w:style w:type="table" w:styleId="Listentabelle2Akzent2">
    <w:name w:val="List Table 2 Accent 2"/>
    <w:basedOn w:val="NormaleTabelle"/>
    <w:uiPriority w:val="99"/>
    <w:rsid w:val="00187C95"/>
    <w:pPr>
      <w:spacing w:after="0" w:line="240" w:lineRule="auto"/>
    </w:pPr>
    <w:rPr>
      <w:sz w:val="24"/>
      <w:szCs w:val="24"/>
      <w:lang w:val="nl-NL"/>
      <w14:ligatures w14:val="standardContextual"/>
    </w:rPr>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styleId="Listentabelle2Akzent3">
    <w:name w:val="List Table 2 Accent 3"/>
    <w:basedOn w:val="NormaleTabelle"/>
    <w:uiPriority w:val="99"/>
    <w:rsid w:val="00187C95"/>
    <w:pPr>
      <w:spacing w:after="0" w:line="240" w:lineRule="auto"/>
    </w:pPr>
    <w:rPr>
      <w:sz w:val="24"/>
      <w:szCs w:val="24"/>
      <w:lang w:val="nl-NL"/>
      <w14:ligatures w14:val="standardContextual"/>
    </w:rPr>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styleId="Listentabelle2Akzent4">
    <w:name w:val="List Table 2 Accent 4"/>
    <w:basedOn w:val="NormaleTabelle"/>
    <w:uiPriority w:val="99"/>
    <w:rsid w:val="00187C95"/>
    <w:pPr>
      <w:spacing w:after="0" w:line="240" w:lineRule="auto"/>
    </w:pPr>
    <w:rPr>
      <w:sz w:val="24"/>
      <w:szCs w:val="24"/>
      <w:lang w:val="nl-NL"/>
      <w14:ligatures w14:val="standardContextual"/>
    </w:rPr>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styleId="Listentabelle2Akzent5">
    <w:name w:val="List Table 2 Accent 5"/>
    <w:basedOn w:val="NormaleTabelle"/>
    <w:uiPriority w:val="99"/>
    <w:rsid w:val="00187C95"/>
    <w:pPr>
      <w:spacing w:after="0" w:line="240" w:lineRule="auto"/>
    </w:pPr>
    <w:rPr>
      <w:sz w:val="24"/>
      <w:szCs w:val="24"/>
      <w:lang w:val="nl-NL"/>
      <w14:ligatures w14:val="standardContextual"/>
    </w:rPr>
    <w:tblPr>
      <w:tblStyleRowBandSize w:val="1"/>
      <w:tblStyleColBandSize w:val="1"/>
      <w:tblBorders>
        <w:top w:val="single" w:sz="4" w:space="0" w:color="95AFDD" w:themeColor="accent5" w:themeTint="90"/>
        <w:bottom w:val="single" w:sz="4" w:space="0" w:color="95AFDD" w:themeColor="accent5" w:themeTint="90"/>
        <w:insideH w:val="single" w:sz="4" w:space="0" w:color="95AFDD" w:themeColor="accent5" w:themeTint="90"/>
      </w:tblBorders>
    </w:tblPr>
    <w:tblStylePr w:type="fir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la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DBF0" w:themeColor="accent5" w:themeTint="40" w:fill="CFDBF0" w:themeFill="accent5" w:themeFillTint="40"/>
      </w:tcPr>
    </w:tblStylePr>
    <w:tblStylePr w:type="band1Horz">
      <w:rPr>
        <w:rFonts w:ascii="Arial" w:hAnsi="Arial"/>
        <w:color w:val="404040"/>
        <w:sz w:val="22"/>
      </w:rPr>
      <w:tblPr/>
      <w:tcPr>
        <w:shd w:val="clear" w:color="CFDBF0" w:themeColor="accent5" w:themeTint="40" w:fill="CFDBF0" w:themeFill="accent5" w:themeFillTint="40"/>
      </w:tcPr>
    </w:tblStylePr>
  </w:style>
  <w:style w:type="table" w:styleId="Listentabelle2Akzent6">
    <w:name w:val="List Table 2 Accent 6"/>
    <w:basedOn w:val="NormaleTabelle"/>
    <w:uiPriority w:val="99"/>
    <w:rsid w:val="00187C95"/>
    <w:pPr>
      <w:spacing w:after="0" w:line="240" w:lineRule="auto"/>
    </w:pPr>
    <w:rPr>
      <w:sz w:val="24"/>
      <w:szCs w:val="24"/>
      <w:lang w:val="nl-NL"/>
      <w14:ligatures w14:val="standardContextual"/>
    </w:rPr>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Listentabelle3Akzent1">
    <w:name w:val="List Table 3 Accent 1"/>
    <w:basedOn w:val="NormaleTabelle"/>
    <w:uiPriority w:val="99"/>
    <w:rsid w:val="00187C95"/>
    <w:pPr>
      <w:spacing w:after="0" w:line="240" w:lineRule="auto"/>
    </w:pPr>
    <w:rPr>
      <w:sz w:val="24"/>
      <w:szCs w:val="24"/>
      <w:lang w:val="nl-NL"/>
      <w14:ligatures w14:val="standardContextual"/>
    </w:r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rFonts w:ascii="Arial" w:hAnsi="Arial"/>
        <w:b/>
        <w:color w:val="FFFFFF"/>
        <w:sz w:val="22"/>
      </w:rPr>
      <w:tblPr/>
      <w:tcPr>
        <w:shd w:val="clear" w:color="5B9BD5" w:themeColor="accent1"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5B9BD5" w:themeColor="accent1"/>
          <w:right w:val="single" w:sz="4" w:space="0" w:color="5B9BD5" w:themeColor="accent1"/>
        </w:tcBorders>
      </w:tcPr>
    </w:tblStylePr>
    <w:tblStylePr w:type="band1Horz">
      <w:rPr>
        <w:rFonts w:ascii="Arial" w:hAnsi="Arial"/>
        <w:color w:val="404040"/>
        <w:sz w:val="22"/>
      </w:rPr>
      <w:tblPr/>
      <w:tcPr>
        <w:tcBorders>
          <w:top w:val="single" w:sz="4" w:space="0" w:color="5B9BD5" w:themeColor="accent1"/>
          <w:bottom w:val="single" w:sz="4" w:space="0" w:color="5B9BD5" w:themeColor="accent1"/>
        </w:tcBorders>
      </w:tcPr>
    </w:tblStylePr>
  </w:style>
  <w:style w:type="table" w:styleId="Listentabelle3Akzent2">
    <w:name w:val="List Table 3 Accent 2"/>
    <w:basedOn w:val="NormaleTabelle"/>
    <w:uiPriority w:val="99"/>
    <w:rsid w:val="00187C95"/>
    <w:pPr>
      <w:spacing w:after="0" w:line="240" w:lineRule="auto"/>
    </w:pPr>
    <w:rPr>
      <w:sz w:val="24"/>
      <w:szCs w:val="24"/>
      <w:lang w:val="nl-NL"/>
      <w14:ligatures w14:val="standardContextual"/>
    </w:r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F4B184" w:themeColor="accent2" w:themeTint="97"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styleId="Listentabelle3Akzent3">
    <w:name w:val="List Table 3 Accent 3"/>
    <w:basedOn w:val="NormaleTabelle"/>
    <w:uiPriority w:val="99"/>
    <w:rsid w:val="00187C95"/>
    <w:pPr>
      <w:spacing w:after="0" w:line="240" w:lineRule="auto"/>
    </w:pPr>
    <w:rPr>
      <w:sz w:val="24"/>
      <w:szCs w:val="24"/>
      <w:lang w:val="nl-NL"/>
      <w14:ligatures w14:val="standardContextual"/>
    </w:rPr>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C9C9C9" w:themeColor="accent3" w:themeTint="98"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styleId="Listentabelle3Akzent4">
    <w:name w:val="List Table 3 Accent 4"/>
    <w:basedOn w:val="NormaleTabelle"/>
    <w:uiPriority w:val="99"/>
    <w:rsid w:val="00187C95"/>
    <w:pPr>
      <w:spacing w:after="0" w:line="240" w:lineRule="auto"/>
    </w:pPr>
    <w:rPr>
      <w:sz w:val="24"/>
      <w:szCs w:val="24"/>
      <w:lang w:val="nl-NL"/>
      <w14:ligatures w14:val="standardContextual"/>
    </w:r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FFD865" w:themeColor="accent4" w:themeTint="9A"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styleId="Listentabelle3Akzent5">
    <w:name w:val="List Table 3 Accent 5"/>
    <w:basedOn w:val="NormaleTabelle"/>
    <w:uiPriority w:val="99"/>
    <w:rsid w:val="00187C95"/>
    <w:pPr>
      <w:spacing w:after="0" w:line="240" w:lineRule="auto"/>
    </w:pPr>
    <w:rPr>
      <w:sz w:val="24"/>
      <w:szCs w:val="24"/>
      <w:lang w:val="nl-NL"/>
      <w14:ligatures w14:val="standardContextual"/>
    </w:rPr>
    <w:tblPr>
      <w:tblStyleRowBandSize w:val="1"/>
      <w:tblStyleColBandSize w:val="1"/>
      <w:tblBorders>
        <w:top w:val="single" w:sz="4" w:space="0" w:color="8DA9DB" w:themeColor="accent5" w:themeTint="9A"/>
        <w:left w:val="single" w:sz="4" w:space="0" w:color="8DA9DB" w:themeColor="accent5" w:themeTint="9A"/>
        <w:bottom w:val="single" w:sz="4" w:space="0" w:color="8DA9DB" w:themeColor="accent5" w:themeTint="9A"/>
        <w:right w:val="single" w:sz="4" w:space="0" w:color="8DA9DB" w:themeColor="accent5" w:themeTint="9A"/>
      </w:tblBorders>
    </w:tblPr>
    <w:tblStylePr w:type="firstRow">
      <w:rPr>
        <w:rFonts w:ascii="Arial" w:hAnsi="Arial"/>
        <w:b/>
        <w:color w:val="FFFFFF"/>
        <w:sz w:val="22"/>
      </w:rPr>
      <w:tblPr/>
      <w:tcPr>
        <w:shd w:val="clear" w:color="8DA9DB" w:themeColor="accent5" w:themeTint="9A" w:fill="8DA9DB"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8DA9DB" w:themeColor="accent5" w:themeTint="9A"/>
          <w:right w:val="single" w:sz="4" w:space="0" w:color="8DA9DB" w:themeColor="accent5" w:themeTint="9A"/>
        </w:tcBorders>
      </w:tcPr>
    </w:tblStylePr>
    <w:tblStylePr w:type="band1Horz">
      <w:rPr>
        <w:rFonts w:ascii="Arial" w:hAnsi="Arial"/>
        <w:color w:val="404040"/>
        <w:sz w:val="22"/>
      </w:rPr>
      <w:tblPr/>
      <w:tcPr>
        <w:tcBorders>
          <w:top w:val="single" w:sz="4" w:space="0" w:color="8DA9DB" w:themeColor="accent5" w:themeTint="9A"/>
          <w:bottom w:val="single" w:sz="4" w:space="0" w:color="8DA9DB" w:themeColor="accent5" w:themeTint="9A"/>
        </w:tcBorders>
      </w:tcPr>
    </w:tblStylePr>
  </w:style>
  <w:style w:type="table" w:styleId="Listentabelle3Akzent6">
    <w:name w:val="List Table 3 Accent 6"/>
    <w:basedOn w:val="NormaleTabelle"/>
    <w:uiPriority w:val="99"/>
    <w:rsid w:val="00187C95"/>
    <w:pPr>
      <w:spacing w:after="0" w:line="240" w:lineRule="auto"/>
    </w:pPr>
    <w:rPr>
      <w:sz w:val="24"/>
      <w:szCs w:val="24"/>
      <w:lang w:val="nl-NL"/>
      <w14:ligatures w14:val="standardContextual"/>
    </w:rPr>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9D08E" w:themeColor="accent6" w:themeTint="98"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styleId="Listentabelle4Akzent1">
    <w:name w:val="List Table 4 Accent 1"/>
    <w:basedOn w:val="NormaleTabelle"/>
    <w:uiPriority w:val="99"/>
    <w:rsid w:val="00187C95"/>
    <w:pPr>
      <w:spacing w:after="0" w:line="240" w:lineRule="auto"/>
    </w:pPr>
    <w:rPr>
      <w:sz w:val="24"/>
      <w:szCs w:val="24"/>
      <w:lang w:val="nl-NL"/>
      <w14:ligatures w14:val="standardContextual"/>
    </w:rPr>
    <w:tblPr>
      <w:tblStyleRowBandSize w:val="1"/>
      <w:tblStyleColBandSize w:val="1"/>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tblBorders>
    </w:tblPr>
    <w:tblStylePr w:type="firstRow">
      <w:rPr>
        <w:rFonts w:ascii="Arial" w:hAnsi="Arial"/>
        <w:b/>
        <w:color w:val="FFFFFF"/>
        <w:sz w:val="22"/>
      </w:rPr>
      <w:tblPr/>
      <w:tcPr>
        <w:shd w:val="clear" w:color="5B9BD5" w:themeColor="accent1"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5E5F4" w:themeColor="accent1" w:themeTint="40" w:fill="D5E5F4" w:themeFill="accent1" w:themeFillTint="40"/>
      </w:tcPr>
    </w:tblStylePr>
    <w:tblStylePr w:type="band1Horz">
      <w:rPr>
        <w:rFonts w:ascii="Arial" w:hAnsi="Arial"/>
        <w:color w:val="404040"/>
        <w:sz w:val="22"/>
      </w:rPr>
      <w:tblPr/>
      <w:tcPr>
        <w:shd w:val="clear" w:color="D5E5F4" w:themeColor="accent1" w:themeTint="40" w:fill="D5E5F4" w:themeFill="accent1" w:themeFillTint="40"/>
      </w:tcPr>
    </w:tblStylePr>
  </w:style>
  <w:style w:type="table" w:styleId="Listentabelle4Akzent2">
    <w:name w:val="List Table 4 Accent 2"/>
    <w:basedOn w:val="NormaleTabelle"/>
    <w:uiPriority w:val="99"/>
    <w:rsid w:val="00187C95"/>
    <w:pPr>
      <w:spacing w:after="0" w:line="240" w:lineRule="auto"/>
    </w:pPr>
    <w:rPr>
      <w:sz w:val="24"/>
      <w:szCs w:val="24"/>
      <w:lang w:val="nl-NL"/>
      <w14:ligatures w14:val="standardContextual"/>
    </w:r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ED7D31" w:themeColor="accent2"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styleId="Listentabelle4Akzent3">
    <w:name w:val="List Table 4 Accent 3"/>
    <w:basedOn w:val="NormaleTabelle"/>
    <w:uiPriority w:val="99"/>
    <w:rsid w:val="00187C95"/>
    <w:pPr>
      <w:spacing w:after="0" w:line="240" w:lineRule="auto"/>
    </w:pPr>
    <w:rPr>
      <w:sz w:val="24"/>
      <w:szCs w:val="24"/>
      <w:lang w:val="nl-NL"/>
      <w14:ligatures w14:val="standardContextual"/>
    </w:r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5A5A5" w:themeColor="accent3"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styleId="Listentabelle4Akzent4">
    <w:name w:val="List Table 4 Accent 4"/>
    <w:basedOn w:val="NormaleTabelle"/>
    <w:uiPriority w:val="99"/>
    <w:rsid w:val="00187C95"/>
    <w:pPr>
      <w:spacing w:after="0" w:line="240" w:lineRule="auto"/>
    </w:pPr>
    <w:rPr>
      <w:sz w:val="24"/>
      <w:szCs w:val="24"/>
      <w:lang w:val="nl-NL"/>
      <w14:ligatures w14:val="standardContextual"/>
    </w:r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FFC000" w:themeColor="accent4"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styleId="Listentabelle4Akzent5">
    <w:name w:val="List Table 4 Accent 5"/>
    <w:basedOn w:val="NormaleTabelle"/>
    <w:uiPriority w:val="99"/>
    <w:rsid w:val="00187C95"/>
    <w:pPr>
      <w:spacing w:after="0" w:line="240" w:lineRule="auto"/>
    </w:pPr>
    <w:rPr>
      <w:sz w:val="24"/>
      <w:szCs w:val="24"/>
      <w:lang w:val="nl-NL"/>
      <w14:ligatures w14:val="standardContextual"/>
    </w:rPr>
    <w:tblPr>
      <w:tblStyleRowBandSize w:val="1"/>
      <w:tblStyleColBandSize w:val="1"/>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tblBorders>
    </w:tblPr>
    <w:tblStylePr w:type="firstRow">
      <w:rPr>
        <w:rFonts w:ascii="Arial" w:hAnsi="Arial"/>
        <w:b/>
        <w:color w:val="FFFFFF"/>
        <w:sz w:val="22"/>
      </w:rPr>
      <w:tblPr/>
      <w:tcPr>
        <w:shd w:val="clear" w:color="4472C4" w:themeColor="accent5" w:fill="4472C4"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DBF0" w:themeColor="accent5" w:themeTint="40" w:fill="CFDBF0" w:themeFill="accent5" w:themeFillTint="40"/>
      </w:tcPr>
    </w:tblStylePr>
    <w:tblStylePr w:type="band1Horz">
      <w:rPr>
        <w:rFonts w:ascii="Arial" w:hAnsi="Arial"/>
        <w:color w:val="404040"/>
        <w:sz w:val="22"/>
      </w:rPr>
      <w:tblPr/>
      <w:tcPr>
        <w:shd w:val="clear" w:color="CFDBF0" w:themeColor="accent5" w:themeTint="40" w:fill="CFDBF0" w:themeFill="accent5" w:themeFillTint="40"/>
      </w:tcPr>
    </w:tblStylePr>
  </w:style>
  <w:style w:type="table" w:styleId="Listentabelle4Akzent6">
    <w:name w:val="List Table 4 Accent 6"/>
    <w:basedOn w:val="NormaleTabelle"/>
    <w:uiPriority w:val="99"/>
    <w:rsid w:val="00187C95"/>
    <w:pPr>
      <w:spacing w:after="0" w:line="240" w:lineRule="auto"/>
    </w:pPr>
    <w:rPr>
      <w:sz w:val="24"/>
      <w:szCs w:val="24"/>
      <w:lang w:val="nl-NL"/>
      <w14:ligatures w14:val="standardContextual"/>
    </w:r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70AD47" w:themeColor="accent6"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Listentabelle5dunkelAkzent1">
    <w:name w:val="List Table 5 Dark Accent 1"/>
    <w:basedOn w:val="NormaleTabelle"/>
    <w:uiPriority w:val="99"/>
    <w:rsid w:val="00187C95"/>
    <w:pPr>
      <w:spacing w:after="0" w:line="240" w:lineRule="auto"/>
    </w:pPr>
    <w:rPr>
      <w:sz w:val="24"/>
      <w:szCs w:val="24"/>
      <w:lang w:val="nl-NL"/>
      <w14:ligatures w14:val="standardContextual"/>
    </w:rPr>
    <w:tblPr>
      <w:tblStyleRowBandSize w:val="1"/>
      <w:tblStyleColBandSize w:val="1"/>
      <w:tblBorders>
        <w:top w:val="single" w:sz="32" w:space="0" w:color="5B9BD5" w:themeColor="accent1"/>
        <w:left w:val="single" w:sz="32" w:space="0" w:color="5B9BD5" w:themeColor="accent1"/>
        <w:bottom w:val="single" w:sz="32" w:space="0" w:color="5B9BD5" w:themeColor="accent1"/>
        <w:right w:val="single" w:sz="32" w:space="0" w:color="5B9BD5" w:themeColor="accent1"/>
      </w:tblBorders>
      <w:shd w:val="clear" w:color="5B9BD5" w:themeColor="accent1" w:fill="5B9BD5" w:themeFill="accent1"/>
    </w:tblPr>
    <w:tblStylePr w:type="firstRow">
      <w:rPr>
        <w:rFonts w:ascii="Arial" w:hAnsi="Arial"/>
        <w:b/>
        <w:color w:val="FFFFFF" w:themeColor="light1"/>
        <w:sz w:val="22"/>
      </w:rPr>
      <w:tblPr/>
      <w:tcPr>
        <w:tcBorders>
          <w:top w:val="single" w:sz="32" w:space="0" w:color="5B9BD5" w:themeColor="accent1"/>
          <w:bottom w:val="single" w:sz="12" w:space="0" w:color="FFFFFF" w:themeColor="light1"/>
        </w:tcBorders>
        <w:shd w:val="clear" w:color="5B9BD5" w:themeColor="accent1" w:fill="5B9BD5"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5B9BD5" w:themeColor="accent1"/>
          <w:right w:val="single" w:sz="4" w:space="0" w:color="FFFFFF" w:themeColor="light1"/>
        </w:tcBorders>
      </w:tcPr>
    </w:tblStylePr>
    <w:tblStylePr w:type="lastCol">
      <w:tblPr/>
      <w:tcPr>
        <w:tcBorders>
          <w:left w:val="single" w:sz="4" w:space="0" w:color="FFFFFF" w:themeColor="light1"/>
          <w:right w:val="single" w:sz="32" w:space="0" w:color="5B9BD5" w:themeColor="accent1"/>
        </w:tcBorders>
      </w:tcPr>
    </w:tblStylePr>
    <w:tblStylePr w:type="band1Vert">
      <w:tblPr/>
      <w:tcPr>
        <w:tcBorders>
          <w:left w:val="single" w:sz="4" w:space="0" w:color="FFFFFF" w:themeColor="light1"/>
          <w:right w:val="single" w:sz="4" w:space="0" w:color="FFFFFF" w:themeColor="light1"/>
        </w:tcBorders>
        <w:shd w:val="clear" w:color="5B9BD5" w:themeColor="accent1" w:fill="5B9BD5"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5B9BD5" w:themeColor="accent1" w:fill="5B9BD5" w:themeFill="accent1"/>
      </w:tcPr>
    </w:tblStylePr>
    <w:tblStylePr w:type="band2Horz">
      <w:tblPr/>
      <w:tcPr>
        <w:tcBorders>
          <w:top w:val="single" w:sz="4" w:space="0" w:color="FFFFFF" w:themeColor="light1"/>
          <w:bottom w:val="single" w:sz="4" w:space="0" w:color="FFFFFF" w:themeColor="light1"/>
        </w:tcBorders>
        <w:shd w:val="clear" w:color="5B9BD5" w:themeColor="accent1" w:fill="5B9BD5" w:themeFill="accent1"/>
      </w:tcPr>
    </w:tblStylePr>
  </w:style>
  <w:style w:type="table" w:styleId="Listentabelle5dunkelAkzent2">
    <w:name w:val="List Table 5 Dark Accent 2"/>
    <w:basedOn w:val="NormaleTabelle"/>
    <w:uiPriority w:val="99"/>
    <w:rsid w:val="00187C95"/>
    <w:pPr>
      <w:spacing w:after="0" w:line="240" w:lineRule="auto"/>
    </w:pPr>
    <w:rPr>
      <w:sz w:val="24"/>
      <w:szCs w:val="24"/>
      <w:lang w:val="nl-NL"/>
      <w14:ligatures w14:val="standardContextual"/>
    </w:rPr>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F4B184" w:themeColor="accent2" w:themeTint="97"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F4B184" w:themeColor="accent2" w:themeTint="97"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F4B184" w:themeColor="accent2" w:themeTint="97"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tblStylePr w:type="band2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style>
  <w:style w:type="table" w:styleId="Listentabelle5dunkelAkzent3">
    <w:name w:val="List Table 5 Dark Accent 3"/>
    <w:basedOn w:val="NormaleTabelle"/>
    <w:uiPriority w:val="99"/>
    <w:rsid w:val="00187C95"/>
    <w:pPr>
      <w:spacing w:after="0" w:line="240" w:lineRule="auto"/>
    </w:pPr>
    <w:rPr>
      <w:sz w:val="24"/>
      <w:szCs w:val="24"/>
      <w:lang w:val="nl-NL"/>
      <w14:ligatures w14:val="standardContextual"/>
    </w:rPr>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C9C9C9" w:themeColor="accent3" w:themeTint="98"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C9C9C9" w:themeColor="accent3" w:themeTint="98"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C9C9C9" w:themeColor="accent3" w:themeTint="98"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tblStylePr w:type="band2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style>
  <w:style w:type="table" w:styleId="Listentabelle5dunkelAkzent4">
    <w:name w:val="List Table 5 Dark Accent 4"/>
    <w:basedOn w:val="NormaleTabelle"/>
    <w:uiPriority w:val="99"/>
    <w:rsid w:val="00187C95"/>
    <w:pPr>
      <w:spacing w:after="0" w:line="240" w:lineRule="auto"/>
    </w:pPr>
    <w:rPr>
      <w:sz w:val="24"/>
      <w:szCs w:val="24"/>
      <w:lang w:val="nl-NL"/>
      <w14:ligatures w14:val="standardContextual"/>
    </w:rPr>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FFD865" w:themeColor="accent4" w:themeTint="9A"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FFD865" w:themeColor="accent4" w:themeTint="9A"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FFD865" w:themeColor="accent4" w:themeTint="9A"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tblStylePr w:type="band2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style>
  <w:style w:type="table" w:styleId="Listentabelle5dunkelAkzent5">
    <w:name w:val="List Table 5 Dark Accent 5"/>
    <w:basedOn w:val="NormaleTabelle"/>
    <w:uiPriority w:val="99"/>
    <w:rsid w:val="00187C95"/>
    <w:pPr>
      <w:spacing w:after="0" w:line="240" w:lineRule="auto"/>
    </w:pPr>
    <w:rPr>
      <w:sz w:val="24"/>
      <w:szCs w:val="24"/>
      <w:lang w:val="nl-NL"/>
      <w14:ligatures w14:val="standardContextual"/>
    </w:rPr>
    <w:tblPr>
      <w:tblStyleRowBandSize w:val="1"/>
      <w:tblStyleColBandSize w:val="1"/>
      <w:tblBorders>
        <w:top w:val="single" w:sz="32" w:space="0" w:color="8DA9DB" w:themeColor="accent5" w:themeTint="9A"/>
        <w:left w:val="single" w:sz="32" w:space="0" w:color="8DA9DB" w:themeColor="accent5" w:themeTint="9A"/>
        <w:bottom w:val="single" w:sz="32" w:space="0" w:color="8DA9DB" w:themeColor="accent5" w:themeTint="9A"/>
        <w:right w:val="single" w:sz="32" w:space="0" w:color="8DA9DB" w:themeColor="accent5" w:themeTint="9A"/>
      </w:tblBorders>
      <w:shd w:val="clear" w:color="8DA9DB" w:themeColor="accent5" w:themeTint="9A" w:fill="8DA9DB" w:themeFill="accent5" w:themeFillTint="9A"/>
    </w:tblPr>
    <w:tblStylePr w:type="firstRow">
      <w:rPr>
        <w:rFonts w:ascii="Arial" w:hAnsi="Arial"/>
        <w:b/>
        <w:color w:val="FFFFFF" w:themeColor="light1"/>
        <w:sz w:val="22"/>
      </w:rPr>
      <w:tblPr/>
      <w:tcPr>
        <w:tcBorders>
          <w:top w:val="single" w:sz="32" w:space="0" w:color="8DA9DB" w:themeColor="accent5" w:themeTint="9A"/>
          <w:bottom w:val="single" w:sz="12" w:space="0" w:color="FFFFFF" w:themeColor="light1"/>
        </w:tcBorders>
        <w:shd w:val="clear" w:color="8DA9DB" w:themeColor="accent5" w:themeTint="9A" w:fill="8DA9DB"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8DA9DB" w:themeColor="accent5" w:themeTint="9A"/>
          <w:right w:val="single" w:sz="4" w:space="0" w:color="FFFFFF" w:themeColor="light1"/>
        </w:tcBorders>
      </w:tcPr>
    </w:tblStylePr>
    <w:tblStylePr w:type="lastCol">
      <w:tblPr/>
      <w:tcPr>
        <w:tcBorders>
          <w:left w:val="single" w:sz="4" w:space="0" w:color="FFFFFF" w:themeColor="light1"/>
          <w:right w:val="single" w:sz="32" w:space="0" w:color="8DA9DB" w:themeColor="accent5" w:themeTint="9A"/>
        </w:tcBorders>
      </w:tcPr>
    </w:tblStylePr>
    <w:tblStylePr w:type="band1Vert">
      <w:tblPr/>
      <w:tcPr>
        <w:tcBorders>
          <w:left w:val="single" w:sz="4" w:space="0" w:color="FFFFFF" w:themeColor="light1"/>
          <w:right w:val="single" w:sz="4" w:space="0" w:color="FFFFFF" w:themeColor="light1"/>
        </w:tcBorders>
        <w:shd w:val="clear" w:color="8DA9DB" w:themeColor="accent5" w:themeTint="9A" w:fill="8DA9DB"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8DA9DB" w:themeColor="accent5" w:themeTint="9A" w:fill="8DA9DB" w:themeFill="accent5" w:themeFillTint="9A"/>
      </w:tcPr>
    </w:tblStylePr>
    <w:tblStylePr w:type="band2Horz">
      <w:tblPr/>
      <w:tcPr>
        <w:tcBorders>
          <w:top w:val="single" w:sz="4" w:space="0" w:color="FFFFFF" w:themeColor="light1"/>
          <w:bottom w:val="single" w:sz="4" w:space="0" w:color="FFFFFF" w:themeColor="light1"/>
        </w:tcBorders>
        <w:shd w:val="clear" w:color="8DA9DB" w:themeColor="accent5" w:themeTint="9A" w:fill="8DA9DB" w:themeFill="accent5" w:themeFillTint="9A"/>
      </w:tcPr>
    </w:tblStylePr>
  </w:style>
  <w:style w:type="table" w:styleId="Listentabelle5dunkelAkzent6">
    <w:name w:val="List Table 5 Dark Accent 6"/>
    <w:basedOn w:val="NormaleTabelle"/>
    <w:uiPriority w:val="99"/>
    <w:rsid w:val="00187C95"/>
    <w:pPr>
      <w:spacing w:after="0" w:line="240" w:lineRule="auto"/>
    </w:pPr>
    <w:rPr>
      <w:sz w:val="24"/>
      <w:szCs w:val="24"/>
      <w:lang w:val="nl-NL"/>
      <w14:ligatures w14:val="standardContextual"/>
    </w:rPr>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9D08E" w:themeColor="accent6" w:themeTint="98"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9D08E" w:themeColor="accent6" w:themeTint="98"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9D08E" w:themeColor="accent6" w:themeTint="98"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tblStylePr w:type="band2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style>
  <w:style w:type="table" w:styleId="Listentabelle6farbigAkzent1">
    <w:name w:val="List Table 6 Colorful Accent 1"/>
    <w:basedOn w:val="NormaleTabelle"/>
    <w:uiPriority w:val="99"/>
    <w:rsid w:val="00187C95"/>
    <w:pPr>
      <w:spacing w:after="0" w:line="240" w:lineRule="auto"/>
    </w:pPr>
    <w:rPr>
      <w:sz w:val="24"/>
      <w:szCs w:val="24"/>
      <w:lang w:val="nl-NL"/>
      <w14:ligatures w14:val="standardContextual"/>
    </w:rPr>
    <w:tblPr>
      <w:tblStyleRowBandSize w:val="1"/>
      <w:tblStyleColBandSize w:val="1"/>
      <w:tblBorders>
        <w:top w:val="single" w:sz="4" w:space="0" w:color="5B9BD5" w:themeColor="accent1"/>
        <w:bottom w:val="single" w:sz="4" w:space="0" w:color="5B9BD5" w:themeColor="accent1"/>
      </w:tblBorders>
    </w:tblPr>
    <w:tblStylePr w:type="firstRow">
      <w:rPr>
        <w:b/>
        <w:color w:val="245A8D" w:themeColor="accent1" w:themeShade="95"/>
      </w:rPr>
      <w:tblPr/>
      <w:tcPr>
        <w:tcBorders>
          <w:bottom w:val="single" w:sz="4" w:space="0" w:color="5B9BD5" w:themeColor="accent1"/>
        </w:tcBorders>
      </w:tcPr>
    </w:tblStylePr>
    <w:tblStylePr w:type="lastRow">
      <w:rPr>
        <w:b/>
        <w:color w:val="245A8D" w:themeColor="accent1" w:themeShade="95"/>
      </w:rPr>
      <w:tblPr/>
      <w:tcPr>
        <w:tcBorders>
          <w:top w:val="single" w:sz="4" w:space="0" w:color="5B9BD5" w:themeColor="accent1"/>
        </w:tcBorders>
      </w:tcPr>
    </w:tblStylePr>
    <w:tblStylePr w:type="firstCol">
      <w:rPr>
        <w:b/>
        <w:color w:val="245A8D" w:themeColor="accent1" w:themeShade="95"/>
      </w:rPr>
    </w:tblStylePr>
    <w:tblStylePr w:type="lastCol">
      <w:rPr>
        <w:b/>
        <w:color w:val="245A8D" w:themeColor="accent1" w:themeShade="95"/>
      </w:rPr>
    </w:tblStylePr>
    <w:tblStylePr w:type="band1Vert">
      <w:tblPr/>
      <w:tcPr>
        <w:shd w:val="clear" w:color="D5E5F4" w:themeColor="accent1" w:themeTint="40" w:fill="D5E5F4" w:themeFill="accent1" w:themeFillTint="40"/>
      </w:tcPr>
    </w:tblStylePr>
    <w:tblStylePr w:type="band1Horz">
      <w:rPr>
        <w:rFonts w:ascii="Arial" w:hAnsi="Arial"/>
        <w:color w:val="245A8D" w:themeColor="accent1" w:themeShade="95"/>
        <w:sz w:val="22"/>
      </w:rPr>
      <w:tblPr/>
      <w:tcPr>
        <w:shd w:val="clear" w:color="D5E5F4" w:themeColor="accent1" w:themeTint="40" w:fill="D5E5F4" w:themeFill="accent1" w:themeFillTint="40"/>
      </w:tcPr>
    </w:tblStylePr>
    <w:tblStylePr w:type="band2Horz">
      <w:rPr>
        <w:rFonts w:ascii="Arial" w:hAnsi="Arial"/>
        <w:color w:val="245A8D" w:themeColor="accent1" w:themeShade="95"/>
        <w:sz w:val="22"/>
      </w:rPr>
    </w:tblStylePr>
  </w:style>
  <w:style w:type="table" w:styleId="Listentabelle6farbigAkzent2">
    <w:name w:val="List Table 6 Colorful Accent 2"/>
    <w:basedOn w:val="NormaleTabelle"/>
    <w:uiPriority w:val="99"/>
    <w:rsid w:val="00187C95"/>
    <w:pPr>
      <w:spacing w:after="0" w:line="240" w:lineRule="auto"/>
    </w:pPr>
    <w:rPr>
      <w:sz w:val="24"/>
      <w:szCs w:val="24"/>
      <w:lang w:val="nl-NL"/>
      <w14:ligatures w14:val="standardContextual"/>
    </w:rPr>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styleId="Listentabelle6farbigAkzent3">
    <w:name w:val="List Table 6 Colorful Accent 3"/>
    <w:basedOn w:val="NormaleTabelle"/>
    <w:uiPriority w:val="99"/>
    <w:rsid w:val="00187C95"/>
    <w:pPr>
      <w:spacing w:after="0" w:line="240" w:lineRule="auto"/>
    </w:pPr>
    <w:rPr>
      <w:sz w:val="24"/>
      <w:szCs w:val="24"/>
      <w:lang w:val="nl-NL"/>
      <w14:ligatures w14:val="standardContextual"/>
    </w:rPr>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styleId="Listentabelle6farbigAkzent4">
    <w:name w:val="List Table 6 Colorful Accent 4"/>
    <w:basedOn w:val="NormaleTabelle"/>
    <w:uiPriority w:val="99"/>
    <w:rsid w:val="00187C95"/>
    <w:pPr>
      <w:spacing w:after="0" w:line="240" w:lineRule="auto"/>
    </w:pPr>
    <w:rPr>
      <w:sz w:val="24"/>
      <w:szCs w:val="24"/>
      <w:lang w:val="nl-NL"/>
      <w14:ligatures w14:val="standardContextual"/>
    </w:rPr>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styleId="Listentabelle6farbigAkzent5">
    <w:name w:val="List Table 6 Colorful Accent 5"/>
    <w:basedOn w:val="NormaleTabelle"/>
    <w:uiPriority w:val="99"/>
    <w:rsid w:val="00187C95"/>
    <w:pPr>
      <w:spacing w:after="0" w:line="240" w:lineRule="auto"/>
    </w:pPr>
    <w:rPr>
      <w:sz w:val="24"/>
      <w:szCs w:val="24"/>
      <w:lang w:val="nl-NL"/>
      <w14:ligatures w14:val="standardContextual"/>
    </w:rPr>
    <w:tblPr>
      <w:tblStyleRowBandSize w:val="1"/>
      <w:tblStyleColBandSize w:val="1"/>
      <w:tblBorders>
        <w:top w:val="single" w:sz="4" w:space="0" w:color="8DA9DB" w:themeColor="accent5" w:themeTint="9A"/>
        <w:bottom w:val="single" w:sz="4" w:space="0" w:color="8DA9DB" w:themeColor="accent5" w:themeTint="9A"/>
      </w:tblBorders>
    </w:tblPr>
    <w:tblStylePr w:type="firstRow">
      <w:rPr>
        <w:b/>
        <w:color w:val="8DA9DB" w:themeColor="accent5" w:themeTint="9A" w:themeShade="95"/>
      </w:rPr>
      <w:tblPr/>
      <w:tcPr>
        <w:tcBorders>
          <w:bottom w:val="single" w:sz="4" w:space="0" w:color="8DA9DB" w:themeColor="accent5" w:themeTint="9A"/>
        </w:tcBorders>
      </w:tcPr>
    </w:tblStylePr>
    <w:tblStylePr w:type="lastRow">
      <w:rPr>
        <w:b/>
        <w:color w:val="8DA9DB" w:themeColor="accent5" w:themeTint="9A" w:themeShade="95"/>
      </w:rPr>
      <w:tblPr/>
      <w:tcPr>
        <w:tcBorders>
          <w:top w:val="single" w:sz="4" w:space="0" w:color="8DA9DB" w:themeColor="accent5" w:themeTint="9A"/>
        </w:tcBorders>
      </w:tcPr>
    </w:tblStylePr>
    <w:tblStylePr w:type="firstCol">
      <w:rPr>
        <w:b/>
        <w:color w:val="8DA9DB" w:themeColor="accent5" w:themeTint="9A" w:themeShade="95"/>
      </w:rPr>
    </w:tblStylePr>
    <w:tblStylePr w:type="lastCol">
      <w:rPr>
        <w:b/>
        <w:color w:val="8DA9DB" w:themeColor="accent5" w:themeTint="9A" w:themeShade="95"/>
      </w:rPr>
    </w:tblStylePr>
    <w:tblStylePr w:type="band1Vert">
      <w:tblPr/>
      <w:tcPr>
        <w:shd w:val="clear" w:color="CFDBF0" w:themeColor="accent5" w:themeTint="40" w:fill="CFDBF0" w:themeFill="accent5" w:themeFillTint="40"/>
      </w:tcPr>
    </w:tblStylePr>
    <w:tblStylePr w:type="band1Horz">
      <w:rPr>
        <w:rFonts w:ascii="Arial" w:hAnsi="Arial"/>
        <w:color w:val="8DA9DB" w:themeColor="accent5" w:themeTint="9A" w:themeShade="95"/>
        <w:sz w:val="22"/>
      </w:rPr>
      <w:tblPr/>
      <w:tcPr>
        <w:shd w:val="clear" w:color="CFDBF0" w:themeColor="accent5" w:themeTint="40" w:fill="CFDBF0" w:themeFill="accent5" w:themeFillTint="40"/>
      </w:tcPr>
    </w:tblStylePr>
    <w:tblStylePr w:type="band2Horz">
      <w:rPr>
        <w:rFonts w:ascii="Arial" w:hAnsi="Arial"/>
        <w:color w:val="8DA9DB" w:themeColor="accent5" w:themeTint="9A" w:themeShade="95"/>
        <w:sz w:val="22"/>
      </w:rPr>
    </w:tblStylePr>
  </w:style>
  <w:style w:type="table" w:styleId="Listentabelle6farbigAkzent6">
    <w:name w:val="List Table 6 Colorful Accent 6"/>
    <w:basedOn w:val="NormaleTabelle"/>
    <w:uiPriority w:val="99"/>
    <w:rsid w:val="00187C95"/>
    <w:pPr>
      <w:spacing w:after="0" w:line="240" w:lineRule="auto"/>
    </w:pPr>
    <w:rPr>
      <w:sz w:val="24"/>
      <w:szCs w:val="24"/>
      <w:lang w:val="nl-NL"/>
      <w14:ligatures w14:val="standardContextual"/>
    </w:rPr>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styleId="Listentabelle7farbigAkzent1">
    <w:name w:val="List Table 7 Colorful Accent 1"/>
    <w:basedOn w:val="NormaleTabelle"/>
    <w:uiPriority w:val="99"/>
    <w:rsid w:val="00187C95"/>
    <w:pPr>
      <w:spacing w:after="0" w:line="240" w:lineRule="auto"/>
    </w:pPr>
    <w:rPr>
      <w:sz w:val="24"/>
      <w:szCs w:val="24"/>
      <w:lang w:val="nl-NL"/>
      <w14:ligatures w14:val="standardContextual"/>
    </w:rPr>
    <w:tblPr>
      <w:tblStyleRowBandSize w:val="1"/>
      <w:tblStyleColBandSize w:val="1"/>
      <w:tblBorders>
        <w:right w:val="single" w:sz="4" w:space="0" w:color="5B9BD5" w:themeColor="accent1"/>
      </w:tblBorders>
    </w:tblPr>
    <w:tblStylePr w:type="firstRow">
      <w:rPr>
        <w:rFonts w:ascii="Arial" w:hAnsi="Arial"/>
        <w:i/>
        <w:color w:val="245A8D" w:themeColor="accent1" w:themeShade="95"/>
        <w:sz w:val="22"/>
      </w:rPr>
      <w:tblPr/>
      <w:tcPr>
        <w:tcBorders>
          <w:top w:val="none" w:sz="0" w:space="0" w:color="000000"/>
          <w:left w:val="none" w:sz="0" w:space="0" w:color="000000"/>
          <w:bottom w:val="single" w:sz="4" w:space="0" w:color="5B9BD5" w:themeColor="accent1"/>
          <w:right w:val="none" w:sz="0" w:space="0" w:color="000000"/>
        </w:tcBorders>
        <w:shd w:val="clear" w:color="FFFFFF" w:themeColor="light1" w:fill="FFFFFF" w:themeFill="light1"/>
      </w:tcPr>
    </w:tblStylePr>
    <w:tblStylePr w:type="lastRow">
      <w:rPr>
        <w:rFonts w:ascii="Arial" w:hAnsi="Arial"/>
        <w:i/>
        <w:color w:val="245A8D" w:themeColor="accent1" w:themeShade="95"/>
        <w:sz w:val="22"/>
      </w:rPr>
      <w:tblPr/>
      <w:tcPr>
        <w:tcBorders>
          <w:top w:val="single" w:sz="4" w:space="0" w:color="5B9BD5" w:themeColor="accent1"/>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245A8D" w:themeColor="accent1" w:themeShade="95"/>
        <w:sz w:val="22"/>
      </w:rPr>
      <w:tblPr/>
      <w:tcPr>
        <w:tcBorders>
          <w:top w:val="none" w:sz="0" w:space="0" w:color="000000"/>
          <w:left w:val="none" w:sz="0" w:space="0" w:color="000000"/>
          <w:bottom w:val="none" w:sz="0" w:space="0" w:color="000000"/>
          <w:right w:val="single" w:sz="4" w:space="0" w:color="5B9BD5" w:themeColor="accent1"/>
        </w:tcBorders>
        <w:shd w:val="clear" w:color="FFFFFF" w:fill="auto"/>
      </w:tcPr>
    </w:tblStylePr>
    <w:tblStylePr w:type="lastCol">
      <w:rPr>
        <w:rFonts w:ascii="Arial" w:hAnsi="Arial"/>
        <w:i/>
        <w:color w:val="245A8D" w:themeColor="accent1" w:themeShade="95"/>
        <w:sz w:val="22"/>
      </w:rPr>
      <w:tblPr/>
      <w:tcPr>
        <w:tcBorders>
          <w:top w:val="none" w:sz="0" w:space="0" w:color="000000"/>
          <w:left w:val="single" w:sz="4" w:space="0" w:color="5B9BD5" w:themeColor="accent1"/>
          <w:bottom w:val="none" w:sz="0" w:space="0" w:color="000000"/>
          <w:right w:val="none" w:sz="0" w:space="0" w:color="000000"/>
        </w:tcBorders>
        <w:shd w:val="clear" w:color="FFFFFF" w:fill="auto"/>
      </w:tcPr>
    </w:tblStylePr>
    <w:tblStylePr w:type="band1Vert">
      <w:tblPr/>
      <w:tcPr>
        <w:shd w:val="clear" w:color="D5E5F4" w:themeColor="accent1" w:themeTint="40" w:fill="D5E5F4" w:themeFill="accent1" w:themeFillTint="40"/>
      </w:tcPr>
    </w:tblStylePr>
    <w:tblStylePr w:type="band1Horz">
      <w:rPr>
        <w:rFonts w:ascii="Arial" w:hAnsi="Arial"/>
        <w:color w:val="245A8D" w:themeColor="accent1" w:themeShade="95"/>
        <w:sz w:val="22"/>
      </w:rPr>
      <w:tblPr/>
      <w:tcPr>
        <w:shd w:val="clear" w:color="D5E5F4" w:themeColor="accent1" w:themeTint="40" w:fill="D5E5F4" w:themeFill="accent1" w:themeFillTint="40"/>
      </w:tcPr>
    </w:tblStylePr>
    <w:tblStylePr w:type="band2Horz">
      <w:rPr>
        <w:rFonts w:ascii="Arial" w:hAnsi="Arial"/>
        <w:color w:val="245A8D" w:themeColor="accent1" w:themeShade="95"/>
        <w:sz w:val="22"/>
      </w:rPr>
    </w:tblStylePr>
  </w:style>
  <w:style w:type="table" w:styleId="Listentabelle7farbigAkzent2">
    <w:name w:val="List Table 7 Colorful Accent 2"/>
    <w:basedOn w:val="NormaleTabelle"/>
    <w:uiPriority w:val="99"/>
    <w:rsid w:val="00187C95"/>
    <w:pPr>
      <w:spacing w:after="0" w:line="240" w:lineRule="auto"/>
    </w:pPr>
    <w:rPr>
      <w:sz w:val="24"/>
      <w:szCs w:val="24"/>
      <w:lang w:val="nl-NL"/>
      <w14:ligatures w14:val="standardContextual"/>
    </w:rPr>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0" w:space="0" w:color="000000"/>
          <w:left w:val="none" w:sz="0" w:space="0" w:color="000000"/>
          <w:bottom w:val="single" w:sz="4" w:space="0" w:color="F4B184" w:themeColor="accent2" w:themeTint="97"/>
          <w:right w:val="none" w:sz="0" w:space="0" w:color="000000"/>
        </w:tcBorders>
        <w:shd w:val="clear" w:color="FFFFFF" w:themeColor="light1"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0" w:space="0" w:color="000000"/>
          <w:left w:val="none" w:sz="0" w:space="0" w:color="000000"/>
          <w:bottom w:val="none" w:sz="0" w:space="0" w:color="000000"/>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0" w:space="0" w:color="000000"/>
          <w:left w:val="single" w:sz="4" w:space="0" w:color="F4B184" w:themeColor="accent2" w:themeTint="97"/>
          <w:bottom w:val="none" w:sz="0" w:space="0" w:color="000000"/>
          <w:right w:val="none" w:sz="0" w:space="0" w:color="000000"/>
        </w:tcBorders>
        <w:shd w:val="clear" w:color="FFFFFF" w:fill="auto"/>
      </w:tc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styleId="Listentabelle7farbigAkzent3">
    <w:name w:val="List Table 7 Colorful Accent 3"/>
    <w:basedOn w:val="NormaleTabelle"/>
    <w:uiPriority w:val="99"/>
    <w:rsid w:val="00187C95"/>
    <w:pPr>
      <w:spacing w:after="0" w:line="240" w:lineRule="auto"/>
    </w:pPr>
    <w:rPr>
      <w:sz w:val="24"/>
      <w:szCs w:val="24"/>
      <w:lang w:val="nl-NL"/>
      <w14:ligatures w14:val="standardContextual"/>
    </w:rPr>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0" w:space="0" w:color="000000"/>
          <w:left w:val="none" w:sz="0" w:space="0" w:color="000000"/>
          <w:bottom w:val="single" w:sz="4" w:space="0" w:color="C9C9C9" w:themeColor="accent3" w:themeTint="98"/>
          <w:right w:val="none" w:sz="0" w:space="0" w:color="000000"/>
        </w:tcBorders>
        <w:shd w:val="clear" w:color="FFFFFF" w:themeColor="light1"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C9C9C9" w:themeColor="accent3" w:themeTint="98" w:themeShade="95"/>
        <w:sz w:val="22"/>
      </w:rPr>
      <w:tblPr/>
      <w:tcPr>
        <w:tcBorders>
          <w:top w:val="none" w:sz="0" w:space="0" w:color="000000"/>
          <w:left w:val="none" w:sz="0" w:space="0" w:color="000000"/>
          <w:bottom w:val="none" w:sz="0" w:space="0" w:color="000000"/>
          <w:right w:val="single" w:sz="4" w:space="0" w:color="C9C9C9" w:themeColor="accent3" w:themeTint="98"/>
        </w:tcBorders>
        <w:shd w:val="clear" w:color="FFFFFF" w:fill="auto"/>
      </w:tcPr>
    </w:tblStylePr>
    <w:tblStylePr w:type="lastCol">
      <w:rPr>
        <w:rFonts w:ascii="Arial" w:hAnsi="Arial"/>
        <w:i/>
        <w:color w:val="C9C9C9" w:themeColor="accent3" w:themeTint="98" w:themeShade="95"/>
        <w:sz w:val="22"/>
      </w:rPr>
      <w:tblPr/>
      <w:tcPr>
        <w:tcBorders>
          <w:top w:val="none" w:sz="0" w:space="0" w:color="000000"/>
          <w:left w:val="single" w:sz="4" w:space="0" w:color="C9C9C9" w:themeColor="accent3" w:themeTint="98"/>
          <w:bottom w:val="none" w:sz="0" w:space="0" w:color="000000"/>
          <w:right w:val="none" w:sz="0" w:space="0" w:color="000000"/>
        </w:tcBorders>
        <w:shd w:val="clear" w:color="FFFFFF" w:fill="auto"/>
      </w:tc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styleId="Listentabelle7farbigAkzent4">
    <w:name w:val="List Table 7 Colorful Accent 4"/>
    <w:basedOn w:val="NormaleTabelle"/>
    <w:uiPriority w:val="99"/>
    <w:rsid w:val="00187C95"/>
    <w:pPr>
      <w:spacing w:after="0" w:line="240" w:lineRule="auto"/>
    </w:pPr>
    <w:rPr>
      <w:sz w:val="24"/>
      <w:szCs w:val="24"/>
      <w:lang w:val="nl-NL"/>
      <w14:ligatures w14:val="standardContextual"/>
    </w:rPr>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0" w:space="0" w:color="000000"/>
          <w:left w:val="none" w:sz="0" w:space="0" w:color="000000"/>
          <w:bottom w:val="single" w:sz="4" w:space="0" w:color="FFD865" w:themeColor="accent4" w:themeTint="9A"/>
          <w:right w:val="none" w:sz="0" w:space="0" w:color="000000"/>
        </w:tcBorders>
        <w:shd w:val="clear" w:color="FFFFFF" w:themeColor="light1"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0" w:space="0" w:color="000000"/>
          <w:left w:val="none" w:sz="0" w:space="0" w:color="000000"/>
          <w:bottom w:val="none" w:sz="0" w:space="0" w:color="000000"/>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0" w:space="0" w:color="000000"/>
          <w:left w:val="single" w:sz="4" w:space="0" w:color="FFD865" w:themeColor="accent4" w:themeTint="9A"/>
          <w:bottom w:val="none" w:sz="0" w:space="0" w:color="000000"/>
          <w:right w:val="none" w:sz="0" w:space="0" w:color="000000"/>
        </w:tcBorders>
        <w:shd w:val="clear" w:color="FFFFFF" w:fill="auto"/>
      </w:tc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styleId="Listentabelle7farbigAkzent5">
    <w:name w:val="List Table 7 Colorful Accent 5"/>
    <w:basedOn w:val="NormaleTabelle"/>
    <w:uiPriority w:val="99"/>
    <w:rsid w:val="00187C95"/>
    <w:pPr>
      <w:spacing w:after="0" w:line="240" w:lineRule="auto"/>
    </w:pPr>
    <w:rPr>
      <w:sz w:val="24"/>
      <w:szCs w:val="24"/>
      <w:lang w:val="nl-NL"/>
      <w14:ligatures w14:val="standardContextual"/>
    </w:rPr>
    <w:tblPr>
      <w:tblStyleRowBandSize w:val="1"/>
      <w:tblStyleColBandSize w:val="1"/>
      <w:tblBorders>
        <w:right w:val="single" w:sz="4" w:space="0" w:color="8DA9DB" w:themeColor="accent5" w:themeTint="9A"/>
      </w:tblBorders>
    </w:tblPr>
    <w:tblStylePr w:type="firstRow">
      <w:rPr>
        <w:rFonts w:ascii="Arial" w:hAnsi="Arial"/>
        <w:i/>
        <w:color w:val="8DA9DB" w:themeColor="accent5" w:themeTint="9A" w:themeShade="95"/>
        <w:sz w:val="22"/>
      </w:rPr>
      <w:tblPr/>
      <w:tcPr>
        <w:tcBorders>
          <w:top w:val="none" w:sz="0" w:space="0" w:color="000000"/>
          <w:left w:val="none" w:sz="0" w:space="0" w:color="000000"/>
          <w:bottom w:val="single" w:sz="4" w:space="0" w:color="8DA9DB" w:themeColor="accent5" w:themeTint="9A"/>
          <w:right w:val="none" w:sz="0" w:space="0" w:color="000000"/>
        </w:tcBorders>
        <w:shd w:val="clear" w:color="FFFFFF" w:themeColor="light1" w:fill="FFFFFF" w:themeFill="light1"/>
      </w:tcPr>
    </w:tblStylePr>
    <w:tblStylePr w:type="lastRow">
      <w:rPr>
        <w:rFonts w:ascii="Arial" w:hAnsi="Arial"/>
        <w:i/>
        <w:color w:val="8DA9DB" w:themeColor="accent5" w:themeTint="9A" w:themeShade="95"/>
        <w:sz w:val="22"/>
      </w:rPr>
      <w:tblPr/>
      <w:tcPr>
        <w:tcBorders>
          <w:top w:val="single" w:sz="4" w:space="0" w:color="8DA9DB" w:themeColor="accent5" w:themeTint="9A"/>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8DA9DB" w:themeColor="accent5" w:themeTint="9A" w:themeShade="95"/>
        <w:sz w:val="22"/>
      </w:rPr>
      <w:tblPr/>
      <w:tcPr>
        <w:tcBorders>
          <w:top w:val="none" w:sz="0" w:space="0" w:color="000000"/>
          <w:left w:val="none" w:sz="0" w:space="0" w:color="000000"/>
          <w:bottom w:val="none" w:sz="0" w:space="0" w:color="000000"/>
          <w:right w:val="single" w:sz="4" w:space="0" w:color="8DA9DB" w:themeColor="accent5" w:themeTint="9A"/>
        </w:tcBorders>
        <w:shd w:val="clear" w:color="FFFFFF" w:fill="auto"/>
      </w:tcPr>
    </w:tblStylePr>
    <w:tblStylePr w:type="lastCol">
      <w:rPr>
        <w:rFonts w:ascii="Arial" w:hAnsi="Arial"/>
        <w:i/>
        <w:color w:val="8DA9DB" w:themeColor="accent5" w:themeTint="9A" w:themeShade="95"/>
        <w:sz w:val="22"/>
      </w:rPr>
      <w:tblPr/>
      <w:tcPr>
        <w:tcBorders>
          <w:top w:val="none" w:sz="0" w:space="0" w:color="000000"/>
          <w:left w:val="single" w:sz="4" w:space="0" w:color="8DA9DB" w:themeColor="accent5" w:themeTint="9A"/>
          <w:bottom w:val="none" w:sz="0" w:space="0" w:color="000000"/>
          <w:right w:val="none" w:sz="0" w:space="0" w:color="000000"/>
        </w:tcBorders>
        <w:shd w:val="clear" w:color="FFFFFF" w:fill="auto"/>
      </w:tcPr>
    </w:tblStylePr>
    <w:tblStylePr w:type="band1Vert">
      <w:tblPr/>
      <w:tcPr>
        <w:shd w:val="clear" w:color="CFDBF0" w:themeColor="accent5" w:themeTint="40" w:fill="CFDBF0" w:themeFill="accent5" w:themeFillTint="40"/>
      </w:tcPr>
    </w:tblStylePr>
    <w:tblStylePr w:type="band1Horz">
      <w:rPr>
        <w:rFonts w:ascii="Arial" w:hAnsi="Arial"/>
        <w:color w:val="8DA9DB" w:themeColor="accent5" w:themeTint="9A" w:themeShade="95"/>
        <w:sz w:val="22"/>
      </w:rPr>
      <w:tblPr/>
      <w:tcPr>
        <w:shd w:val="clear" w:color="CFDBF0" w:themeColor="accent5" w:themeTint="40" w:fill="CFDBF0" w:themeFill="accent5" w:themeFillTint="40"/>
      </w:tcPr>
    </w:tblStylePr>
    <w:tblStylePr w:type="band2Horz">
      <w:rPr>
        <w:rFonts w:ascii="Arial" w:hAnsi="Arial"/>
        <w:color w:val="8DA9DB" w:themeColor="accent5" w:themeTint="9A" w:themeShade="95"/>
        <w:sz w:val="22"/>
      </w:rPr>
    </w:tblStylePr>
  </w:style>
  <w:style w:type="table" w:styleId="Listentabelle7farbigAkzent6">
    <w:name w:val="List Table 7 Colorful Accent 6"/>
    <w:basedOn w:val="NormaleTabelle"/>
    <w:uiPriority w:val="99"/>
    <w:rsid w:val="00187C95"/>
    <w:pPr>
      <w:spacing w:after="0" w:line="240" w:lineRule="auto"/>
    </w:pPr>
    <w:rPr>
      <w:sz w:val="24"/>
      <w:szCs w:val="24"/>
      <w:lang w:val="nl-NL"/>
      <w14:ligatures w14:val="standardContextual"/>
    </w:rPr>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0" w:space="0" w:color="000000"/>
          <w:left w:val="none" w:sz="0" w:space="0" w:color="000000"/>
          <w:bottom w:val="single" w:sz="4" w:space="0" w:color="A9D08E" w:themeColor="accent6" w:themeTint="98"/>
          <w:right w:val="none" w:sz="0" w:space="0" w:color="000000"/>
        </w:tcBorders>
        <w:shd w:val="clear" w:color="FFFFFF" w:themeColor="light1"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A9D08E" w:themeColor="accent6" w:themeTint="98" w:themeShade="95"/>
        <w:sz w:val="22"/>
      </w:rPr>
      <w:tblPr/>
      <w:tcPr>
        <w:tcBorders>
          <w:top w:val="none" w:sz="0" w:space="0" w:color="000000"/>
          <w:left w:val="none" w:sz="0" w:space="0" w:color="000000"/>
          <w:bottom w:val="none" w:sz="0" w:space="0" w:color="000000"/>
          <w:right w:val="single" w:sz="4" w:space="0" w:color="A9D08E" w:themeColor="accent6" w:themeTint="98"/>
        </w:tcBorders>
        <w:shd w:val="clear" w:color="FFFFFF" w:fill="auto"/>
      </w:tcPr>
    </w:tblStylePr>
    <w:tblStylePr w:type="lastCol">
      <w:rPr>
        <w:rFonts w:ascii="Arial" w:hAnsi="Arial"/>
        <w:i/>
        <w:color w:val="A9D08E" w:themeColor="accent6" w:themeTint="98" w:themeShade="95"/>
        <w:sz w:val="22"/>
      </w:rPr>
      <w:tblPr/>
      <w:tcPr>
        <w:tcBorders>
          <w:top w:val="none" w:sz="0" w:space="0" w:color="000000"/>
          <w:left w:val="single" w:sz="4" w:space="0" w:color="A9D08E" w:themeColor="accent6" w:themeTint="98"/>
          <w:bottom w:val="none" w:sz="0" w:space="0" w:color="000000"/>
          <w:right w:val="none" w:sz="0" w:space="0" w:color="000000"/>
        </w:tcBorders>
        <w:shd w:val="clear" w:color="FFFFFF" w:fill="auto"/>
      </w:tc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styleId="Tabellenraster">
    <w:name w:val="Table Grid"/>
    <w:basedOn w:val="NormaleTabelle"/>
    <w:uiPriority w:val="59"/>
    <w:rsid w:val="00187C95"/>
    <w:pPr>
      <w:spacing w:after="0" w:line="240" w:lineRule="auto"/>
    </w:pPr>
    <w:rPr>
      <w:sz w:val="24"/>
      <w:szCs w:val="24"/>
      <w:lang w:val="nl-NL"/>
      <w14:ligatures w14:val="standardContextu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EinfacheTabelle1">
    <w:name w:val="Plain Table 1"/>
    <w:basedOn w:val="NormaleTabelle"/>
    <w:uiPriority w:val="59"/>
    <w:rsid w:val="00187C95"/>
    <w:pPr>
      <w:spacing w:after="0" w:line="240" w:lineRule="auto"/>
    </w:pPr>
    <w:rPr>
      <w:sz w:val="24"/>
      <w:szCs w:val="24"/>
      <w:lang w:val="nl-NL"/>
      <w14:ligatures w14:val="standardContextual"/>
    </w:r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EinfacheTabelle2">
    <w:name w:val="Plain Table 2"/>
    <w:basedOn w:val="NormaleTabelle"/>
    <w:uiPriority w:val="59"/>
    <w:rsid w:val="00187C95"/>
    <w:pPr>
      <w:spacing w:after="0" w:line="240" w:lineRule="auto"/>
    </w:pPr>
    <w:rPr>
      <w:sz w:val="24"/>
      <w:szCs w:val="24"/>
      <w:lang w:val="nl-NL"/>
      <w14:ligatures w14:val="standardContextual"/>
    </w:r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EinfacheTabelle3">
    <w:name w:val="Plain Table 3"/>
    <w:basedOn w:val="NormaleTabelle"/>
    <w:uiPriority w:val="99"/>
    <w:rsid w:val="00187C95"/>
    <w:pPr>
      <w:spacing w:after="0" w:line="240" w:lineRule="auto"/>
    </w:pPr>
    <w:rPr>
      <w:sz w:val="24"/>
      <w:szCs w:val="24"/>
      <w:lang w:val="nl-NL"/>
      <w14:ligatures w14:val="standardContextual"/>
    </w:r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EinfacheTabelle4">
    <w:name w:val="Plain Table 4"/>
    <w:basedOn w:val="NormaleTabelle"/>
    <w:uiPriority w:val="99"/>
    <w:rsid w:val="00187C95"/>
    <w:pPr>
      <w:spacing w:after="0" w:line="240" w:lineRule="auto"/>
    </w:pPr>
    <w:rPr>
      <w:sz w:val="24"/>
      <w:szCs w:val="24"/>
      <w:lang w:val="nl-NL"/>
      <w14:ligatures w14:val="standardContextual"/>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EinfacheTabelle5">
    <w:name w:val="Plain Table 5"/>
    <w:basedOn w:val="NormaleTabelle"/>
    <w:uiPriority w:val="99"/>
    <w:rsid w:val="00187C95"/>
    <w:pPr>
      <w:spacing w:after="0" w:line="240" w:lineRule="auto"/>
    </w:pPr>
    <w:rPr>
      <w:sz w:val="24"/>
      <w:szCs w:val="24"/>
      <w:lang w:val="nl-NL"/>
      <w14:ligatures w14:val="standardContextual"/>
    </w:r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Gitternetztabelle1hell">
    <w:name w:val="Grid Table 1 Light"/>
    <w:basedOn w:val="NormaleTabelle"/>
    <w:uiPriority w:val="99"/>
    <w:rsid w:val="00187C95"/>
    <w:pPr>
      <w:spacing w:after="0" w:line="240" w:lineRule="auto"/>
    </w:pPr>
    <w:rPr>
      <w:sz w:val="24"/>
      <w:szCs w:val="24"/>
      <w:lang w:val="nl-NL"/>
      <w14:ligatures w14:val="standardContextual"/>
    </w:r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styleId="Gitternetztabelle2">
    <w:name w:val="Grid Table 2"/>
    <w:basedOn w:val="NormaleTabelle"/>
    <w:uiPriority w:val="99"/>
    <w:rsid w:val="00187C95"/>
    <w:pPr>
      <w:spacing w:after="0" w:line="240" w:lineRule="auto"/>
    </w:pPr>
    <w:rPr>
      <w:sz w:val="24"/>
      <w:szCs w:val="24"/>
      <w:lang w:val="nl-NL"/>
      <w14:ligatures w14:val="standardContextual"/>
    </w:r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styleId="Gitternetztabelle3">
    <w:name w:val="Grid Table 3"/>
    <w:basedOn w:val="NormaleTabelle"/>
    <w:uiPriority w:val="99"/>
    <w:rsid w:val="00187C95"/>
    <w:pPr>
      <w:spacing w:after="0" w:line="240" w:lineRule="auto"/>
    </w:pPr>
    <w:rPr>
      <w:sz w:val="24"/>
      <w:szCs w:val="24"/>
      <w:lang w:val="nl-NL"/>
      <w14:ligatures w14:val="standardContextual"/>
    </w:r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styleId="Gitternetztabelle4">
    <w:name w:val="Grid Table 4"/>
    <w:basedOn w:val="NormaleTabelle"/>
    <w:uiPriority w:val="59"/>
    <w:rsid w:val="00187C95"/>
    <w:pPr>
      <w:spacing w:after="0" w:line="240" w:lineRule="auto"/>
    </w:pPr>
    <w:rPr>
      <w:sz w:val="24"/>
      <w:szCs w:val="24"/>
      <w:lang w:val="nl-NL"/>
      <w14:ligatures w14:val="standardContextual"/>
    </w:r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styleId="Gitternetztabelle5dunkel">
    <w:name w:val="Grid Table 5 Dark"/>
    <w:basedOn w:val="NormaleTabelle"/>
    <w:uiPriority w:val="99"/>
    <w:rsid w:val="00187C95"/>
    <w:pPr>
      <w:spacing w:after="0" w:line="240" w:lineRule="auto"/>
    </w:pPr>
    <w:rPr>
      <w:sz w:val="24"/>
      <w:szCs w:val="24"/>
      <w:lang w:val="nl-NL"/>
      <w14:ligatures w14:val="standardContextual"/>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NormaleTabelle"/>
    <w:uiPriority w:val="99"/>
    <w:rsid w:val="00187C95"/>
    <w:pPr>
      <w:spacing w:after="0" w:line="240" w:lineRule="auto"/>
    </w:pPr>
    <w:rPr>
      <w:sz w:val="24"/>
      <w:szCs w:val="24"/>
      <w:lang w:val="nl-NL"/>
      <w14:ligatures w14:val="standardContextual"/>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DEAF6" w:themeColor="accent1" w:themeTint="34" w:fill="DDEAF6" w:themeFill="accent1" w:themeFillTint="34"/>
    </w:tblPr>
    <w:tblStylePr w:type="firstRow">
      <w:rPr>
        <w:rFonts w:ascii="Arial" w:hAnsi="Arial"/>
        <w:b/>
        <w:color w:val="FFFFFF"/>
        <w:sz w:val="22"/>
      </w:rPr>
      <w:tblPr/>
      <w:tcPr>
        <w:shd w:val="clear" w:color="5B9BD5" w:themeColor="accent1" w:fill="5B9BD5" w:themeFill="accent1"/>
      </w:tcPr>
    </w:tblStylePr>
    <w:tblStylePr w:type="lastRow">
      <w:rPr>
        <w:rFonts w:ascii="Arial" w:hAnsi="Arial"/>
        <w:b/>
        <w:color w:val="FFFFFF"/>
        <w:sz w:val="22"/>
      </w:rPr>
      <w:tblPr/>
      <w:tcPr>
        <w:tcBorders>
          <w:top w:val="single" w:sz="4" w:space="0" w:color="FFFFFF" w:themeColor="light1"/>
        </w:tcBorders>
        <w:shd w:val="clear" w:color="5B9BD5" w:themeColor="accent1" w:fill="5B9BD5" w:themeFill="accent1"/>
      </w:tcPr>
    </w:tblStylePr>
    <w:tblStylePr w:type="firstCol">
      <w:rPr>
        <w:rFonts w:ascii="Arial" w:hAnsi="Arial"/>
        <w:b/>
        <w:color w:val="FFFFFF"/>
        <w:sz w:val="22"/>
      </w:rPr>
      <w:tblPr/>
      <w:tcPr>
        <w:shd w:val="clear" w:color="5B9BD5" w:themeColor="accent1" w:fill="5B9BD5" w:themeFill="accent1"/>
      </w:tcPr>
    </w:tblStylePr>
    <w:tblStylePr w:type="lastCol">
      <w:rPr>
        <w:rFonts w:ascii="Arial" w:hAnsi="Arial"/>
        <w:b/>
        <w:color w:val="FFFFFF"/>
        <w:sz w:val="22"/>
      </w:rPr>
      <w:tblPr/>
      <w:tcPr>
        <w:shd w:val="clear" w:color="5B9BD5" w:themeColor="accent1" w:fill="5B9BD5" w:themeFill="accent1"/>
      </w:tcPr>
    </w:tblStylePr>
    <w:tblStylePr w:type="band1Vert">
      <w:tblPr/>
      <w:tcPr>
        <w:shd w:val="clear" w:color="B3D0EB" w:themeColor="accent1" w:themeTint="75" w:fill="B3D0EB" w:themeFill="accent1" w:themeFillTint="75"/>
      </w:tcPr>
    </w:tblStylePr>
    <w:tblStylePr w:type="band1Horz">
      <w:tblPr/>
      <w:tcPr>
        <w:shd w:val="clear" w:color="B3D0EB" w:themeColor="accent1" w:themeTint="75" w:fill="B3D0EB" w:themeFill="accent1" w:themeFillTint="75"/>
      </w:tcPr>
    </w:tblStylePr>
  </w:style>
  <w:style w:type="table" w:customStyle="1" w:styleId="GridTable5Dark-Accent4">
    <w:name w:val="Grid Table 5 Dark- Accent 4"/>
    <w:basedOn w:val="NormaleTabelle"/>
    <w:uiPriority w:val="99"/>
    <w:rsid w:val="00187C95"/>
    <w:pPr>
      <w:spacing w:after="0" w:line="240" w:lineRule="auto"/>
    </w:pPr>
    <w:rPr>
      <w:sz w:val="24"/>
      <w:szCs w:val="24"/>
      <w:lang w:val="nl-NL"/>
      <w14:ligatures w14:val="standardContextual"/>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2CB" w:themeColor="accent4" w:themeTint="34" w:fill="FFF2CB" w:themeFill="accent4" w:themeFillTint="34"/>
    </w:tblPr>
    <w:tblStylePr w:type="firstRow">
      <w:rPr>
        <w:rFonts w:ascii="Arial" w:hAnsi="Arial"/>
        <w:b/>
        <w:color w:val="FFFFFF"/>
        <w:sz w:val="22"/>
      </w:rPr>
      <w:tblPr/>
      <w:tcPr>
        <w:shd w:val="clear" w:color="FFC000" w:themeColor="accent4" w:fill="FFC000" w:themeFill="accent4"/>
      </w:tcPr>
    </w:tblStylePr>
    <w:tblStylePr w:type="lastRow">
      <w:rPr>
        <w:rFonts w:ascii="Arial" w:hAnsi="Arial"/>
        <w:b/>
        <w:color w:val="FFFFFF"/>
        <w:sz w:val="22"/>
      </w:rPr>
      <w:tblPr/>
      <w:tcPr>
        <w:tcBorders>
          <w:top w:val="single" w:sz="4" w:space="0" w:color="FFFFFF" w:themeColor="light1"/>
        </w:tcBorders>
        <w:shd w:val="clear" w:color="FFC000" w:themeColor="accent4" w:fill="FFC000" w:themeFill="accent4"/>
      </w:tcPr>
    </w:tblStylePr>
    <w:tblStylePr w:type="firstCol">
      <w:rPr>
        <w:rFonts w:ascii="Arial" w:hAnsi="Arial"/>
        <w:b/>
        <w:color w:val="FFFFFF"/>
        <w:sz w:val="22"/>
      </w:rPr>
      <w:tblPr/>
      <w:tcPr>
        <w:shd w:val="clear" w:color="FFC000" w:themeColor="accent4" w:fill="FFC000" w:themeFill="accent4"/>
      </w:tcPr>
    </w:tblStylePr>
    <w:tblStylePr w:type="lastCol">
      <w:rPr>
        <w:rFonts w:ascii="Arial" w:hAnsi="Arial"/>
        <w:b/>
        <w:color w:val="FFFFFF"/>
        <w:sz w:val="22"/>
      </w:rPr>
      <w:tblPr/>
      <w:tcPr>
        <w:shd w:val="clear" w:color="FFC000" w:themeColor="accent4" w:fill="FFC000" w:themeFill="accent4"/>
      </w:tcPr>
    </w:tblStylePr>
    <w:tblStylePr w:type="band1Vert">
      <w:tblPr/>
      <w:tcPr>
        <w:shd w:val="clear" w:color="FFE28A" w:themeColor="accent4" w:themeTint="75" w:fill="FFE28A" w:themeFill="accent4" w:themeFillTint="75"/>
      </w:tcPr>
    </w:tblStylePr>
    <w:tblStylePr w:type="band1Horz">
      <w:tblPr/>
      <w:tcPr>
        <w:shd w:val="clear" w:color="FFE28A" w:themeColor="accent4" w:themeTint="75" w:fill="FFE28A" w:themeFill="accent4" w:themeFillTint="75"/>
      </w:tcPr>
    </w:tblStylePr>
  </w:style>
  <w:style w:type="table" w:styleId="Gritternetztabelle6farbig">
    <w:name w:val="Grid Table 6 Colorful"/>
    <w:basedOn w:val="NormaleTabelle"/>
    <w:uiPriority w:val="99"/>
    <w:rsid w:val="00187C95"/>
    <w:pPr>
      <w:spacing w:after="0" w:line="240" w:lineRule="auto"/>
    </w:pPr>
    <w:rPr>
      <w:sz w:val="24"/>
      <w:szCs w:val="24"/>
      <w:lang w:val="nl-NL"/>
      <w14:ligatures w14:val="standardContextual"/>
    </w:r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styleId="Gritternetztabelle7farbig">
    <w:name w:val="Grid Table 7 Colorful"/>
    <w:basedOn w:val="NormaleTabelle"/>
    <w:uiPriority w:val="99"/>
    <w:rsid w:val="00187C95"/>
    <w:pPr>
      <w:spacing w:after="0" w:line="240" w:lineRule="auto"/>
    </w:pPr>
    <w:rPr>
      <w:sz w:val="24"/>
      <w:szCs w:val="24"/>
      <w:lang w:val="nl-NL"/>
      <w14:ligatures w14:val="standardContextual"/>
    </w:r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000000"/>
          <w:left w:val="none" w:sz="0" w:space="0" w:color="000000"/>
          <w:bottom w:val="single" w:sz="4" w:space="0" w:color="7F7F7F" w:themeColor="text1" w:themeTint="80"/>
          <w:right w:val="none" w:sz="0"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000000"/>
          <w:left w:val="none" w:sz="0" w:space="0" w:color="000000"/>
          <w:bottom w:val="none" w:sz="0"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000000"/>
          <w:left w:val="single" w:sz="4" w:space="0" w:color="7F7F7F" w:themeColor="text1" w:themeTint="80"/>
          <w:bottom w:val="none" w:sz="0" w:space="0" w:color="000000"/>
          <w:right w:val="none" w:sz="0"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styleId="Listentabelle1hell">
    <w:name w:val="List Table 1 Light"/>
    <w:basedOn w:val="NormaleTabelle"/>
    <w:uiPriority w:val="99"/>
    <w:rsid w:val="00187C95"/>
    <w:pPr>
      <w:spacing w:after="0" w:line="240" w:lineRule="auto"/>
    </w:pPr>
    <w:rPr>
      <w:sz w:val="24"/>
      <w:szCs w:val="24"/>
      <w:lang w:val="nl-NL"/>
      <w14:ligatures w14:val="standardContextual"/>
    </w:r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styleId="Listentabelle2">
    <w:name w:val="List Table 2"/>
    <w:basedOn w:val="NormaleTabelle"/>
    <w:uiPriority w:val="99"/>
    <w:rsid w:val="00187C95"/>
    <w:pPr>
      <w:spacing w:after="0" w:line="240" w:lineRule="auto"/>
    </w:pPr>
    <w:rPr>
      <w:sz w:val="24"/>
      <w:szCs w:val="24"/>
      <w:lang w:val="nl-NL"/>
      <w14:ligatures w14:val="standardContextual"/>
    </w:r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styleId="Listentabelle3">
    <w:name w:val="List Table 3"/>
    <w:basedOn w:val="NormaleTabelle"/>
    <w:uiPriority w:val="99"/>
    <w:rsid w:val="00187C95"/>
    <w:pPr>
      <w:spacing w:after="0" w:line="240" w:lineRule="auto"/>
    </w:pPr>
    <w:rPr>
      <w:sz w:val="24"/>
      <w:szCs w:val="24"/>
      <w:lang w:val="nl-NL"/>
      <w14:ligatures w14:val="standardContextual"/>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styleId="Listentabelle4">
    <w:name w:val="List Table 4"/>
    <w:basedOn w:val="NormaleTabelle"/>
    <w:uiPriority w:val="99"/>
    <w:rsid w:val="00187C95"/>
    <w:pPr>
      <w:spacing w:after="0" w:line="240" w:lineRule="auto"/>
    </w:pPr>
    <w:rPr>
      <w:sz w:val="24"/>
      <w:szCs w:val="24"/>
      <w:lang w:val="nl-NL"/>
      <w14:ligatures w14:val="standardContextual"/>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styleId="Listentabelle5dunkel">
    <w:name w:val="List Table 5 Dark"/>
    <w:basedOn w:val="NormaleTabelle"/>
    <w:uiPriority w:val="99"/>
    <w:rsid w:val="00187C95"/>
    <w:pPr>
      <w:spacing w:after="0" w:line="240" w:lineRule="auto"/>
    </w:pPr>
    <w:rPr>
      <w:sz w:val="24"/>
      <w:szCs w:val="24"/>
      <w:lang w:val="nl-NL"/>
      <w14:ligatures w14:val="standardContextual"/>
    </w:r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styleId="Listentabelle6farbig">
    <w:name w:val="List Table 6 Colorful"/>
    <w:basedOn w:val="NormaleTabelle"/>
    <w:uiPriority w:val="99"/>
    <w:rsid w:val="00187C95"/>
    <w:pPr>
      <w:spacing w:after="0" w:line="240" w:lineRule="auto"/>
    </w:pPr>
    <w:rPr>
      <w:sz w:val="24"/>
      <w:szCs w:val="24"/>
      <w:lang w:val="nl-NL"/>
      <w14:ligatures w14:val="standardContextual"/>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styleId="Listentabelle7farbig">
    <w:name w:val="List Table 7 Colorful"/>
    <w:basedOn w:val="NormaleTabelle"/>
    <w:uiPriority w:val="99"/>
    <w:rsid w:val="00187C95"/>
    <w:pPr>
      <w:spacing w:after="0" w:line="240" w:lineRule="auto"/>
    </w:pPr>
    <w:rPr>
      <w:sz w:val="24"/>
      <w:szCs w:val="24"/>
      <w:lang w:val="nl-NL"/>
      <w14:ligatures w14:val="standardContextual"/>
    </w:r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000000"/>
          <w:left w:val="none" w:sz="0" w:space="0" w:color="000000"/>
          <w:bottom w:val="single" w:sz="4" w:space="0" w:color="7F7F7F" w:themeColor="text1" w:themeTint="80"/>
          <w:right w:val="none" w:sz="0"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000000"/>
          <w:left w:val="none" w:sz="0" w:space="0" w:color="000000"/>
          <w:bottom w:val="none" w:sz="0"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000000"/>
          <w:left w:val="single" w:sz="4" w:space="0" w:color="7F7F7F" w:themeColor="text1" w:themeTint="80"/>
          <w:bottom w:val="none" w:sz="0" w:space="0" w:color="000000"/>
          <w:right w:val="none" w:sz="0"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ned-Accent">
    <w:name w:val="Lined - Accent"/>
    <w:basedOn w:val="NormaleTabelle"/>
    <w:uiPriority w:val="99"/>
    <w:rsid w:val="00187C95"/>
    <w:pPr>
      <w:spacing w:after="0" w:line="240" w:lineRule="auto"/>
    </w:pPr>
    <w:rPr>
      <w:color w:val="404040"/>
      <w:sz w:val="20"/>
      <w:szCs w:val="20"/>
      <w:lang w:val="nl-NL" w:eastAsia="nl-NL"/>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NormaleTabelle"/>
    <w:uiPriority w:val="99"/>
    <w:rsid w:val="00187C95"/>
    <w:pPr>
      <w:spacing w:after="0" w:line="240" w:lineRule="auto"/>
    </w:pPr>
    <w:rPr>
      <w:color w:val="404040"/>
      <w:sz w:val="20"/>
      <w:szCs w:val="20"/>
      <w:lang w:val="nl-NL" w:eastAsia="nl-NL"/>
    </w:rPr>
    <w:tblPr>
      <w:tblStyleRowBandSize w:val="1"/>
      <w:tblStyleColBandSize w:val="1"/>
    </w:tblPr>
    <w:tblStylePr w:type="firstRow">
      <w:rPr>
        <w:rFonts w:ascii="Arial" w:hAnsi="Arial"/>
        <w:color w:val="F2F2F2"/>
        <w:sz w:val="22"/>
      </w:rPr>
      <w:tblPr/>
      <w:tcPr>
        <w:shd w:val="clear" w:color="68A2D8" w:themeColor="accent1" w:themeTint="EA" w:fill="68A2D8" w:themeFill="accent1" w:themeFillTint="EA"/>
      </w:tcPr>
    </w:tblStylePr>
    <w:tblStylePr w:type="lastRow">
      <w:rPr>
        <w:rFonts w:ascii="Arial" w:hAnsi="Arial"/>
        <w:color w:val="F2F2F2"/>
        <w:sz w:val="22"/>
      </w:rPr>
      <w:tblPr/>
      <w:tcPr>
        <w:shd w:val="clear" w:color="68A2D8" w:themeColor="accent1" w:themeTint="EA" w:fill="68A2D8" w:themeFill="accent1" w:themeFillTint="EA"/>
      </w:tcPr>
    </w:tblStylePr>
    <w:tblStylePr w:type="firstCol">
      <w:rPr>
        <w:rFonts w:ascii="Arial" w:hAnsi="Arial"/>
        <w:color w:val="F2F2F2"/>
        <w:sz w:val="22"/>
      </w:rPr>
      <w:tblPr/>
      <w:tcPr>
        <w:shd w:val="clear" w:color="68A2D8" w:themeColor="accent1" w:themeTint="EA" w:fill="68A2D8" w:themeFill="accent1" w:themeFillTint="EA"/>
      </w:tcPr>
    </w:tblStylePr>
    <w:tblStylePr w:type="lastCol">
      <w:rPr>
        <w:rFonts w:ascii="Arial" w:hAnsi="Arial"/>
        <w:color w:val="F2F2F2"/>
        <w:sz w:val="22"/>
      </w:rPr>
      <w:tblPr/>
      <w:tcPr>
        <w:shd w:val="clear" w:color="68A2D8" w:themeColor="accent1" w:themeTint="EA"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CBDFF1" w:themeFill="accent1" w:themeFillTint="50"/>
      </w:tcPr>
    </w:tblStylePr>
  </w:style>
  <w:style w:type="table" w:customStyle="1" w:styleId="Lined-Accent2">
    <w:name w:val="Lined - Accent 2"/>
    <w:basedOn w:val="NormaleTabelle"/>
    <w:uiPriority w:val="99"/>
    <w:rsid w:val="00187C95"/>
    <w:pPr>
      <w:spacing w:after="0" w:line="240" w:lineRule="auto"/>
    </w:pPr>
    <w:rPr>
      <w:color w:val="404040"/>
      <w:sz w:val="20"/>
      <w:szCs w:val="20"/>
      <w:lang w:val="nl-NL" w:eastAsia="nl-NL"/>
    </w:rPr>
    <w:tblPr>
      <w:tblStyleRowBandSize w:val="1"/>
      <w:tblStyleColBandSize w:val="1"/>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Lined-Accent3">
    <w:name w:val="Lined - Accent 3"/>
    <w:basedOn w:val="NormaleTabelle"/>
    <w:uiPriority w:val="99"/>
    <w:rsid w:val="00187C95"/>
    <w:pPr>
      <w:spacing w:after="0" w:line="240" w:lineRule="auto"/>
    </w:pPr>
    <w:rPr>
      <w:color w:val="404040"/>
      <w:sz w:val="20"/>
      <w:szCs w:val="20"/>
      <w:lang w:val="nl-NL" w:eastAsia="nl-NL"/>
    </w:rPr>
    <w:tblPr>
      <w:tblStyleRowBandSize w:val="1"/>
      <w:tblStyleColBandSize w:val="1"/>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Lined-Accent4">
    <w:name w:val="Lined - Accent 4"/>
    <w:basedOn w:val="NormaleTabelle"/>
    <w:uiPriority w:val="99"/>
    <w:rsid w:val="00187C95"/>
    <w:pPr>
      <w:spacing w:after="0" w:line="240" w:lineRule="auto"/>
    </w:pPr>
    <w:rPr>
      <w:color w:val="404040"/>
      <w:sz w:val="20"/>
      <w:szCs w:val="20"/>
      <w:lang w:val="nl-NL" w:eastAsia="nl-NL"/>
    </w:rPr>
    <w:tblPr>
      <w:tblStyleRowBandSize w:val="1"/>
      <w:tblStyleColBandSize w:val="1"/>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Lined-Accent5">
    <w:name w:val="Lined - Accent 5"/>
    <w:basedOn w:val="NormaleTabelle"/>
    <w:uiPriority w:val="99"/>
    <w:rsid w:val="00187C95"/>
    <w:pPr>
      <w:spacing w:after="0" w:line="240" w:lineRule="auto"/>
    </w:pPr>
    <w:rPr>
      <w:color w:val="404040"/>
      <w:sz w:val="20"/>
      <w:szCs w:val="20"/>
      <w:lang w:val="nl-NL" w:eastAsia="nl-NL"/>
    </w:rPr>
    <w:tblPr>
      <w:tblStyleRowBandSize w:val="1"/>
      <w:tblStyleColBandSize w:val="1"/>
    </w:tblPr>
    <w:tblStylePr w:type="firstRow">
      <w:rPr>
        <w:rFonts w:ascii="Arial" w:hAnsi="Arial"/>
        <w:color w:val="F2F2F2"/>
        <w:sz w:val="22"/>
      </w:rPr>
      <w:tblPr/>
      <w:tcPr>
        <w:shd w:val="clear" w:color="4472C4" w:themeColor="accent5" w:fill="4472C4" w:themeFill="accent5"/>
      </w:tcPr>
    </w:tblStylePr>
    <w:tblStylePr w:type="lastRow">
      <w:rPr>
        <w:rFonts w:ascii="Arial" w:hAnsi="Arial"/>
        <w:color w:val="F2F2F2"/>
        <w:sz w:val="22"/>
      </w:rPr>
      <w:tblPr/>
      <w:tcPr>
        <w:shd w:val="clear" w:color="4472C4" w:themeColor="accent5" w:fill="4472C4" w:themeFill="accent5"/>
      </w:tcPr>
    </w:tblStylePr>
    <w:tblStylePr w:type="firstCol">
      <w:rPr>
        <w:rFonts w:ascii="Arial" w:hAnsi="Arial"/>
        <w:color w:val="F2F2F2"/>
        <w:sz w:val="22"/>
      </w:rPr>
      <w:tblPr/>
      <w:tcPr>
        <w:shd w:val="clear" w:color="4472C4" w:themeColor="accent5" w:fill="4472C4" w:themeFill="accent5"/>
      </w:tcPr>
    </w:tblStylePr>
    <w:tblStylePr w:type="lastCol">
      <w:rPr>
        <w:rFonts w:ascii="Arial" w:hAnsi="Arial"/>
        <w:color w:val="F2F2F2"/>
        <w:sz w:val="22"/>
      </w:rPr>
      <w:tblPr/>
      <w:tcPr>
        <w:shd w:val="clear" w:color="4472C4" w:themeColor="accent5"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D8E2F3" w:themeFill="accent5" w:themeFillTint="34"/>
      </w:tcPr>
    </w:tblStylePr>
  </w:style>
  <w:style w:type="table" w:customStyle="1" w:styleId="Lined-Accent6">
    <w:name w:val="Lined - Accent 6"/>
    <w:basedOn w:val="NormaleTabelle"/>
    <w:uiPriority w:val="99"/>
    <w:rsid w:val="00187C95"/>
    <w:pPr>
      <w:spacing w:after="0" w:line="240" w:lineRule="auto"/>
    </w:pPr>
    <w:rPr>
      <w:color w:val="404040"/>
      <w:sz w:val="20"/>
      <w:szCs w:val="20"/>
      <w:lang w:val="nl-NL" w:eastAsia="nl-NL"/>
    </w:rPr>
    <w:tblPr>
      <w:tblStyleRowBandSize w:val="1"/>
      <w:tblStyleColBandSize w:val="1"/>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Lined-Accent">
    <w:name w:val="Bordered &amp; Lined - Accent"/>
    <w:basedOn w:val="NormaleTabelle"/>
    <w:uiPriority w:val="99"/>
    <w:rsid w:val="00187C95"/>
    <w:pPr>
      <w:spacing w:after="0" w:line="240" w:lineRule="auto"/>
    </w:pPr>
    <w:rPr>
      <w:color w:val="404040"/>
      <w:sz w:val="20"/>
      <w:szCs w:val="20"/>
      <w:lang w:val="nl-NL" w:eastAsia="nl-NL"/>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NormaleTabelle"/>
    <w:uiPriority w:val="99"/>
    <w:rsid w:val="00187C95"/>
    <w:pPr>
      <w:spacing w:after="0" w:line="240" w:lineRule="auto"/>
    </w:pPr>
    <w:rPr>
      <w:color w:val="404040"/>
      <w:sz w:val="20"/>
      <w:szCs w:val="20"/>
      <w:lang w:val="nl-NL" w:eastAsia="nl-NL"/>
    </w:rPr>
    <w:tblPr>
      <w:tblStyleRowBandSize w:val="1"/>
      <w:tblStyleColBandSize w:val="1"/>
      <w:tblBorders>
        <w:top w:val="single" w:sz="4" w:space="0" w:color="245A8D" w:themeColor="accent1" w:themeShade="95"/>
        <w:left w:val="single" w:sz="4" w:space="0" w:color="245A8D" w:themeColor="accent1" w:themeShade="95"/>
        <w:bottom w:val="single" w:sz="4" w:space="0" w:color="245A8D" w:themeColor="accent1" w:themeShade="95"/>
        <w:right w:val="single" w:sz="4" w:space="0" w:color="245A8D" w:themeColor="accent1" w:themeShade="95"/>
        <w:insideH w:val="single" w:sz="4" w:space="0" w:color="245A8D" w:themeColor="accent1" w:themeShade="95"/>
        <w:insideV w:val="single" w:sz="4" w:space="0" w:color="245A8D" w:themeColor="accent1" w:themeShade="95"/>
      </w:tblBorders>
    </w:tblPr>
    <w:tblStylePr w:type="firstRow">
      <w:rPr>
        <w:rFonts w:ascii="Arial" w:hAnsi="Arial"/>
        <w:color w:val="F2F2F2"/>
        <w:sz w:val="22"/>
      </w:rPr>
      <w:tblPr/>
      <w:tcPr>
        <w:shd w:val="clear" w:color="68A2D8" w:themeColor="accent1" w:themeTint="EA" w:fill="68A2D8" w:themeFill="accent1" w:themeFillTint="EA"/>
      </w:tcPr>
    </w:tblStylePr>
    <w:tblStylePr w:type="lastRow">
      <w:rPr>
        <w:rFonts w:ascii="Arial" w:hAnsi="Arial"/>
        <w:color w:val="F2F2F2"/>
        <w:sz w:val="22"/>
      </w:rPr>
      <w:tblPr/>
      <w:tcPr>
        <w:shd w:val="clear" w:color="68A2D8" w:themeColor="accent1" w:themeTint="EA" w:fill="68A2D8" w:themeFill="accent1" w:themeFillTint="EA"/>
      </w:tcPr>
    </w:tblStylePr>
    <w:tblStylePr w:type="firstCol">
      <w:rPr>
        <w:rFonts w:ascii="Arial" w:hAnsi="Arial"/>
        <w:color w:val="F2F2F2"/>
        <w:sz w:val="22"/>
      </w:rPr>
      <w:tblPr/>
      <w:tcPr>
        <w:shd w:val="clear" w:color="68A2D8" w:themeColor="accent1" w:themeTint="EA" w:fill="68A2D8" w:themeFill="accent1" w:themeFillTint="EA"/>
      </w:tcPr>
    </w:tblStylePr>
    <w:tblStylePr w:type="lastCol">
      <w:rPr>
        <w:rFonts w:ascii="Arial" w:hAnsi="Arial"/>
        <w:color w:val="F2F2F2"/>
        <w:sz w:val="22"/>
      </w:rPr>
      <w:tblPr/>
      <w:tcPr>
        <w:shd w:val="clear" w:color="68A2D8" w:themeColor="accent1" w:themeTint="EA"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CBDFF1" w:themeFill="accent1" w:themeFillTint="50"/>
      </w:tcPr>
    </w:tblStylePr>
  </w:style>
  <w:style w:type="table" w:customStyle="1" w:styleId="BorderedLined-Accent2">
    <w:name w:val="Bordered &amp; Lined - Accent 2"/>
    <w:basedOn w:val="NormaleTabelle"/>
    <w:uiPriority w:val="99"/>
    <w:rsid w:val="00187C95"/>
    <w:pPr>
      <w:spacing w:after="0" w:line="240" w:lineRule="auto"/>
    </w:pPr>
    <w:rPr>
      <w:color w:val="404040"/>
      <w:sz w:val="20"/>
      <w:szCs w:val="20"/>
      <w:lang w:val="nl-NL" w:eastAsia="nl-NL"/>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BorderedLined-Accent3">
    <w:name w:val="Bordered &amp; Lined - Accent 3"/>
    <w:basedOn w:val="NormaleTabelle"/>
    <w:uiPriority w:val="99"/>
    <w:rsid w:val="00187C95"/>
    <w:pPr>
      <w:spacing w:after="0" w:line="240" w:lineRule="auto"/>
    </w:pPr>
    <w:rPr>
      <w:color w:val="404040"/>
      <w:sz w:val="20"/>
      <w:szCs w:val="20"/>
      <w:lang w:val="nl-NL" w:eastAsia="nl-NL"/>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BorderedLined-Accent4">
    <w:name w:val="Bordered &amp; Lined - Accent 4"/>
    <w:basedOn w:val="NormaleTabelle"/>
    <w:uiPriority w:val="99"/>
    <w:rsid w:val="00187C95"/>
    <w:pPr>
      <w:spacing w:after="0" w:line="240" w:lineRule="auto"/>
    </w:pPr>
    <w:rPr>
      <w:color w:val="404040"/>
      <w:sz w:val="20"/>
      <w:szCs w:val="20"/>
      <w:lang w:val="nl-NL" w:eastAsia="nl-NL"/>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BorderedLined-Accent5">
    <w:name w:val="Bordered &amp; Lined - Accent 5"/>
    <w:basedOn w:val="NormaleTabelle"/>
    <w:uiPriority w:val="99"/>
    <w:rsid w:val="00187C95"/>
    <w:pPr>
      <w:spacing w:after="0" w:line="240" w:lineRule="auto"/>
    </w:pPr>
    <w:rPr>
      <w:color w:val="404040"/>
      <w:sz w:val="20"/>
      <w:szCs w:val="20"/>
      <w:lang w:val="nl-NL" w:eastAsia="nl-NL"/>
    </w:rPr>
    <w:tblPr>
      <w:tblStyleRowBandSize w:val="1"/>
      <w:tblStyleColBandSize w:val="1"/>
      <w:tblBorders>
        <w:top w:val="single" w:sz="4" w:space="0" w:color="254175" w:themeColor="accent5" w:themeShade="95"/>
        <w:left w:val="single" w:sz="4" w:space="0" w:color="254175" w:themeColor="accent5" w:themeShade="95"/>
        <w:bottom w:val="single" w:sz="4" w:space="0" w:color="254175" w:themeColor="accent5" w:themeShade="95"/>
        <w:right w:val="single" w:sz="4" w:space="0" w:color="254175" w:themeColor="accent5" w:themeShade="95"/>
        <w:insideH w:val="single" w:sz="4" w:space="0" w:color="254175" w:themeColor="accent5" w:themeShade="95"/>
        <w:insideV w:val="single" w:sz="4" w:space="0" w:color="254175" w:themeColor="accent5" w:themeShade="95"/>
      </w:tblBorders>
    </w:tblPr>
    <w:tblStylePr w:type="firstRow">
      <w:rPr>
        <w:rFonts w:ascii="Arial" w:hAnsi="Arial"/>
        <w:color w:val="F2F2F2"/>
        <w:sz w:val="22"/>
      </w:rPr>
      <w:tblPr/>
      <w:tcPr>
        <w:shd w:val="clear" w:color="4472C4" w:themeColor="accent5" w:fill="4472C4" w:themeFill="accent5"/>
      </w:tcPr>
    </w:tblStylePr>
    <w:tblStylePr w:type="lastRow">
      <w:rPr>
        <w:rFonts w:ascii="Arial" w:hAnsi="Arial"/>
        <w:color w:val="F2F2F2"/>
        <w:sz w:val="22"/>
      </w:rPr>
      <w:tblPr/>
      <w:tcPr>
        <w:shd w:val="clear" w:color="4472C4" w:themeColor="accent5" w:fill="4472C4" w:themeFill="accent5"/>
      </w:tcPr>
    </w:tblStylePr>
    <w:tblStylePr w:type="firstCol">
      <w:rPr>
        <w:rFonts w:ascii="Arial" w:hAnsi="Arial"/>
        <w:color w:val="F2F2F2"/>
        <w:sz w:val="22"/>
      </w:rPr>
      <w:tblPr/>
      <w:tcPr>
        <w:shd w:val="clear" w:color="4472C4" w:themeColor="accent5" w:fill="4472C4" w:themeFill="accent5"/>
      </w:tcPr>
    </w:tblStylePr>
    <w:tblStylePr w:type="lastCol">
      <w:rPr>
        <w:rFonts w:ascii="Arial" w:hAnsi="Arial"/>
        <w:color w:val="F2F2F2"/>
        <w:sz w:val="22"/>
      </w:rPr>
      <w:tblPr/>
      <w:tcPr>
        <w:shd w:val="clear" w:color="4472C4" w:themeColor="accent5"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D8E2F3" w:themeFill="accent5" w:themeFillTint="34"/>
      </w:tcPr>
    </w:tblStylePr>
  </w:style>
  <w:style w:type="table" w:customStyle="1" w:styleId="BorderedLined-Accent6">
    <w:name w:val="Bordered &amp; Lined - Accent 6"/>
    <w:basedOn w:val="NormaleTabelle"/>
    <w:uiPriority w:val="99"/>
    <w:rsid w:val="00187C95"/>
    <w:pPr>
      <w:spacing w:after="0" w:line="240" w:lineRule="auto"/>
    </w:pPr>
    <w:rPr>
      <w:color w:val="404040"/>
      <w:sz w:val="20"/>
      <w:szCs w:val="20"/>
      <w:lang w:val="nl-NL" w:eastAsia="nl-NL"/>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
    <w:name w:val="Bordered"/>
    <w:basedOn w:val="NormaleTabelle"/>
    <w:uiPriority w:val="99"/>
    <w:rsid w:val="00187C95"/>
    <w:pPr>
      <w:spacing w:after="0" w:line="240" w:lineRule="auto"/>
    </w:pPr>
    <w:rPr>
      <w:sz w:val="24"/>
      <w:szCs w:val="24"/>
      <w:lang w:val="nl-NL"/>
      <w14:ligatures w14:val="standardContextual"/>
    </w:r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NormaleTabelle"/>
    <w:uiPriority w:val="99"/>
    <w:rsid w:val="00187C95"/>
    <w:pPr>
      <w:spacing w:after="0" w:line="240" w:lineRule="auto"/>
    </w:pPr>
    <w:rPr>
      <w:sz w:val="24"/>
      <w:szCs w:val="24"/>
      <w:lang w:val="nl-NL"/>
      <w14:ligatures w14:val="standardContextual"/>
    </w:rPr>
    <w:tblPr>
      <w:tblStyleRowBandSize w:val="1"/>
      <w:tblStyleColBandSize w:val="1"/>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Pr>
    <w:tblStylePr w:type="firstRow">
      <w:rPr>
        <w:rFonts w:ascii="Arial" w:hAnsi="Arial"/>
        <w:color w:val="404040"/>
        <w:sz w:val="22"/>
      </w:rPr>
      <w:tblPr/>
      <w:tcPr>
        <w:tcBorders>
          <w:bottom w:val="single" w:sz="12" w:space="0" w:color="5B9BD5" w:themeColor="accent1"/>
        </w:tcBorders>
      </w:tcPr>
    </w:tblStylePr>
    <w:tblStylePr w:type="lastRow">
      <w:rPr>
        <w:rFonts w:ascii="Arial" w:hAnsi="Arial"/>
        <w:color w:val="404040"/>
        <w:sz w:val="22"/>
      </w:rPr>
      <w:tblPr/>
      <w:tcPr>
        <w:tcBorders>
          <w:top w:val="single" w:sz="12" w:space="0" w:color="5B9BD5"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5B9BD5" w:themeColor="accent1"/>
        </w:tcBorders>
      </w:tc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Bordered-Accent2">
    <w:name w:val="Bordered - Accent 2"/>
    <w:basedOn w:val="NormaleTabelle"/>
    <w:uiPriority w:val="99"/>
    <w:rsid w:val="00187C95"/>
    <w:pPr>
      <w:spacing w:after="0" w:line="240" w:lineRule="auto"/>
    </w:pPr>
    <w:rPr>
      <w:sz w:val="24"/>
      <w:szCs w:val="24"/>
      <w:lang w:val="nl-NL"/>
      <w14:ligatures w14:val="standardContextual"/>
    </w:r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NormaleTabelle"/>
    <w:uiPriority w:val="99"/>
    <w:rsid w:val="00187C95"/>
    <w:pPr>
      <w:spacing w:after="0" w:line="240" w:lineRule="auto"/>
    </w:pPr>
    <w:rPr>
      <w:sz w:val="24"/>
      <w:szCs w:val="24"/>
      <w:lang w:val="nl-NL"/>
      <w14:ligatures w14:val="standardContextual"/>
    </w:r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NormaleTabelle"/>
    <w:uiPriority w:val="99"/>
    <w:rsid w:val="00187C95"/>
    <w:pPr>
      <w:spacing w:after="0" w:line="240" w:lineRule="auto"/>
    </w:pPr>
    <w:rPr>
      <w:sz w:val="24"/>
      <w:szCs w:val="24"/>
      <w:lang w:val="nl-NL"/>
      <w14:ligatures w14:val="standardContextual"/>
    </w:r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NormaleTabelle"/>
    <w:uiPriority w:val="99"/>
    <w:rsid w:val="00187C95"/>
    <w:pPr>
      <w:spacing w:after="0" w:line="240" w:lineRule="auto"/>
    </w:pPr>
    <w:rPr>
      <w:sz w:val="24"/>
      <w:szCs w:val="24"/>
      <w:lang w:val="nl-NL"/>
      <w14:ligatures w14:val="standardContextual"/>
    </w:rPr>
    <w:tblPr>
      <w:tblStyleRowBandSize w:val="1"/>
      <w:tblStyleColBandSize w:val="1"/>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Pr>
    <w:tblStylePr w:type="firstRow">
      <w:rPr>
        <w:rFonts w:ascii="Arial" w:hAnsi="Arial"/>
        <w:color w:val="404040"/>
        <w:sz w:val="22"/>
      </w:rPr>
      <w:tblPr/>
      <w:tcPr>
        <w:tcBorders>
          <w:bottom w:val="single" w:sz="12" w:space="0" w:color="8DA9DB" w:themeColor="accent5" w:themeTint="9A"/>
        </w:tcBorders>
      </w:tcPr>
    </w:tblStylePr>
    <w:tblStylePr w:type="lastRow">
      <w:rPr>
        <w:rFonts w:ascii="Arial" w:hAnsi="Arial"/>
        <w:color w:val="404040"/>
        <w:sz w:val="22"/>
      </w:rPr>
      <w:tblPr/>
      <w:tcPr>
        <w:tcBorders>
          <w:top w:val="single" w:sz="12" w:space="0" w:color="8DA9DB"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8DA9DB" w:themeColor="accent5" w:themeTint="9A"/>
        </w:tcBorders>
      </w:tc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Bordered-Accent6">
    <w:name w:val="Bordered - Accent 6"/>
    <w:basedOn w:val="NormaleTabelle"/>
    <w:uiPriority w:val="99"/>
    <w:rsid w:val="00187C95"/>
    <w:pPr>
      <w:spacing w:after="0" w:line="240" w:lineRule="auto"/>
    </w:pPr>
    <w:rPr>
      <w:sz w:val="24"/>
      <w:szCs w:val="24"/>
      <w:lang w:val="nl-NL"/>
      <w14:ligatures w14:val="standardContextual"/>
    </w:r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paragraph" w:styleId="KeinLeerraum">
    <w:name w:val="No Spacing"/>
    <w:basedOn w:val="Standard"/>
    <w:uiPriority w:val="1"/>
    <w:qFormat/>
    <w:rsid w:val="00187C95"/>
    <w:pPr>
      <w:spacing w:after="0" w:line="240" w:lineRule="auto"/>
    </w:pPr>
  </w:style>
  <w:style w:type="character" w:styleId="SchwacheHervorhebung">
    <w:name w:val="Subtle Emphasis"/>
    <w:basedOn w:val="Absatz-Standardschriftart"/>
    <w:uiPriority w:val="19"/>
    <w:qFormat/>
    <w:rsid w:val="00187C95"/>
    <w:rPr>
      <w:i/>
      <w:iCs/>
      <w:color w:val="404040" w:themeColor="text1" w:themeTint="BF"/>
    </w:rPr>
  </w:style>
  <w:style w:type="character" w:styleId="Hervorhebung">
    <w:name w:val="Emphasis"/>
    <w:basedOn w:val="Absatz-Standardschriftart"/>
    <w:uiPriority w:val="20"/>
    <w:qFormat/>
    <w:rsid w:val="00187C95"/>
    <w:rPr>
      <w:i/>
      <w:iCs/>
    </w:rPr>
  </w:style>
  <w:style w:type="character" w:styleId="Fett">
    <w:name w:val="Strong"/>
    <w:basedOn w:val="Absatz-Standardschriftart"/>
    <w:uiPriority w:val="22"/>
    <w:qFormat/>
    <w:rsid w:val="00187C95"/>
    <w:rPr>
      <w:b/>
      <w:bCs/>
    </w:rPr>
  </w:style>
  <w:style w:type="character" w:styleId="SchwacherVerweis">
    <w:name w:val="Subtle Reference"/>
    <w:basedOn w:val="Absatz-Standardschriftart"/>
    <w:uiPriority w:val="31"/>
    <w:qFormat/>
    <w:rsid w:val="00187C95"/>
    <w:rPr>
      <w:smallCaps/>
      <w:color w:val="5A5A5A" w:themeColor="text1" w:themeTint="A5"/>
    </w:rPr>
  </w:style>
  <w:style w:type="character" w:styleId="Buchtitel">
    <w:name w:val="Book Title"/>
    <w:basedOn w:val="Absatz-Standardschriftart"/>
    <w:uiPriority w:val="33"/>
    <w:qFormat/>
    <w:rsid w:val="00187C95"/>
    <w:rPr>
      <w:b/>
      <w:bCs/>
      <w:i/>
      <w:iCs/>
      <w:spacing w:val="5"/>
    </w:rPr>
  </w:style>
  <w:style w:type="paragraph" w:styleId="Kopfzeile">
    <w:name w:val="header"/>
    <w:basedOn w:val="Standard"/>
    <w:link w:val="KopfzeileZchn"/>
    <w:uiPriority w:val="99"/>
    <w:unhideWhenUsed/>
    <w:rsid w:val="00187C95"/>
    <w:pPr>
      <w:tabs>
        <w:tab w:val="center" w:pos="4844"/>
        <w:tab w:val="right" w:pos="9689"/>
      </w:tabs>
      <w:spacing w:after="0" w:line="240" w:lineRule="auto"/>
    </w:pPr>
  </w:style>
  <w:style w:type="character" w:customStyle="1" w:styleId="KopfzeileZchn">
    <w:name w:val="Kopfzeile Zchn"/>
    <w:basedOn w:val="Absatz-Standardschriftart"/>
    <w:link w:val="Kopfzeile"/>
    <w:uiPriority w:val="99"/>
    <w:rsid w:val="00187C95"/>
    <w:rPr>
      <w:sz w:val="24"/>
      <w:szCs w:val="24"/>
      <w:lang w:val="en-US"/>
      <w14:ligatures w14:val="standardContextual"/>
    </w:rPr>
  </w:style>
  <w:style w:type="paragraph" w:styleId="Fuzeile">
    <w:name w:val="footer"/>
    <w:basedOn w:val="Standard"/>
    <w:link w:val="FuzeileZchn"/>
    <w:uiPriority w:val="99"/>
    <w:unhideWhenUsed/>
    <w:rsid w:val="00187C95"/>
    <w:pPr>
      <w:tabs>
        <w:tab w:val="center" w:pos="4844"/>
        <w:tab w:val="right" w:pos="9689"/>
      </w:tabs>
      <w:spacing w:after="0" w:line="240" w:lineRule="auto"/>
    </w:pPr>
  </w:style>
  <w:style w:type="character" w:customStyle="1" w:styleId="FuzeileZchn">
    <w:name w:val="Fußzeile Zchn"/>
    <w:basedOn w:val="Absatz-Standardschriftart"/>
    <w:link w:val="Fuzeile"/>
    <w:uiPriority w:val="99"/>
    <w:rsid w:val="00187C95"/>
    <w:rPr>
      <w:sz w:val="24"/>
      <w:szCs w:val="24"/>
      <w:lang w:val="en-US"/>
      <w14:ligatures w14:val="standardContextual"/>
    </w:rPr>
  </w:style>
  <w:style w:type="paragraph" w:styleId="Beschriftung">
    <w:name w:val="caption"/>
    <w:basedOn w:val="Standard"/>
    <w:next w:val="Standard"/>
    <w:uiPriority w:val="35"/>
    <w:unhideWhenUsed/>
    <w:qFormat/>
    <w:rsid w:val="00187C95"/>
    <w:pPr>
      <w:spacing w:after="200" w:line="240" w:lineRule="auto"/>
    </w:pPr>
    <w:rPr>
      <w:i/>
      <w:iCs/>
      <w:color w:val="44546A" w:themeColor="text2"/>
      <w:sz w:val="18"/>
      <w:szCs w:val="18"/>
    </w:rPr>
  </w:style>
  <w:style w:type="paragraph" w:styleId="Funotentext">
    <w:name w:val="footnote text"/>
    <w:basedOn w:val="Standard"/>
    <w:link w:val="FunotentextZchn"/>
    <w:uiPriority w:val="99"/>
    <w:semiHidden/>
    <w:unhideWhenUsed/>
    <w:rsid w:val="00187C95"/>
    <w:pPr>
      <w:spacing w:after="0" w:line="240" w:lineRule="auto"/>
    </w:pPr>
    <w:rPr>
      <w:sz w:val="20"/>
      <w:szCs w:val="20"/>
    </w:rPr>
  </w:style>
  <w:style w:type="character" w:customStyle="1" w:styleId="FunotentextZchn">
    <w:name w:val="Fußnotentext Zchn"/>
    <w:basedOn w:val="Absatz-Standardschriftart"/>
    <w:link w:val="Funotentext"/>
    <w:uiPriority w:val="99"/>
    <w:semiHidden/>
    <w:rsid w:val="00187C95"/>
    <w:rPr>
      <w:sz w:val="20"/>
      <w:szCs w:val="20"/>
      <w:lang w:val="en-US"/>
      <w14:ligatures w14:val="standardContextual"/>
    </w:rPr>
  </w:style>
  <w:style w:type="character" w:styleId="Funotenzeichen">
    <w:name w:val="footnote reference"/>
    <w:basedOn w:val="Absatz-Standardschriftart"/>
    <w:uiPriority w:val="99"/>
    <w:semiHidden/>
    <w:unhideWhenUsed/>
    <w:rsid w:val="00187C95"/>
    <w:rPr>
      <w:vertAlign w:val="superscript"/>
    </w:rPr>
  </w:style>
  <w:style w:type="paragraph" w:styleId="Endnotentext">
    <w:name w:val="endnote text"/>
    <w:basedOn w:val="Standard"/>
    <w:link w:val="EndnotentextZchn"/>
    <w:uiPriority w:val="99"/>
    <w:semiHidden/>
    <w:unhideWhenUsed/>
    <w:rsid w:val="00187C95"/>
    <w:pPr>
      <w:spacing w:after="0" w:line="240" w:lineRule="auto"/>
    </w:pPr>
    <w:rPr>
      <w:sz w:val="20"/>
      <w:szCs w:val="20"/>
    </w:rPr>
  </w:style>
  <w:style w:type="character" w:customStyle="1" w:styleId="EndnotentextZchn">
    <w:name w:val="Endnotentext Zchn"/>
    <w:basedOn w:val="Absatz-Standardschriftart"/>
    <w:link w:val="Endnotentext"/>
    <w:uiPriority w:val="99"/>
    <w:semiHidden/>
    <w:rsid w:val="00187C95"/>
    <w:rPr>
      <w:sz w:val="20"/>
      <w:szCs w:val="20"/>
      <w:lang w:val="en-US"/>
      <w14:ligatures w14:val="standardContextual"/>
    </w:rPr>
  </w:style>
  <w:style w:type="character" w:styleId="Endnotenzeichen">
    <w:name w:val="endnote reference"/>
    <w:basedOn w:val="Absatz-Standardschriftart"/>
    <w:uiPriority w:val="99"/>
    <w:semiHidden/>
    <w:unhideWhenUsed/>
    <w:rsid w:val="00187C95"/>
    <w:rPr>
      <w:vertAlign w:val="superscript"/>
    </w:rPr>
  </w:style>
  <w:style w:type="character" w:styleId="BesuchterLink">
    <w:name w:val="FollowedHyperlink"/>
    <w:basedOn w:val="Absatz-Standardschriftart"/>
    <w:uiPriority w:val="99"/>
    <w:semiHidden/>
    <w:unhideWhenUsed/>
    <w:rsid w:val="00187C95"/>
    <w:rPr>
      <w:color w:val="954F72" w:themeColor="followedHyperlink"/>
      <w:u w:val="single"/>
    </w:rPr>
  </w:style>
  <w:style w:type="paragraph" w:styleId="Verzeichnis1">
    <w:name w:val="toc 1"/>
    <w:basedOn w:val="Standard"/>
    <w:next w:val="Standard"/>
    <w:uiPriority w:val="39"/>
    <w:unhideWhenUsed/>
    <w:rsid w:val="00187C95"/>
    <w:pPr>
      <w:spacing w:after="100"/>
    </w:pPr>
  </w:style>
  <w:style w:type="paragraph" w:styleId="Verzeichnis2">
    <w:name w:val="toc 2"/>
    <w:basedOn w:val="Standard"/>
    <w:next w:val="Standard"/>
    <w:uiPriority w:val="39"/>
    <w:unhideWhenUsed/>
    <w:rsid w:val="00187C95"/>
    <w:pPr>
      <w:spacing w:after="100"/>
      <w:ind w:left="220"/>
    </w:pPr>
  </w:style>
  <w:style w:type="paragraph" w:styleId="Verzeichnis3">
    <w:name w:val="toc 3"/>
    <w:basedOn w:val="Standard"/>
    <w:next w:val="Standard"/>
    <w:uiPriority w:val="39"/>
    <w:unhideWhenUsed/>
    <w:rsid w:val="00187C95"/>
    <w:pPr>
      <w:spacing w:after="100"/>
      <w:ind w:left="440"/>
    </w:pPr>
  </w:style>
  <w:style w:type="paragraph" w:styleId="Verzeichnis4">
    <w:name w:val="toc 4"/>
    <w:basedOn w:val="Standard"/>
    <w:next w:val="Standard"/>
    <w:uiPriority w:val="39"/>
    <w:unhideWhenUsed/>
    <w:rsid w:val="00187C95"/>
    <w:pPr>
      <w:spacing w:after="100"/>
      <w:ind w:left="660"/>
    </w:pPr>
  </w:style>
  <w:style w:type="paragraph" w:styleId="Verzeichnis5">
    <w:name w:val="toc 5"/>
    <w:basedOn w:val="Standard"/>
    <w:next w:val="Standard"/>
    <w:uiPriority w:val="39"/>
    <w:unhideWhenUsed/>
    <w:rsid w:val="00187C95"/>
    <w:pPr>
      <w:spacing w:after="100"/>
      <w:ind w:left="880"/>
    </w:pPr>
  </w:style>
  <w:style w:type="paragraph" w:styleId="Verzeichnis6">
    <w:name w:val="toc 6"/>
    <w:basedOn w:val="Standard"/>
    <w:next w:val="Standard"/>
    <w:uiPriority w:val="39"/>
    <w:unhideWhenUsed/>
    <w:rsid w:val="00187C95"/>
    <w:pPr>
      <w:spacing w:after="100"/>
      <w:ind w:left="1100"/>
    </w:pPr>
  </w:style>
  <w:style w:type="paragraph" w:styleId="Verzeichnis7">
    <w:name w:val="toc 7"/>
    <w:basedOn w:val="Standard"/>
    <w:next w:val="Standard"/>
    <w:uiPriority w:val="39"/>
    <w:unhideWhenUsed/>
    <w:rsid w:val="00187C95"/>
    <w:pPr>
      <w:spacing w:after="100"/>
      <w:ind w:left="1320"/>
    </w:pPr>
  </w:style>
  <w:style w:type="paragraph" w:styleId="Verzeichnis8">
    <w:name w:val="toc 8"/>
    <w:basedOn w:val="Standard"/>
    <w:next w:val="Standard"/>
    <w:uiPriority w:val="39"/>
    <w:unhideWhenUsed/>
    <w:rsid w:val="00187C95"/>
    <w:pPr>
      <w:spacing w:after="100"/>
      <w:ind w:left="1540"/>
    </w:pPr>
  </w:style>
  <w:style w:type="paragraph" w:styleId="Verzeichnis9">
    <w:name w:val="toc 9"/>
    <w:basedOn w:val="Standard"/>
    <w:next w:val="Standard"/>
    <w:uiPriority w:val="39"/>
    <w:unhideWhenUsed/>
    <w:rsid w:val="00187C95"/>
    <w:pPr>
      <w:spacing w:after="100"/>
      <w:ind w:left="1760"/>
    </w:pPr>
  </w:style>
  <w:style w:type="paragraph" w:styleId="Inhaltsverzeichnisberschrift">
    <w:name w:val="TOC Heading"/>
    <w:uiPriority w:val="39"/>
    <w:unhideWhenUsed/>
    <w:rsid w:val="00187C95"/>
    <w:pPr>
      <w:spacing w:line="278" w:lineRule="auto"/>
    </w:pPr>
    <w:rPr>
      <w:sz w:val="24"/>
      <w:szCs w:val="24"/>
      <w:lang w:val="nl-NL"/>
      <w14:ligatures w14:val="standardContextual"/>
    </w:rPr>
  </w:style>
  <w:style w:type="paragraph" w:styleId="Abbildungsverzeichnis">
    <w:name w:val="table of figures"/>
    <w:basedOn w:val="Standard"/>
    <w:next w:val="Standard"/>
    <w:uiPriority w:val="99"/>
    <w:unhideWhenUsed/>
    <w:rsid w:val="00187C95"/>
    <w:pPr>
      <w:spacing w:after="0"/>
    </w:pPr>
  </w:style>
  <w:style w:type="paragraph" w:styleId="Titel">
    <w:name w:val="Title"/>
    <w:basedOn w:val="Standard"/>
    <w:next w:val="Standard"/>
    <w:link w:val="TitelZchn"/>
    <w:uiPriority w:val="10"/>
    <w:qFormat/>
    <w:rsid w:val="00187C95"/>
    <w:pPr>
      <w:spacing w:after="80" w:line="240" w:lineRule="auto"/>
      <w:contextualSpacing/>
    </w:pPr>
    <w:rPr>
      <w:rFonts w:asciiTheme="majorHAnsi" w:eastAsiaTheme="majorEastAsia" w:hAnsiTheme="majorHAnsi" w:cstheme="majorBidi"/>
      <w:spacing w:val="-10"/>
      <w:sz w:val="56"/>
      <w:szCs w:val="56"/>
    </w:rPr>
  </w:style>
  <w:style w:type="character" w:customStyle="1" w:styleId="TitelZchn">
    <w:name w:val="Titel Zchn"/>
    <w:basedOn w:val="Absatz-Standardschriftart"/>
    <w:link w:val="Titel"/>
    <w:uiPriority w:val="10"/>
    <w:rsid w:val="00187C95"/>
    <w:rPr>
      <w:rFonts w:asciiTheme="majorHAnsi" w:eastAsiaTheme="majorEastAsia" w:hAnsiTheme="majorHAnsi" w:cstheme="majorBidi"/>
      <w:spacing w:val="-10"/>
      <w:sz w:val="56"/>
      <w:szCs w:val="56"/>
      <w:lang w:val="en-US"/>
      <w14:ligatures w14:val="standardContextual"/>
    </w:rPr>
  </w:style>
  <w:style w:type="paragraph" w:styleId="Untertitel">
    <w:name w:val="Subtitle"/>
    <w:basedOn w:val="Standard"/>
    <w:next w:val="Standard"/>
    <w:link w:val="UntertitelZchn"/>
    <w:uiPriority w:val="11"/>
    <w:qFormat/>
    <w:rsid w:val="00187C95"/>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187C95"/>
    <w:rPr>
      <w:rFonts w:eastAsiaTheme="majorEastAsia" w:cstheme="majorBidi"/>
      <w:color w:val="595959" w:themeColor="text1" w:themeTint="A6"/>
      <w:spacing w:val="15"/>
      <w:sz w:val="28"/>
      <w:szCs w:val="28"/>
      <w:lang w:val="en-US"/>
      <w14:ligatures w14:val="standardContextual"/>
    </w:rPr>
  </w:style>
  <w:style w:type="paragraph" w:styleId="Zitat">
    <w:name w:val="Quote"/>
    <w:basedOn w:val="Standard"/>
    <w:next w:val="Standard"/>
    <w:link w:val="ZitatZchn"/>
    <w:uiPriority w:val="29"/>
    <w:qFormat/>
    <w:rsid w:val="00187C95"/>
    <w:pPr>
      <w:spacing w:before="160"/>
      <w:jc w:val="center"/>
    </w:pPr>
    <w:rPr>
      <w:i/>
      <w:iCs/>
      <w:color w:val="404040" w:themeColor="text1" w:themeTint="BF"/>
    </w:rPr>
  </w:style>
  <w:style w:type="character" w:customStyle="1" w:styleId="ZitatZchn">
    <w:name w:val="Zitat Zchn"/>
    <w:basedOn w:val="Absatz-Standardschriftart"/>
    <w:link w:val="Zitat"/>
    <w:uiPriority w:val="29"/>
    <w:rsid w:val="00187C95"/>
    <w:rPr>
      <w:i/>
      <w:iCs/>
      <w:color w:val="404040" w:themeColor="text1" w:themeTint="BF"/>
      <w:sz w:val="24"/>
      <w:szCs w:val="24"/>
      <w:lang w:val="en-US"/>
      <w14:ligatures w14:val="standardContextual"/>
    </w:rPr>
  </w:style>
  <w:style w:type="paragraph" w:styleId="Listenabsatz">
    <w:name w:val="List Paragraph"/>
    <w:basedOn w:val="Standard"/>
    <w:uiPriority w:val="34"/>
    <w:qFormat/>
    <w:rsid w:val="00187C95"/>
    <w:pPr>
      <w:ind w:left="720"/>
      <w:contextualSpacing/>
    </w:pPr>
  </w:style>
  <w:style w:type="character" w:styleId="IntensiveHervorhebung">
    <w:name w:val="Intense Emphasis"/>
    <w:basedOn w:val="Absatz-Standardschriftart"/>
    <w:uiPriority w:val="21"/>
    <w:qFormat/>
    <w:rsid w:val="00187C95"/>
    <w:rPr>
      <w:i/>
      <w:iCs/>
      <w:color w:val="2E74B5" w:themeColor="accent1" w:themeShade="BF"/>
    </w:rPr>
  </w:style>
  <w:style w:type="paragraph" w:styleId="IntensivesZitat">
    <w:name w:val="Intense Quote"/>
    <w:basedOn w:val="Standard"/>
    <w:next w:val="Standard"/>
    <w:link w:val="IntensivesZitatZchn"/>
    <w:uiPriority w:val="30"/>
    <w:qFormat/>
    <w:rsid w:val="00187C95"/>
    <w:pPr>
      <w:pBdr>
        <w:top w:val="single" w:sz="4" w:space="10" w:color="2E74B5" w:themeColor="accent1" w:themeShade="BF"/>
        <w:bottom w:val="single" w:sz="4" w:space="10" w:color="2E74B5" w:themeColor="accent1" w:themeShade="BF"/>
      </w:pBdr>
      <w:spacing w:before="360" w:after="360"/>
      <w:ind w:left="864" w:right="864"/>
      <w:jc w:val="center"/>
    </w:pPr>
    <w:rPr>
      <w:i/>
      <w:iCs/>
      <w:color w:val="2E74B5" w:themeColor="accent1" w:themeShade="BF"/>
    </w:rPr>
  </w:style>
  <w:style w:type="character" w:customStyle="1" w:styleId="IntensivesZitatZchn">
    <w:name w:val="Intensives Zitat Zchn"/>
    <w:basedOn w:val="Absatz-Standardschriftart"/>
    <w:link w:val="IntensivesZitat"/>
    <w:uiPriority w:val="30"/>
    <w:rsid w:val="00187C95"/>
    <w:rPr>
      <w:i/>
      <w:iCs/>
      <w:color w:val="2E74B5" w:themeColor="accent1" w:themeShade="BF"/>
      <w:sz w:val="24"/>
      <w:szCs w:val="24"/>
      <w:lang w:val="en-US"/>
      <w14:ligatures w14:val="standardContextual"/>
    </w:rPr>
  </w:style>
  <w:style w:type="character" w:styleId="IntensiverVerweis">
    <w:name w:val="Intense Reference"/>
    <w:basedOn w:val="Absatz-Standardschriftart"/>
    <w:uiPriority w:val="32"/>
    <w:qFormat/>
    <w:rsid w:val="00187C95"/>
    <w:rPr>
      <w:b/>
      <w:bCs/>
      <w:smallCaps/>
      <w:color w:val="2E74B5" w:themeColor="accent1" w:themeShade="BF"/>
      <w:spacing w:val="5"/>
    </w:rPr>
  </w:style>
  <w:style w:type="paragraph" w:customStyle="1" w:styleId="myparagraph">
    <w:name w:val="my paragraph"/>
    <w:basedOn w:val="Standard"/>
    <w:link w:val="myparagraphChar"/>
    <w:qFormat/>
    <w:rsid w:val="00187C95"/>
    <w:pPr>
      <w:spacing w:after="0" w:line="480" w:lineRule="auto"/>
      <w:jc w:val="both"/>
    </w:pPr>
    <w:rPr>
      <w:rFonts w:ascii="Times New Roman" w:eastAsia="Times New Roman" w:hAnsi="Times New Roman" w:cs="Times New Roman"/>
      <w14:ligatures w14:val="none"/>
    </w:rPr>
  </w:style>
  <w:style w:type="character" w:styleId="Kommentarzeichen">
    <w:name w:val="annotation reference"/>
    <w:uiPriority w:val="99"/>
    <w:unhideWhenUsed/>
    <w:rsid w:val="00187C95"/>
    <w:rPr>
      <w:sz w:val="16"/>
      <w:szCs w:val="16"/>
    </w:rPr>
  </w:style>
  <w:style w:type="paragraph" w:styleId="Kommentartext">
    <w:name w:val="annotation text"/>
    <w:basedOn w:val="Standard"/>
    <w:link w:val="KommentartextZchn"/>
    <w:uiPriority w:val="99"/>
    <w:unhideWhenUsed/>
    <w:rsid w:val="00187C95"/>
    <w:pPr>
      <w:spacing w:after="0" w:line="240" w:lineRule="auto"/>
    </w:pPr>
    <w:rPr>
      <w:rFonts w:ascii="Times New Roman" w:eastAsia="Times New Roman" w:hAnsi="Times New Roman" w:cs="Times New Roman"/>
      <w:sz w:val="20"/>
      <w:szCs w:val="20"/>
      <w14:ligatures w14:val="none"/>
    </w:rPr>
  </w:style>
  <w:style w:type="character" w:customStyle="1" w:styleId="KommentartextZchn">
    <w:name w:val="Kommentartext Zchn"/>
    <w:basedOn w:val="Absatz-Standardschriftart"/>
    <w:link w:val="Kommentartext"/>
    <w:uiPriority w:val="99"/>
    <w:rsid w:val="00187C95"/>
    <w:rPr>
      <w:rFonts w:ascii="Times New Roman" w:eastAsia="Times New Roman" w:hAnsi="Times New Roman" w:cs="Times New Roman"/>
      <w:sz w:val="20"/>
      <w:szCs w:val="20"/>
      <w:lang w:val="en-US"/>
    </w:rPr>
  </w:style>
  <w:style w:type="character" w:customStyle="1" w:styleId="myparagraphChar">
    <w:name w:val="my paragraph Char"/>
    <w:basedOn w:val="Absatz-Standardschriftart"/>
    <w:link w:val="myparagraph"/>
    <w:rsid w:val="00187C95"/>
    <w:rPr>
      <w:rFonts w:ascii="Times New Roman" w:eastAsia="Times New Roman" w:hAnsi="Times New Roman" w:cs="Times New Roman"/>
      <w:sz w:val="24"/>
      <w:szCs w:val="24"/>
      <w:lang w:val="en-US"/>
    </w:rPr>
  </w:style>
  <w:style w:type="paragraph" w:customStyle="1" w:styleId="EndNoteBibliographyTitle">
    <w:name w:val="EndNote Bibliography Title"/>
    <w:basedOn w:val="Standard"/>
    <w:link w:val="EndNoteBibliographyTitleChar"/>
    <w:rsid w:val="00187C95"/>
    <w:pPr>
      <w:spacing w:after="0"/>
      <w:jc w:val="center"/>
    </w:pPr>
    <w:rPr>
      <w:rFonts w:ascii="Aptos" w:eastAsia="Times New Roman" w:hAnsi="Aptos" w:cs="Times New Roman"/>
    </w:rPr>
  </w:style>
  <w:style w:type="character" w:customStyle="1" w:styleId="EndNoteBibliographyTitleChar">
    <w:name w:val="EndNote Bibliography Title Char"/>
    <w:basedOn w:val="myparagraphChar"/>
    <w:link w:val="EndNoteBibliographyTitle"/>
    <w:rsid w:val="00187C95"/>
    <w:rPr>
      <w:rFonts w:ascii="Aptos" w:eastAsia="Times New Roman" w:hAnsi="Aptos" w:cs="Times New Roman"/>
      <w:sz w:val="24"/>
      <w:szCs w:val="24"/>
      <w:lang w:val="en-US"/>
      <w14:ligatures w14:val="standardContextual"/>
    </w:rPr>
  </w:style>
  <w:style w:type="paragraph" w:customStyle="1" w:styleId="EndNoteBibliography">
    <w:name w:val="EndNote Bibliography"/>
    <w:basedOn w:val="Standard"/>
    <w:link w:val="EndNoteBibliographyChar"/>
    <w:rsid w:val="00187C95"/>
    <w:pPr>
      <w:spacing w:line="240" w:lineRule="auto"/>
    </w:pPr>
    <w:rPr>
      <w:rFonts w:ascii="Aptos" w:eastAsia="Times New Roman" w:hAnsi="Aptos" w:cs="Times New Roman"/>
    </w:rPr>
  </w:style>
  <w:style w:type="character" w:customStyle="1" w:styleId="EndNoteBibliographyChar">
    <w:name w:val="EndNote Bibliography Char"/>
    <w:basedOn w:val="myparagraphChar"/>
    <w:link w:val="EndNoteBibliography"/>
    <w:rsid w:val="00187C95"/>
    <w:rPr>
      <w:rFonts w:ascii="Aptos" w:eastAsia="Times New Roman" w:hAnsi="Aptos" w:cs="Times New Roman"/>
      <w:sz w:val="24"/>
      <w:szCs w:val="24"/>
      <w:lang w:val="en-US"/>
      <w14:ligatures w14:val="standardContextual"/>
    </w:rPr>
  </w:style>
  <w:style w:type="character" w:styleId="Hyperlink">
    <w:name w:val="Hyperlink"/>
    <w:basedOn w:val="Absatz-Standardschriftart"/>
    <w:uiPriority w:val="99"/>
    <w:unhideWhenUsed/>
    <w:rsid w:val="00187C95"/>
    <w:rPr>
      <w:color w:val="0563C1" w:themeColor="hyperlink"/>
      <w:u w:val="single"/>
    </w:rPr>
  </w:style>
  <w:style w:type="character" w:customStyle="1" w:styleId="UnresolvedMention1">
    <w:name w:val="Unresolved Mention1"/>
    <w:basedOn w:val="Absatz-Standardschriftart"/>
    <w:uiPriority w:val="99"/>
    <w:semiHidden/>
    <w:unhideWhenUsed/>
    <w:rsid w:val="00187C95"/>
    <w:rPr>
      <w:color w:val="605E5C"/>
      <w:shd w:val="clear" w:color="auto" w:fill="E1DFDD"/>
    </w:rPr>
  </w:style>
  <w:style w:type="paragraph" w:styleId="Textkrper">
    <w:name w:val="Body Text"/>
    <w:basedOn w:val="Standard"/>
    <w:link w:val="TextkrperZchn"/>
    <w:rsid w:val="00187C95"/>
    <w:pPr>
      <w:spacing w:after="120" w:line="240" w:lineRule="auto"/>
    </w:pPr>
    <w:rPr>
      <w:rFonts w:ascii="Times New Roman" w:eastAsia="Times New Roman" w:hAnsi="Times New Roman" w:cs="Times New Roman"/>
      <w14:ligatures w14:val="none"/>
    </w:rPr>
  </w:style>
  <w:style w:type="character" w:customStyle="1" w:styleId="TextkrperZchn">
    <w:name w:val="Textkörper Zchn"/>
    <w:basedOn w:val="Absatz-Standardschriftart"/>
    <w:link w:val="Textkrper"/>
    <w:rsid w:val="00187C95"/>
    <w:rPr>
      <w:rFonts w:ascii="Times New Roman" w:eastAsia="Times New Roman" w:hAnsi="Times New Roman" w:cs="Times New Roman"/>
      <w:sz w:val="24"/>
      <w:szCs w:val="24"/>
      <w:lang w:val="en-US"/>
    </w:rPr>
  </w:style>
  <w:style w:type="character" w:customStyle="1" w:styleId="docdata">
    <w:name w:val="docdata"/>
    <w:rsid w:val="00187C95"/>
  </w:style>
  <w:style w:type="paragraph" w:styleId="Textkrper2">
    <w:name w:val="Body Text 2"/>
    <w:basedOn w:val="Standard"/>
    <w:link w:val="Textkrper2Zchn"/>
    <w:uiPriority w:val="99"/>
    <w:semiHidden/>
    <w:unhideWhenUsed/>
    <w:rsid w:val="002563A7"/>
    <w:pPr>
      <w:spacing w:after="120" w:line="480" w:lineRule="auto"/>
    </w:pPr>
  </w:style>
  <w:style w:type="character" w:customStyle="1" w:styleId="Textkrper2Zchn">
    <w:name w:val="Textkörper 2 Zchn"/>
    <w:basedOn w:val="Absatz-Standardschriftart"/>
    <w:link w:val="Textkrper2"/>
    <w:uiPriority w:val="99"/>
    <w:semiHidden/>
    <w:rsid w:val="002563A7"/>
    <w:rPr>
      <w:sz w:val="24"/>
      <w:szCs w:val="24"/>
      <w:lang w:val="en-US"/>
      <w14:ligatures w14:val="standardContextual"/>
    </w:rPr>
  </w:style>
  <w:style w:type="paragraph" w:styleId="Sprechblasentext">
    <w:name w:val="Balloon Text"/>
    <w:basedOn w:val="Standard"/>
    <w:link w:val="SprechblasentextZchn"/>
    <w:uiPriority w:val="99"/>
    <w:semiHidden/>
    <w:unhideWhenUsed/>
    <w:rsid w:val="007A347B"/>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7A347B"/>
    <w:rPr>
      <w:rFonts w:ascii="Segoe UI" w:hAnsi="Segoe UI" w:cs="Segoe UI"/>
      <w:sz w:val="18"/>
      <w:szCs w:val="18"/>
      <w:lang w:val="en-US"/>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emf"/><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tif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30</Pages>
  <Words>9058</Words>
  <Characters>51635</Characters>
  <Application>Microsoft Office Word</Application>
  <DocSecurity>0</DocSecurity>
  <Lines>430</Lines>
  <Paragraphs>121</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UKD</Company>
  <LinksUpToDate>false</LinksUpToDate>
  <CharactersWithSpaces>60572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Zink, Annika - UKD</dc:creator>
  <cp:keywords/>
  <dc:description/>
  <cp:lastModifiedBy>Zink, Annika - UKD</cp:lastModifiedBy>
  <cp:revision>4</cp:revision>
  <cp:lastPrinted>2025-04-07T13:24:00Z</cp:lastPrinted>
  <dcterms:created xsi:type="dcterms:W3CDTF">2025-05-15T09:51:00Z</dcterms:created>
  <dcterms:modified xsi:type="dcterms:W3CDTF">2025-05-15T12:07:00Z</dcterms:modified>
</cp:coreProperties>
</file>