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1549D3" w:rsidR="00654E8F" w:rsidP="0001436A" w:rsidRDefault="00654E8F" w14:paraId="5E1E54AB" w14:textId="77777777">
      <w:pPr>
        <w:pStyle w:val="SupplementaryMaterial"/>
        <w:rPr>
          <w:b w:val="0"/>
        </w:rPr>
      </w:pPr>
      <w:r w:rsidRPr="001549D3">
        <w:t>Supplementary Material</w:t>
      </w:r>
    </w:p>
    <w:p w:rsidRPr="00994A3D" w:rsidR="00EA3D3C" w:rsidP="0001436A" w:rsidRDefault="00654E8F" w14:paraId="29026311" w14:textId="77777777">
      <w:pPr>
        <w:pStyle w:val="Heading1"/>
      </w:pPr>
      <w:r w:rsidRPr="00994A3D">
        <w:t>Supplementary Data</w:t>
      </w:r>
    </w:p>
    <w:p w:rsidRPr="00994A3D" w:rsidR="00994A3D" w:rsidP="00994A3D" w:rsidRDefault="00994A3D" w14:paraId="5B9F45C9" w14:textId="77777777">
      <w:pPr>
        <w:jc w:val="both"/>
        <w:rPr>
          <w:rFonts w:cs="Times New Roman"/>
          <w:szCs w:val="24"/>
        </w:rPr>
      </w:pPr>
      <w:r w:rsidRPr="00994A3D">
        <w:rPr>
          <w:rFonts w:cs="Times New Roman"/>
          <w:szCs w:val="24"/>
        </w:rPr>
        <w:t xml:space="preserve">Supplementary Material should be uploaded separately on submission. Please include any supplementary data, figures and/or tables. </w:t>
      </w:r>
    </w:p>
    <w:p w:rsidRPr="00994A3D" w:rsidR="00994A3D" w:rsidP="00994A3D" w:rsidRDefault="00994A3D" w14:paraId="08451C38" w14:textId="77777777">
      <w:pPr>
        <w:spacing w:before="100" w:beforeAutospacing="1" w:after="100" w:afterAutospacing="1"/>
        <w:jc w:val="both"/>
        <w:rPr>
          <w:rFonts w:eastAsia="Times New Roman" w:cs="Times New Roman"/>
          <w:szCs w:val="24"/>
          <w:lang w:val="en-GB" w:eastAsia="en-GB"/>
        </w:rPr>
      </w:pPr>
      <w:r w:rsidRPr="00994A3D">
        <w:rPr>
          <w:rFonts w:eastAsia="Times New Roman" w:cs="Times New Roman"/>
          <w:szCs w:val="24"/>
          <w:lang w:val="en-GB" w:eastAsia="en-GB"/>
        </w:rPr>
        <w:t xml:space="preserve">Supplementary material is not typeset so please ensure that all information is clearly presented, the appropriate caption is included in the file and not in the manuscript, and that the style conforms to the rest of the article. </w:t>
      </w:r>
    </w:p>
    <w:p w:rsidRPr="00994A3D" w:rsidR="00994A3D" w:rsidP="0001436A" w:rsidRDefault="00654E8F" w14:paraId="5E584EE8" w14:textId="77777777">
      <w:pPr>
        <w:pStyle w:val="Heading1"/>
      </w:pPr>
      <w:r w:rsidRPr="00994A3D">
        <w:t>Supplementary Figures and Tables</w:t>
      </w:r>
    </w:p>
    <w:p w:rsidRPr="002B4A57" w:rsidR="00994A3D" w:rsidP="002B4A57" w:rsidRDefault="002B4A57" w14:paraId="7CD80DD1" w14:textId="4E7E194D">
      <w:pPr>
        <w:rPr>
          <w:rFonts w:cs="Times New Roman"/>
          <w:szCs w:val="24"/>
          <w:u w:val="single"/>
        </w:rPr>
      </w:pPr>
      <w:r>
        <w:t xml:space="preserve">For more information on Supplementary Material and </w:t>
      </w:r>
      <w:r w:rsidRPr="00376CC5">
        <w:rPr>
          <w:rFonts w:cs="Times New Roman"/>
          <w:szCs w:val="24"/>
        </w:rPr>
        <w:t>for details on th</w:t>
      </w:r>
      <w:r>
        <w:rPr>
          <w:rFonts w:cs="Times New Roman"/>
          <w:szCs w:val="24"/>
        </w:rPr>
        <w:t xml:space="preserve">e different file types accepted, </w:t>
      </w:r>
      <w:r>
        <w:t xml:space="preserve">please see </w:t>
      </w:r>
      <w:hyperlink w:history="1" w:anchor="supplementary-material" r:id="rId11">
        <w:r w:rsidRPr="002B4A57">
          <w:rPr>
            <w:rStyle w:val="Hyperlink"/>
          </w:rPr>
          <w:t>here</w:t>
        </w:r>
      </w:hyperlink>
      <w:r>
        <w:t>.</w:t>
      </w:r>
    </w:p>
    <w:p w:rsidRPr="001549D3" w:rsidR="00994A3D" w:rsidP="0001436A" w:rsidRDefault="00994A3D" w14:paraId="07970E94" w14:textId="77777777">
      <w:pPr>
        <w:pStyle w:val="Heading2"/>
      </w:pPr>
      <w:r w:rsidRPr="0001436A">
        <w:t>Supplementary</w:t>
      </w:r>
      <w:r w:rsidRPr="001549D3">
        <w:t xml:space="preserve"> Figures</w:t>
      </w:r>
    </w:p>
    <w:p w:rsidRPr="001549D3" w:rsidR="00994A3D" w:rsidP="00994A3D" w:rsidRDefault="00994A3D" w14:paraId="4916FCC9" w14:textId="77777777">
      <w:pPr>
        <w:keepNext/>
        <w:rPr>
          <w:rFonts w:cs="Times New Roman"/>
          <w:szCs w:val="24"/>
        </w:rPr>
      </w:pPr>
    </w:p>
    <w:p w:rsidRPr="001549D3" w:rsidR="00994A3D" w:rsidP="00994A3D" w:rsidRDefault="00994A3D" w14:paraId="11EC8DA1" w14:textId="77777777">
      <w:pPr>
        <w:keepNext/>
        <w:jc w:val="center"/>
        <w:rPr>
          <w:rFonts w:cs="Times New Roman"/>
          <w:szCs w:val="24"/>
        </w:rPr>
      </w:pPr>
      <w:r w:rsidRPr="001549D3">
        <w:rPr>
          <w:b/>
          <w:noProof/>
        </w:rPr>
        <w:drawing>
          <wp:inline distT="0" distB="0" distL="0" distR="0" wp14:anchorId="4ACC5B9F" wp14:editId="1CE3B87B">
            <wp:extent cx="4051121" cy="1456582"/>
            <wp:effectExtent l="0" t="0" r="6985"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22491" cy="1733928"/>
                    </a:xfrm>
                    <a:prstGeom prst="rect">
                      <a:avLst/>
                    </a:prstGeom>
                    <a:noFill/>
                    <a:ln>
                      <a:noFill/>
                    </a:ln>
                  </pic:spPr>
                </pic:pic>
              </a:graphicData>
            </a:graphic>
          </wp:inline>
        </w:drawing>
      </w:r>
    </w:p>
    <w:p w:rsidRPr="00276DFC" w:rsidR="00276DFC" w:rsidP="762A1549" w:rsidRDefault="00276DFC" w14:paraId="6FC2F88E" w14:textId="7D757F16">
      <w:pPr>
        <w:pStyle w:val="paragraph"/>
        <w:spacing w:before="0" w:beforeAutospacing="off" w:after="0" w:afterAutospacing="off"/>
        <w:jc w:val="both"/>
        <w:textAlignment w:val="baseline"/>
      </w:pPr>
      <w:r w:rsidRPr="762A1549" w:rsidR="00276DFC">
        <w:rPr>
          <w:rStyle w:val="normaltextrun"/>
          <w:b w:val="1"/>
          <w:bCs w:val="1"/>
        </w:rPr>
        <w:t>Supplemental Figure 1.</w:t>
      </w:r>
      <w:r w:rsidRPr="762A1549" w:rsidR="00276DFC">
        <w:rPr>
          <w:rStyle w:val="normaltextrun"/>
        </w:rPr>
        <w:t xml:space="preserve"> Multimodal single cell analysis of mouse osteotomy bone marrow tissue detects different immune cell types.</w:t>
      </w:r>
      <w:r w:rsidRPr="762A1549" w:rsidR="68CBA292">
        <w:rPr>
          <w:rStyle w:val="normaltextrun"/>
        </w:rPr>
        <w:t xml:space="preserve"> </w:t>
      </w:r>
      <w:r w:rsidRPr="762A1549" w:rsidR="68CBA292">
        <w:rPr>
          <w:rStyle w:val="normaltextrun"/>
          <w:b w:val="1"/>
          <w:bCs w:val="1"/>
        </w:rPr>
        <w:t>a</w:t>
      </w:r>
      <w:r w:rsidRPr="762A1549" w:rsidR="00276DFC">
        <w:rPr>
          <w:rStyle w:val="normaltextrun"/>
          <w:b w:val="1"/>
          <w:bCs w:val="1"/>
        </w:rPr>
        <w:t xml:space="preserve">) </w:t>
      </w:r>
      <w:r w:rsidRPr="762A1549" w:rsidR="00276DFC">
        <w:rPr>
          <w:rStyle w:val="normaltextrun"/>
        </w:rPr>
        <w:t xml:space="preserve">UMAP embedding of cell clusters detected in this study. Cell clusters are shown in </w:t>
      </w:r>
      <w:r w:rsidRPr="762A1549" w:rsidR="00276DFC">
        <w:rPr>
          <w:rStyle w:val="normaltextrun"/>
        </w:rPr>
        <w:t>different colors</w:t>
      </w:r>
      <w:r w:rsidRPr="762A1549" w:rsidR="00276DFC">
        <w:rPr>
          <w:rStyle w:val="normaltextrun"/>
        </w:rPr>
        <w:t xml:space="preserve"> (numbers correspond to the clusters detected after Seurat standard processing). </w:t>
      </w:r>
      <w:r w:rsidRPr="762A1549" w:rsidR="5E7461A0">
        <w:rPr>
          <w:rStyle w:val="normaltextrun"/>
          <w:b w:val="1"/>
          <w:bCs w:val="1"/>
        </w:rPr>
        <w:t>b</w:t>
      </w:r>
      <w:r w:rsidRPr="762A1549" w:rsidR="00276DFC">
        <w:rPr>
          <w:rStyle w:val="normaltextrun"/>
          <w:b w:val="1"/>
          <w:bCs w:val="1"/>
        </w:rPr>
        <w:t>)</w:t>
      </w:r>
      <w:r w:rsidRPr="762A1549" w:rsidR="00276DFC">
        <w:rPr>
          <w:rStyle w:val="normaltextrun"/>
        </w:rPr>
        <w:t xml:space="preserve"> Dot plot of normalized marker gene expression values and percentage of cells per cluster that express a given marker gene.</w:t>
      </w:r>
      <w:r w:rsidRPr="762A1549" w:rsidR="00816FE7">
        <w:rPr>
          <w:rStyle w:val="normaltextrun"/>
          <w:b w:val="1"/>
          <w:bCs w:val="1"/>
        </w:rPr>
        <w:t xml:space="preserve"> </w:t>
      </w:r>
      <w:r w:rsidRPr="762A1549" w:rsidR="01D32CAA">
        <w:rPr>
          <w:rStyle w:val="normaltextrun"/>
          <w:b w:val="1"/>
          <w:bCs w:val="1"/>
        </w:rPr>
        <w:t>c</w:t>
      </w:r>
      <w:r w:rsidRPr="762A1549" w:rsidR="00276DFC">
        <w:rPr>
          <w:rStyle w:val="normaltextrun"/>
          <w:b w:val="1"/>
          <w:bCs w:val="1"/>
        </w:rPr>
        <w:t>)</w:t>
      </w:r>
      <w:r w:rsidRPr="762A1549" w:rsidR="00276DFC">
        <w:rPr>
          <w:rStyle w:val="normaltextrun"/>
        </w:rPr>
        <w:t xml:space="preserve"> UMAP embedding showing </w:t>
      </w:r>
      <w:r w:rsidRPr="762A1549" w:rsidR="00DD6DBE">
        <w:rPr>
          <w:rStyle w:val="normaltextrun"/>
        </w:rPr>
        <w:t>cell-wise HTO assignments</w:t>
      </w:r>
      <w:r w:rsidRPr="762A1549" w:rsidR="00276DFC">
        <w:rPr>
          <w:rStyle w:val="normaltextrun"/>
        </w:rPr>
        <w:t xml:space="preserve"> in all detected cells. Doublets and HTO-negative cells were excluded from further analysis. </w:t>
      </w:r>
      <w:r w:rsidRPr="762A1549" w:rsidR="73B16A4D">
        <w:rPr>
          <w:rStyle w:val="normaltextrun"/>
          <w:b w:val="1"/>
          <w:bCs w:val="1"/>
        </w:rPr>
        <w:t>d</w:t>
      </w:r>
      <w:r w:rsidRPr="762A1549" w:rsidR="00276DFC">
        <w:rPr>
          <w:rStyle w:val="normaltextrun"/>
          <w:b w:val="1"/>
          <w:bCs w:val="1"/>
        </w:rPr>
        <w:t>)</w:t>
      </w:r>
      <w:r w:rsidRPr="762A1549" w:rsidR="00276DFC">
        <w:rPr>
          <w:rStyle w:val="normaltextrun"/>
        </w:rPr>
        <w:t xml:space="preserve"> Estimated</w:t>
      </w:r>
      <w:r w:rsidRPr="762A1549" w:rsidR="003A40B3">
        <w:rPr>
          <w:rStyle w:val="normaltextrun"/>
        </w:rPr>
        <w:t xml:space="preserve"> cell-wise</w:t>
      </w:r>
      <w:r w:rsidRPr="762A1549" w:rsidR="00276DFC">
        <w:rPr>
          <w:rStyle w:val="normaltextrun"/>
        </w:rPr>
        <w:t xml:space="preserve"> scores for the projection of label transfer from Tabula Muris cell annotation. </w:t>
      </w:r>
      <w:r w:rsidRPr="762A1549" w:rsidR="70472710">
        <w:rPr>
          <w:rStyle w:val="normaltextrun"/>
          <w:b w:val="1"/>
          <w:bCs w:val="1"/>
        </w:rPr>
        <w:t>e</w:t>
      </w:r>
      <w:r w:rsidRPr="762A1549" w:rsidR="00276DFC">
        <w:rPr>
          <w:rStyle w:val="normaltextrun"/>
          <w:b w:val="1"/>
          <w:bCs w:val="1"/>
        </w:rPr>
        <w:t>)</w:t>
      </w:r>
      <w:r w:rsidRPr="762A1549" w:rsidR="00276DFC">
        <w:rPr>
          <w:rStyle w:val="normaltextrun"/>
        </w:rPr>
        <w:t xml:space="preserve"> Comparative analysis of cell proportion results from </w:t>
      </w:r>
      <w:r w:rsidRPr="762A1549" w:rsidR="003A40B3">
        <w:rPr>
          <w:rStyle w:val="normaltextrun"/>
        </w:rPr>
        <w:t xml:space="preserve">murine </w:t>
      </w:r>
      <w:r w:rsidRPr="762A1549" w:rsidR="00276DFC">
        <w:rPr>
          <w:rStyle w:val="normaltextrun"/>
        </w:rPr>
        <w:t>bone marrow datasets, including this study.</w:t>
      </w:r>
      <w:r w:rsidRPr="762A1549" w:rsidR="00276DFC">
        <w:rPr>
          <w:rStyle w:val="eop"/>
        </w:rPr>
        <w:t> </w:t>
      </w:r>
    </w:p>
    <w:p w:rsidR="2A3A64F9" w:rsidP="2A3A64F9" w:rsidRDefault="2A3A64F9" w14:paraId="1699FAB4" w14:textId="39662608">
      <w:pPr>
        <w:pStyle w:val="paragraph"/>
        <w:spacing w:before="0" w:beforeAutospacing="0" w:after="0" w:afterAutospacing="0"/>
        <w:jc w:val="both"/>
        <w:rPr>
          <w:rStyle w:val="eop"/>
        </w:rPr>
      </w:pPr>
    </w:p>
    <w:p w:rsidRPr="00276DFC" w:rsidR="00276DFC" w:rsidP="00276DFC" w:rsidRDefault="00276DFC" w14:paraId="25C64963" w14:textId="16BBC091">
      <w:pPr>
        <w:pStyle w:val="paragraph"/>
        <w:spacing w:before="0" w:beforeAutospacing="0" w:after="0" w:afterAutospacing="0"/>
        <w:jc w:val="both"/>
        <w:textAlignment w:val="baseline"/>
      </w:pPr>
      <w:r w:rsidRPr="00276DFC">
        <w:rPr>
          <w:rStyle w:val="normaltextrun"/>
          <w:b/>
          <w:bCs/>
        </w:rPr>
        <w:t>Supplemental Figure 2.</w:t>
      </w:r>
      <w:r w:rsidRPr="00276DFC">
        <w:rPr>
          <w:rStyle w:val="normaltextrun"/>
        </w:rPr>
        <w:t xml:space="preserve"> B cell proportion analysis in different bone marrow regions across all mouse groups reveals no significant difference</w:t>
      </w:r>
      <w:r w:rsidR="00EB3311">
        <w:rPr>
          <w:rStyle w:val="normaltextrun"/>
        </w:rPr>
        <w:t>s</w:t>
      </w:r>
      <w:r w:rsidRPr="00276DFC">
        <w:rPr>
          <w:rStyle w:val="normaltextrun"/>
        </w:rPr>
        <w:t xml:space="preserve">. </w:t>
      </w:r>
      <w:r w:rsidRPr="00276DFC">
        <w:rPr>
          <w:rStyle w:val="normaltextrun"/>
          <w:b/>
          <w:bCs/>
        </w:rPr>
        <w:t xml:space="preserve">a-b) </w:t>
      </w:r>
      <w:r w:rsidRPr="00276DFC">
        <w:rPr>
          <w:rStyle w:val="normaltextrun"/>
        </w:rPr>
        <w:t>The percentage of B cells was calculated for each sample with respect to mouse age (</w:t>
      </w:r>
      <w:r w:rsidR="00EB3311">
        <w:rPr>
          <w:rStyle w:val="normaltextrun"/>
        </w:rPr>
        <w:t>y</w:t>
      </w:r>
      <w:r w:rsidR="00105075">
        <w:rPr>
          <w:rStyle w:val="normaltextrun"/>
        </w:rPr>
        <w:t>oung, NE</w:t>
      </w:r>
      <w:r w:rsidRPr="00276DFC">
        <w:rPr>
          <w:rStyle w:val="normaltextrun"/>
        </w:rPr>
        <w:t>,</w:t>
      </w:r>
      <w:r w:rsidR="003E5312">
        <w:rPr>
          <w:rStyle w:val="normaltextrun"/>
        </w:rPr>
        <w:t xml:space="preserve"> </w:t>
      </w:r>
      <w:r w:rsidR="00105075">
        <w:rPr>
          <w:rStyle w:val="normaltextrun"/>
        </w:rPr>
        <w:t>IE</w:t>
      </w:r>
      <w:r w:rsidRPr="00276DFC">
        <w:rPr>
          <w:rStyle w:val="normaltextrun"/>
        </w:rPr>
        <w:t>) for the different bone marrow regions on day 2</w:t>
      </w:r>
      <w:r w:rsidR="003E5312">
        <w:rPr>
          <w:rStyle w:val="normaltextrun"/>
        </w:rPr>
        <w:t xml:space="preserve"> and day 5</w:t>
      </w:r>
      <w:r w:rsidRPr="00276DFC">
        <w:rPr>
          <w:rStyle w:val="normaltextrun"/>
        </w:rPr>
        <w:t xml:space="preserve"> </w:t>
      </w:r>
      <w:r w:rsidRPr="00276DFC">
        <w:rPr>
          <w:rStyle w:val="normaltextrun"/>
          <w:b/>
          <w:bCs/>
        </w:rPr>
        <w:t>(a)</w:t>
      </w:r>
      <w:r w:rsidRPr="00276DFC">
        <w:rPr>
          <w:rStyle w:val="normaltextrun"/>
        </w:rPr>
        <w:t xml:space="preserve"> and </w:t>
      </w:r>
      <w:r w:rsidR="003E5312">
        <w:rPr>
          <w:rStyle w:val="normaltextrun"/>
        </w:rPr>
        <w:t>with respect to the different bone marrow regions (proximal, hematoma, distal) for the different mouse groups on day 2 and day 5</w:t>
      </w:r>
      <w:r w:rsidRPr="00276DFC">
        <w:rPr>
          <w:rStyle w:val="normaltextrun"/>
        </w:rPr>
        <w:t xml:space="preserve"> </w:t>
      </w:r>
      <w:r w:rsidRPr="00276DFC">
        <w:rPr>
          <w:rStyle w:val="normaltextrun"/>
          <w:b/>
          <w:bCs/>
        </w:rPr>
        <w:t>(b)</w:t>
      </w:r>
      <w:r w:rsidR="00EB3311">
        <w:rPr>
          <w:rStyle w:val="normaltextrun"/>
        </w:rPr>
        <w:t xml:space="preserve"> post osteotomy.</w:t>
      </w:r>
      <w:r w:rsidRPr="00276DFC">
        <w:rPr>
          <w:rStyle w:val="normaltextrun"/>
        </w:rPr>
        <w:t xml:space="preserve"> Significant differences in cell proportion were evaluated using paired two-sided Student’s t-test. </w:t>
      </w:r>
      <w:r w:rsidRPr="00276DFC">
        <w:rPr>
          <w:rStyle w:val="eop"/>
        </w:rPr>
        <w:t> </w:t>
      </w:r>
    </w:p>
    <w:p w:rsidRPr="00276DFC" w:rsidR="00276DFC" w:rsidP="3F83B431" w:rsidRDefault="00276DFC" w14:paraId="42FA20B9" w14:textId="6CD01002">
      <w:pPr>
        <w:pStyle w:val="paragraph"/>
        <w:spacing w:before="0" w:beforeAutospacing="0" w:after="0" w:afterAutospacing="0"/>
        <w:jc w:val="both"/>
        <w:textAlignment w:val="baseline"/>
      </w:pPr>
      <w:r w:rsidRPr="3F83B431">
        <w:rPr>
          <w:rStyle w:val="normaltextrun"/>
          <w:b/>
          <w:bCs/>
        </w:rPr>
        <w:lastRenderedPageBreak/>
        <w:t>Supplemental Figure 3.</w:t>
      </w:r>
      <w:r w:rsidRPr="3F83B431">
        <w:rPr>
          <w:rStyle w:val="normaltextrun"/>
        </w:rPr>
        <w:t xml:space="preserve"> Expression of genes in the post-osteotomy hematoma of young </w:t>
      </w:r>
      <w:r w:rsidRPr="3F83B431" w:rsidR="1B29F323">
        <w:rPr>
          <w:rStyle w:val="normaltextrun"/>
        </w:rPr>
        <w:t>and non</w:t>
      </w:r>
      <w:r w:rsidRPr="3F83B431" w:rsidR="00563801">
        <w:rPr>
          <w:rStyle w:val="normaltextrun"/>
        </w:rPr>
        <w:t>-</w:t>
      </w:r>
      <w:r w:rsidRPr="3F83B431" w:rsidR="00105075">
        <w:rPr>
          <w:rStyle w:val="normaltextrun"/>
        </w:rPr>
        <w:t>IE</w:t>
      </w:r>
      <w:r w:rsidRPr="3F83B431" w:rsidR="00563801">
        <w:rPr>
          <w:rStyle w:val="normaltextrun"/>
        </w:rPr>
        <w:t xml:space="preserve"> </w:t>
      </w:r>
      <w:r w:rsidRPr="3F83B431">
        <w:rPr>
          <w:rStyle w:val="normaltextrun"/>
        </w:rPr>
        <w:t xml:space="preserve">mice. </w:t>
      </w:r>
      <w:r w:rsidRPr="3F83B431">
        <w:rPr>
          <w:rStyle w:val="normaltextrun"/>
          <w:b/>
          <w:bCs/>
        </w:rPr>
        <w:t>a-b)</w:t>
      </w:r>
      <w:r w:rsidRPr="3F83B431">
        <w:rPr>
          <w:rStyle w:val="normaltextrun"/>
        </w:rPr>
        <w:t xml:space="preserve"> Volcano plot of log2-transformed fold changes (5 days vs. 2 days) versus negative log10-transformed p-values (Wald test) in young </w:t>
      </w:r>
      <w:r w:rsidRPr="3F83B431">
        <w:rPr>
          <w:rStyle w:val="normaltextrun"/>
          <w:b/>
          <w:bCs/>
        </w:rPr>
        <w:t>(a)</w:t>
      </w:r>
      <w:r w:rsidRPr="3F83B431">
        <w:rPr>
          <w:rStyle w:val="normaltextrun"/>
        </w:rPr>
        <w:t xml:space="preserve"> </w:t>
      </w:r>
      <w:r w:rsidRPr="3F83B431" w:rsidR="70FA4F14">
        <w:rPr>
          <w:rStyle w:val="normaltextrun"/>
        </w:rPr>
        <w:t>and NE</w:t>
      </w:r>
      <w:r w:rsidRPr="3F83B431" w:rsidR="00F84EB2">
        <w:rPr>
          <w:rStyle w:val="normaltextrun"/>
        </w:rPr>
        <w:t xml:space="preserve"> </w:t>
      </w:r>
      <w:r w:rsidRPr="3F83B431">
        <w:rPr>
          <w:rStyle w:val="normaltextrun"/>
        </w:rPr>
        <w:t xml:space="preserve">mice </w:t>
      </w:r>
      <w:r w:rsidRPr="3F83B431">
        <w:rPr>
          <w:rStyle w:val="normaltextrun"/>
          <w:b/>
          <w:bCs/>
        </w:rPr>
        <w:t>(b)</w:t>
      </w:r>
      <w:r w:rsidRPr="3F83B431">
        <w:rPr>
          <w:rStyle w:val="normaltextrun"/>
        </w:rPr>
        <w:t xml:space="preserve">. Differentially expressed genes (adjusted p-value &lt; 0.1 and absolute log2-transformed fold change &gt; 0.5) are marked in red (up, increased), blue (down, decreased), or grey (N, non-differential). </w:t>
      </w:r>
      <w:r w:rsidRPr="3F83B431" w:rsidR="003554D1">
        <w:rPr>
          <w:rStyle w:val="normaltextrun"/>
        </w:rPr>
        <w:t xml:space="preserve">c) </w:t>
      </w:r>
      <w:r w:rsidRPr="3F83B431">
        <w:rPr>
          <w:rStyle w:val="normaltextrun"/>
        </w:rPr>
        <w:t xml:space="preserve">Box plots of LI.M47.0 gene module scores per cell for various cell types at 2 and 5 days post osteotomy in the hematoma </w:t>
      </w:r>
      <w:r w:rsidRPr="3F83B431" w:rsidR="13CE5BA8">
        <w:rPr>
          <w:rStyle w:val="normaltextrun"/>
        </w:rPr>
        <w:t>of IE</w:t>
      </w:r>
      <w:r w:rsidRPr="3F83B431" w:rsidR="00F84EB2">
        <w:rPr>
          <w:rStyle w:val="normaltextrun"/>
        </w:rPr>
        <w:t xml:space="preserve"> </w:t>
      </w:r>
      <w:r w:rsidRPr="3F83B431">
        <w:rPr>
          <w:rStyle w:val="normaltextrun"/>
        </w:rPr>
        <w:t>mice. Wilcoxon rank sum test was used for comparisons. The lower and upper hinges of box plots correspond to the 25th and 75th percentiles, respectively. Center lines of box plots depict the median values. Significant differences are indicated with asterisks (*p&lt; 0.05)</w:t>
      </w:r>
      <w:r w:rsidRPr="3F83B431">
        <w:rPr>
          <w:rStyle w:val="eop"/>
        </w:rPr>
        <w:t> </w:t>
      </w:r>
    </w:p>
    <w:p w:rsidR="2A3A64F9" w:rsidP="2A3A64F9" w:rsidRDefault="2A3A64F9" w14:paraId="5DCDD459" w14:textId="3F18D458">
      <w:pPr>
        <w:pStyle w:val="paragraph"/>
        <w:spacing w:before="0" w:beforeAutospacing="0" w:after="0" w:afterAutospacing="0"/>
        <w:jc w:val="both"/>
        <w:rPr>
          <w:rStyle w:val="eop"/>
        </w:rPr>
      </w:pPr>
    </w:p>
    <w:p w:rsidRPr="00276DFC" w:rsidR="00276DFC" w:rsidP="2A3A64F9" w:rsidRDefault="00276DFC" w14:paraId="10C6372C" w14:textId="690362BE">
      <w:pPr>
        <w:pStyle w:val="paragraph"/>
        <w:spacing w:before="0" w:beforeAutospacing="0" w:after="0" w:afterAutospacing="0"/>
        <w:jc w:val="both"/>
        <w:textAlignment w:val="baseline"/>
      </w:pPr>
      <w:r w:rsidRPr="2A3A64F9">
        <w:rPr>
          <w:rStyle w:val="normaltextrun"/>
          <w:b/>
          <w:bCs/>
        </w:rPr>
        <w:t>Supplemental Figure 4.</w:t>
      </w:r>
      <w:r w:rsidRPr="2A3A64F9">
        <w:rPr>
          <w:rStyle w:val="normaltextrun"/>
        </w:rPr>
        <w:t xml:space="preserve"> B cell differentiation in the osteotomy hematoma of the different mouse groups. </w:t>
      </w:r>
      <w:r w:rsidRPr="2A3A64F9">
        <w:rPr>
          <w:rStyle w:val="normaltextrun"/>
          <w:b/>
          <w:bCs/>
        </w:rPr>
        <w:t xml:space="preserve">a-b) </w:t>
      </w:r>
      <w:r w:rsidRPr="2A3A64F9">
        <w:rPr>
          <w:rStyle w:val="normaltextrun"/>
        </w:rPr>
        <w:t xml:space="preserve">Box plots of pseudotime values 2 and 5 days post osteotomy in the proximal </w:t>
      </w:r>
      <w:r w:rsidRPr="2A3A64F9">
        <w:rPr>
          <w:rStyle w:val="normaltextrun"/>
          <w:b/>
          <w:bCs/>
        </w:rPr>
        <w:t>(a)</w:t>
      </w:r>
      <w:r w:rsidRPr="2A3A64F9">
        <w:rPr>
          <w:rStyle w:val="normaltextrun"/>
        </w:rPr>
        <w:t xml:space="preserve"> and distal </w:t>
      </w:r>
      <w:r w:rsidRPr="2A3A64F9">
        <w:rPr>
          <w:rStyle w:val="normaltextrun"/>
          <w:b/>
          <w:bCs/>
        </w:rPr>
        <w:t>(b</w:t>
      </w:r>
      <w:r w:rsidRPr="2A3A64F9">
        <w:rPr>
          <w:rStyle w:val="normaltextrun"/>
        </w:rPr>
        <w:t xml:space="preserve">) BM of the different mouse groups (young, </w:t>
      </w:r>
      <w:r w:rsidR="00105075">
        <w:rPr>
          <w:rStyle w:val="normaltextrun"/>
        </w:rPr>
        <w:t>NE</w:t>
      </w:r>
      <w:r w:rsidRPr="2A3A64F9">
        <w:rPr>
          <w:rStyle w:val="normaltextrun"/>
        </w:rPr>
        <w:t>,</w:t>
      </w:r>
      <w:r w:rsidR="00563801">
        <w:rPr>
          <w:rStyle w:val="normaltextrun"/>
        </w:rPr>
        <w:t xml:space="preserve"> </w:t>
      </w:r>
      <w:r w:rsidR="00105075">
        <w:rPr>
          <w:rStyle w:val="normaltextrun"/>
        </w:rPr>
        <w:t>IE</w:t>
      </w:r>
      <w:r w:rsidRPr="2A3A64F9">
        <w:rPr>
          <w:rStyle w:val="normaltextrun"/>
        </w:rPr>
        <w:t>)</w:t>
      </w:r>
      <w:r w:rsidR="00AC0147">
        <w:rPr>
          <w:rStyle w:val="normaltextrun"/>
        </w:rPr>
        <w:t xml:space="preserve">. </w:t>
      </w:r>
      <w:r w:rsidRPr="2A3A64F9">
        <w:rPr>
          <w:rStyle w:val="normaltextrun"/>
        </w:rPr>
        <w:t xml:space="preserve">Wilcoxon rank sum test was used for comparisons. The lower and upper hinges of box plots correspond to the 25th and 75th percentiles, respectively. Center lines of box plots depict the median values. Significant differences are indicated with asterisks (*p &lt; 0.05, **p&lt;0.01, ***p&lt;0.001, ****p&lt; 0.0001). </w:t>
      </w:r>
      <w:r w:rsidRPr="2A3A64F9">
        <w:rPr>
          <w:rStyle w:val="normaltextrun"/>
          <w:b/>
          <w:bCs/>
        </w:rPr>
        <w:t>c)</w:t>
      </w:r>
      <w:r w:rsidRPr="2A3A64F9">
        <w:rPr>
          <w:rStyle w:val="normaltextrun"/>
        </w:rPr>
        <w:t xml:space="preserve"> UMAP embedding of B cells and HPCs with corresponding pseudotime values from Monocle3. </w:t>
      </w:r>
      <w:r w:rsidRPr="2A3A64F9">
        <w:rPr>
          <w:rStyle w:val="normaltextrun"/>
          <w:b/>
          <w:bCs/>
        </w:rPr>
        <w:t xml:space="preserve">d) </w:t>
      </w:r>
      <w:r w:rsidRPr="2A3A64F9">
        <w:rPr>
          <w:rStyle w:val="normaltextrun"/>
        </w:rPr>
        <w:t>Box plots of pseudotime values 2 and 5 days post osteotomy in the hematoma of</w:t>
      </w:r>
      <w:r w:rsidR="00105075">
        <w:rPr>
          <w:rStyle w:val="normaltextrun"/>
        </w:rPr>
        <w:t xml:space="preserve"> different mouse groups (young, NE</w:t>
      </w:r>
      <w:r w:rsidRPr="2A3A64F9">
        <w:rPr>
          <w:rStyle w:val="normaltextrun"/>
        </w:rPr>
        <w:t>,</w:t>
      </w:r>
      <w:r w:rsidR="00563801">
        <w:rPr>
          <w:rStyle w:val="normaltextrun"/>
        </w:rPr>
        <w:t xml:space="preserve"> </w:t>
      </w:r>
      <w:r w:rsidR="00105075">
        <w:rPr>
          <w:rStyle w:val="normaltextrun"/>
        </w:rPr>
        <w:t>IE</w:t>
      </w:r>
      <w:r w:rsidRPr="2A3A64F9">
        <w:rPr>
          <w:rStyle w:val="normaltextrun"/>
        </w:rPr>
        <w:t xml:space="preserve">) using Monocle3. </w:t>
      </w:r>
      <w:r w:rsidRPr="2A3A64F9">
        <w:rPr>
          <w:rStyle w:val="normaltextrun"/>
          <w:b/>
          <w:bCs/>
        </w:rPr>
        <w:t xml:space="preserve">e) </w:t>
      </w:r>
      <w:r w:rsidRPr="2A3A64F9">
        <w:rPr>
          <w:rStyle w:val="normaltextrun"/>
        </w:rPr>
        <w:t xml:space="preserve">Box plots of pseudotime values 2 and 5 days post osteotomy in the hematoma </w:t>
      </w:r>
      <w:r w:rsidRPr="2A3A64F9" w:rsidR="00105075">
        <w:rPr>
          <w:rStyle w:val="normaltextrun"/>
        </w:rPr>
        <w:t xml:space="preserve">of </w:t>
      </w:r>
      <w:r w:rsidR="00105075">
        <w:rPr>
          <w:rStyle w:val="normaltextrun"/>
        </w:rPr>
        <w:t>IE</w:t>
      </w:r>
      <w:r w:rsidR="00563801">
        <w:rPr>
          <w:rStyle w:val="normaltextrun"/>
        </w:rPr>
        <w:t xml:space="preserve"> </w:t>
      </w:r>
      <w:r w:rsidRPr="2A3A64F9">
        <w:rPr>
          <w:rStyle w:val="normaltextrun"/>
        </w:rPr>
        <w:t>mice for different cell types along the pseudotime trajectory using Monocle3. Wilcoxon rank sum test was used for comparisons. </w:t>
      </w:r>
      <w:r w:rsidRPr="2A3A64F9">
        <w:rPr>
          <w:rStyle w:val="eop"/>
        </w:rPr>
        <w:t> </w:t>
      </w:r>
    </w:p>
    <w:p w:rsidR="2A3A64F9" w:rsidP="2A3A64F9" w:rsidRDefault="2A3A64F9" w14:paraId="3CB5A626" w14:textId="12B75655">
      <w:pPr>
        <w:pStyle w:val="paragraph"/>
        <w:spacing w:before="0" w:beforeAutospacing="0" w:after="0" w:afterAutospacing="0"/>
        <w:jc w:val="both"/>
        <w:rPr>
          <w:rStyle w:val="eop"/>
        </w:rPr>
      </w:pPr>
    </w:p>
    <w:p w:rsidRPr="00276DFC" w:rsidR="00276DFC" w:rsidP="2A3A64F9" w:rsidRDefault="00276DFC" w14:paraId="1F3F3DEC" w14:textId="1E392867">
      <w:pPr>
        <w:pStyle w:val="paragraph"/>
        <w:spacing w:before="0" w:beforeAutospacing="0" w:after="0" w:afterAutospacing="0"/>
        <w:jc w:val="both"/>
        <w:textAlignment w:val="baseline"/>
      </w:pPr>
      <w:r w:rsidRPr="2A3A64F9">
        <w:rPr>
          <w:rStyle w:val="normaltextrun"/>
          <w:b/>
          <w:bCs/>
        </w:rPr>
        <w:t xml:space="preserve">Supplemental Figure 5. </w:t>
      </w:r>
      <w:r w:rsidRPr="2A3A64F9">
        <w:rPr>
          <w:rStyle w:val="normaltextrun"/>
        </w:rPr>
        <w:t xml:space="preserve">Differential expression of Ifn response genes. </w:t>
      </w:r>
      <w:r w:rsidRPr="2A3A64F9">
        <w:rPr>
          <w:rStyle w:val="normaltextrun"/>
          <w:b/>
          <w:bCs/>
        </w:rPr>
        <w:t>a)</w:t>
      </w:r>
      <w:r w:rsidRPr="2A3A64F9">
        <w:rPr>
          <w:rStyle w:val="normaltextrun"/>
        </w:rPr>
        <w:t xml:space="preserve"> Cell-wise interferon </w:t>
      </w:r>
      <w:r w:rsidR="0096072A">
        <w:rPr>
          <w:rStyle w:val="normaltextrun"/>
        </w:rPr>
        <w:t>gene set</w:t>
      </w:r>
      <w:r w:rsidRPr="2A3A64F9">
        <w:rPr>
          <w:rStyle w:val="normaltextrun"/>
        </w:rPr>
        <w:t xml:space="preserve"> expression score in different cell types. Box plots of DC.M3.4 gene module scores per cell at 2 and 5 days post osteotomy in the hematoma of </w:t>
      </w:r>
      <w:r w:rsidR="00105075">
        <w:rPr>
          <w:rStyle w:val="normaltextrun"/>
        </w:rPr>
        <w:t xml:space="preserve">IE </w:t>
      </w:r>
      <w:r w:rsidRPr="2A3A64F9">
        <w:rPr>
          <w:rStyle w:val="normaltextrun"/>
        </w:rPr>
        <w:t>mice. Wilcoxon rank sum test was used for comparisons. The lower and upper hinges of box plots correspond to the 25th and 75th percentiles, respectively. Center lines of box plots depict the median values. Significant differences are indicated with asterisks (*p&lt; 0.05, ****p&lt;0.0001).</w:t>
      </w:r>
      <w:r w:rsidRPr="2A3A64F9">
        <w:rPr>
          <w:rStyle w:val="normaltextrun"/>
          <w:b/>
          <w:bCs/>
        </w:rPr>
        <w:t xml:space="preserve"> b-c)</w:t>
      </w:r>
      <w:r w:rsidRPr="2A3A64F9">
        <w:rPr>
          <w:rStyle w:val="normaltextrun"/>
        </w:rPr>
        <w:t xml:space="preserve"> Volcano plot of log2-transformed fold changes (5 days vs. 2 days) versus negative log10-transformed p-values (Wald test) </w:t>
      </w:r>
      <w:r w:rsidR="006A14C3">
        <w:rPr>
          <w:rStyle w:val="normaltextrun"/>
        </w:rPr>
        <w:t xml:space="preserve">in the hematoma of </w:t>
      </w:r>
      <w:r w:rsidR="00105075">
        <w:rPr>
          <w:rStyle w:val="normaltextrun"/>
        </w:rPr>
        <w:t>NE</w:t>
      </w:r>
      <w:r w:rsidR="00467121">
        <w:rPr>
          <w:rStyle w:val="normaltextrun"/>
        </w:rPr>
        <w:t xml:space="preserve"> </w:t>
      </w:r>
      <w:r w:rsidRPr="2A3A64F9">
        <w:rPr>
          <w:rStyle w:val="normaltextrun"/>
          <w:b/>
          <w:bCs/>
        </w:rPr>
        <w:t>(b)</w:t>
      </w:r>
      <w:r w:rsidRPr="2A3A64F9">
        <w:rPr>
          <w:rStyle w:val="normaltextrun"/>
        </w:rPr>
        <w:t xml:space="preserve"> and young </w:t>
      </w:r>
      <w:r w:rsidR="005B34E7">
        <w:rPr>
          <w:rStyle w:val="normaltextrun"/>
        </w:rPr>
        <w:t>mice</w:t>
      </w:r>
      <w:r w:rsidRPr="2A3A64F9">
        <w:rPr>
          <w:rStyle w:val="normaltextrun"/>
        </w:rPr>
        <w:t xml:space="preserve"> </w:t>
      </w:r>
      <w:r w:rsidRPr="2A3A64F9">
        <w:rPr>
          <w:rStyle w:val="normaltextrun"/>
          <w:b/>
          <w:bCs/>
        </w:rPr>
        <w:t>(c)</w:t>
      </w:r>
      <w:r w:rsidRPr="2A3A64F9">
        <w:rPr>
          <w:rStyle w:val="normaltextrun"/>
        </w:rPr>
        <w:t xml:space="preserve">. </w:t>
      </w:r>
      <w:r w:rsidR="005B34E7">
        <w:rPr>
          <w:rStyle w:val="normaltextrun"/>
        </w:rPr>
        <w:t xml:space="preserve">Genes </w:t>
      </w:r>
      <w:r w:rsidR="0099799B">
        <w:rPr>
          <w:rStyle w:val="normaltextrun"/>
        </w:rPr>
        <w:t>included in the “</w:t>
      </w:r>
      <w:r w:rsidRPr="2A3A64F9">
        <w:rPr>
          <w:rStyle w:val="normaltextrun"/>
        </w:rPr>
        <w:t>Interferon</w:t>
      </w:r>
      <w:r w:rsidR="0099799B">
        <w:rPr>
          <w:rStyle w:val="normaltextrun"/>
        </w:rPr>
        <w:t>”</w:t>
      </w:r>
      <w:r w:rsidRPr="2A3A64F9">
        <w:rPr>
          <w:rStyle w:val="normaltextrun"/>
        </w:rPr>
        <w:t xml:space="preserve"> </w:t>
      </w:r>
      <w:r w:rsidR="0099799B">
        <w:rPr>
          <w:rStyle w:val="normaltextrun"/>
        </w:rPr>
        <w:t>gene set</w:t>
      </w:r>
      <w:r w:rsidRPr="2A3A64F9">
        <w:rPr>
          <w:rStyle w:val="normaltextrun"/>
        </w:rPr>
        <w:t xml:space="preserve"> (DC.M3.4) are indicated along with all differentially expressed genes (adjusted p-value &lt; 0.1 and absolute log2-transformed fold change &gt; 0.5), and colored in red (up, increased), blue (down, decreased), or grey (N, non-differential). </w:t>
      </w:r>
      <w:r w:rsidRPr="2A3A64F9">
        <w:rPr>
          <w:rStyle w:val="eop"/>
        </w:rPr>
        <w:t> </w:t>
      </w:r>
    </w:p>
    <w:p w:rsidR="2A3A64F9" w:rsidP="2A3A64F9" w:rsidRDefault="2A3A64F9" w14:paraId="2B62C252" w14:textId="15DC3A13">
      <w:pPr>
        <w:pStyle w:val="paragraph"/>
        <w:spacing w:before="0" w:beforeAutospacing="0" w:after="0" w:afterAutospacing="0"/>
        <w:jc w:val="both"/>
        <w:rPr>
          <w:rStyle w:val="eop"/>
        </w:rPr>
      </w:pPr>
    </w:p>
    <w:p w:rsidR="2507969B" w:rsidP="2A3A64F9" w:rsidRDefault="2507969B" w14:paraId="1934A936" w14:textId="06A17EA3">
      <w:pPr>
        <w:pStyle w:val="Heading2"/>
      </w:pPr>
      <w:r>
        <w:t>Supplementary Tables</w:t>
      </w:r>
    </w:p>
    <w:p w:rsidR="3583DD12" w:rsidP="2A3A64F9" w:rsidRDefault="3583DD12" w14:paraId="73249D0C" w14:textId="63A6EA53">
      <w:pPr>
        <w:jc w:val="both"/>
        <w:rPr>
          <w:rStyle w:val="normaltextrun"/>
        </w:rPr>
      </w:pPr>
      <w:r w:rsidRPr="2A3A64F9">
        <w:rPr>
          <w:rStyle w:val="normaltextrun"/>
          <w:b/>
          <w:bCs/>
        </w:rPr>
        <w:t>Supplemental Table 1.</w:t>
      </w:r>
      <w:r w:rsidRPr="2A3A64F9" w:rsidR="20AA41F6">
        <w:rPr>
          <w:rStyle w:val="normaltextrun"/>
          <w:b/>
          <w:bCs/>
        </w:rPr>
        <w:t xml:space="preserve"> </w:t>
      </w:r>
      <w:r w:rsidRPr="2A3A64F9" w:rsidR="434EC4F7">
        <w:rPr>
          <w:rStyle w:val="normaltextrun"/>
        </w:rPr>
        <w:t>Overview of the experimental groups</w:t>
      </w:r>
      <w:r w:rsidRPr="2A3A64F9" w:rsidR="66D6D806">
        <w:rPr>
          <w:rStyle w:val="normaltextrun"/>
        </w:rPr>
        <w:t xml:space="preserve"> </w:t>
      </w:r>
      <w:r w:rsidRPr="2A3A64F9" w:rsidR="434EC4F7">
        <w:rPr>
          <w:rStyle w:val="normaltextrun"/>
        </w:rPr>
        <w:t>on day</w:t>
      </w:r>
      <w:r w:rsidR="0071117D">
        <w:rPr>
          <w:rStyle w:val="normaltextrun"/>
        </w:rPr>
        <w:t>s</w:t>
      </w:r>
      <w:r w:rsidRPr="2A3A64F9" w:rsidR="434EC4F7">
        <w:rPr>
          <w:rStyle w:val="normaltextrun"/>
        </w:rPr>
        <w:t xml:space="preserve"> 2 and 5 post osteotomy</w:t>
      </w:r>
      <w:r w:rsidR="0071117D">
        <w:rPr>
          <w:rStyle w:val="normaltextrun"/>
        </w:rPr>
        <w:t>.</w:t>
      </w:r>
    </w:p>
    <w:p w:rsidRPr="0071117D" w:rsidR="434EC4F7" w:rsidP="2A3A64F9" w:rsidRDefault="434EC4F7" w14:paraId="164A8455" w14:textId="15785A3B">
      <w:pPr>
        <w:jc w:val="both"/>
        <w:rPr>
          <w:rStyle w:val="normaltextrun"/>
        </w:rPr>
      </w:pPr>
      <w:r w:rsidRPr="2A3A64F9">
        <w:rPr>
          <w:rStyle w:val="normaltextrun"/>
          <w:b/>
          <w:bCs/>
        </w:rPr>
        <w:t>Supplemental Table 2.</w:t>
      </w:r>
      <w:r w:rsidRPr="2A3A64F9">
        <w:rPr>
          <w:rStyle w:val="normaltextrun"/>
        </w:rPr>
        <w:t xml:space="preserve"> </w:t>
      </w:r>
      <w:r w:rsidRPr="0071117D" w:rsidR="3D27BCEF">
        <w:rPr>
          <w:rStyle w:val="normaltextrun"/>
        </w:rPr>
        <w:t>Cell proportion</w:t>
      </w:r>
      <w:r w:rsidRPr="0071117D" w:rsidR="0071117D">
        <w:rPr>
          <w:rStyle w:val="normaltextrun"/>
        </w:rPr>
        <w:t xml:space="preserve"> values per mouse on days 2 a</w:t>
      </w:r>
      <w:r w:rsidR="0071117D">
        <w:rPr>
          <w:rStyle w:val="normaltextrun"/>
        </w:rPr>
        <w:t>nd 5 post osteotomy.</w:t>
      </w:r>
    </w:p>
    <w:p w:rsidRPr="0071117D" w:rsidR="00DE23E8" w:rsidP="2A3A64F9" w:rsidRDefault="00DE23E8" w14:paraId="58F1AED1" w14:textId="7943D3FB">
      <w:pPr>
        <w:keepNext/>
        <w:spacing w:before="240"/>
        <w:jc w:val="both"/>
        <w:rPr>
          <w:rFonts w:cs="Times New Roman"/>
          <w:b/>
          <w:bCs/>
        </w:rPr>
      </w:pPr>
    </w:p>
    <w:sectPr w:rsidRPr="0071117D" w:rsidR="00DE23E8" w:rsidSect="0093429D">
      <w:headerReference w:type="even" r:id="rId13"/>
      <w:footerReference w:type="even" r:id="rId14"/>
      <w:footerReference w:type="default" r:id="rId15"/>
      <w:headerReference w:type="first" r:id="rId16"/>
      <w:pgSz w:w="12240" w:h="15840" w:orient="portrait"/>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107" w:rsidP="00117666" w:rsidRDefault="00816107" w14:paraId="6EBD8117" w14:textId="77777777">
      <w:pPr>
        <w:spacing w:after="0"/>
      </w:pPr>
      <w:r>
        <w:separator/>
      </w:r>
    </w:p>
  </w:endnote>
  <w:endnote w:type="continuationSeparator" w:id="0">
    <w:p w:rsidR="00816107" w:rsidP="00117666" w:rsidRDefault="00816107" w14:paraId="79E40025"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Pr="00577C4C" w:rsidR="007D5574" w:rsidRDefault="00C52A7B" w14:paraId="6314AB28" w14:textId="77777777">
    <w:pPr>
      <w:rPr>
        <w:color w:val="C00000"/>
        <w:szCs w:val="24"/>
      </w:rPr>
    </w:pPr>
    <w:r>
      <w:rPr>
        <w:noProof/>
      </w:rPr>
      <mc:AlternateContent>
        <mc:Choice Requires="wps">
          <w:drawing>
            <wp:anchor distT="0" distB="0" distL="114300" distR="114300" simplePos="0" relativeHeight="251659264" behindDoc="0" locked="0" layoutInCell="1" allowOverlap="1" wp14:anchorId="00A152CD" wp14:editId="47F23114">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Pr="00577C4C" w:rsidR="007D5574" w:rsidRDefault="00C52A7B" w14:paraId="4D054D26" w14:textId="4F6F9CA0">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16FE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00A152CD">
              <v:stroke joinstyle="miter"/>
              <v:path gradientshapeok="t" o:connecttype="rect"/>
            </v:shapetype>
            <v:shape id="Text Box 1"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v:textbox style="mso-fit-shape-to-text:t">
                <w:txbxContent>
                  <w:p w:rsidRPr="00577C4C" w:rsidR="007D5574" w:rsidRDefault="00C52A7B" w14:paraId="4D054D26" w14:textId="4F6F9CA0">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16FE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Pr="00577C4C" w:rsidR="007D5574" w:rsidRDefault="00C52A7B" w14:paraId="6322FF27" w14:textId="77777777">
    <w:pPr>
      <w:rPr>
        <w:b/>
        <w:sz w:val="20"/>
        <w:szCs w:val="24"/>
      </w:rPr>
    </w:pPr>
    <w:r>
      <w:rPr>
        <w:noProof/>
      </w:rPr>
      <mc:AlternateContent>
        <mc:Choice Requires="wps">
          <w:drawing>
            <wp:anchor distT="0" distB="0" distL="114300" distR="114300" simplePos="0" relativeHeight="251646976" behindDoc="0" locked="0" layoutInCell="1" allowOverlap="1" wp14:anchorId="3151A55C" wp14:editId="2441783D">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Pr="00577C4C" w:rsidR="007D5574" w:rsidRDefault="00C52A7B" w14:paraId="085E15EB" w14:textId="7777777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a="http://schemas.openxmlformats.org/drawingml/2006/main" xmlns:cx1="http://schemas.microsoft.com/office/drawing/2015/9/8/chartex">
          <w:pict>
            <v:shapetype id="_x0000_t202" coordsize="21600,21600" o:spt="202" path="m,l,21600r21600,l21600,xe" w14:anchorId="3151A55C">
              <v:stroke joinstyle="miter"/>
              <v:path gradientshapeok="t" o:connecttype="rect"/>
            </v:shapetype>
            <v:shape id="Text Box 56"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v:textbox style="mso-fit-shape-to-text:t">
                <w:txbxContent>
                  <w:p w:rsidRPr="00577C4C" w:rsidR="00995F6A" w:rsidRDefault="00C52A7B" w14:paraId="085E15EB" w14:textId="77777777">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107" w:rsidP="00117666" w:rsidRDefault="00816107" w14:paraId="1BECA0AE" w14:textId="77777777">
      <w:pPr>
        <w:spacing w:after="0"/>
      </w:pPr>
      <w:r>
        <w:separator/>
      </w:r>
    </w:p>
  </w:footnote>
  <w:footnote w:type="continuationSeparator" w:id="0">
    <w:p w:rsidR="00816107" w:rsidP="00117666" w:rsidRDefault="00816107" w14:paraId="38C43D06"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9151AA" w:rsidR="007D5574" w:rsidRDefault="00C52A7B" w14:paraId="2531EDBA" w14:textId="77777777">
    <w:pPr>
      <w:rPr>
        <w:rFonts w:cs="Times New Roman"/>
      </w:rPr>
    </w:pPr>
    <w:r w:rsidRPr="009151AA">
      <w:rPr>
        <w:rFonts w:cs="Times New Roman"/>
      </w:rPr>
      <w:ptab w:alignment="center" w:relativeTo="margin" w:leader="none"/>
    </w:r>
    <w:r w:rsidRPr="009151AA">
      <w:rPr>
        <w:rFonts w:cs="Times New Roman"/>
      </w:rPr>
      <w:ptab w:alignment="right" w:relativeTo="margin" w:leader="none"/>
    </w:r>
    <w:r w:rsidRPr="009151AA" w:rsidR="001549D3">
      <w:rPr>
        <w:rFonts w:cs="Times New Roman"/>
      </w:rPr>
      <w:t>Supplementary Material</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7D5574" w:rsidP="0093429D" w:rsidRDefault="0093429D" w14:paraId="25711A5B" w14:textId="77777777">
    <w:r w:rsidRPr="005A1D84">
      <w:rPr>
        <w:b/>
        <w:noProof/>
        <w:color w:val="A6A6A6" w:themeColor="background1" w:themeShade="A6"/>
      </w:rPr>
      <w:drawing>
        <wp:inline distT="0" distB="0" distL="0" distR="0" wp14:anchorId="7EAE9060" wp14:editId="09E5B960">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Pr="007E3148" w:rsidR="00C52A7B">
      <w:rPr>
        <w:b/>
      </w:rPr>
      <w:ptab w:alignment="center" w:relativeTo="margin" w:leader="none"/>
    </w:r>
    <w:r w:rsidR="00C52A7B">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ascii="Times New Roman" w:hAnsi="Times New Roman"/>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val="false"/>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D24"/>
    <w:rsid w:val="0001436A"/>
    <w:rsid w:val="000324BF"/>
    <w:rsid w:val="00034304"/>
    <w:rsid w:val="00035434"/>
    <w:rsid w:val="0004183B"/>
    <w:rsid w:val="00052A14"/>
    <w:rsid w:val="00060D23"/>
    <w:rsid w:val="00077D53"/>
    <w:rsid w:val="00091EC1"/>
    <w:rsid w:val="00105075"/>
    <w:rsid w:val="00105FD9"/>
    <w:rsid w:val="00117666"/>
    <w:rsid w:val="00150C8A"/>
    <w:rsid w:val="001549D3"/>
    <w:rsid w:val="00160065"/>
    <w:rsid w:val="00177D84"/>
    <w:rsid w:val="00183EDC"/>
    <w:rsid w:val="001F331A"/>
    <w:rsid w:val="00267D18"/>
    <w:rsid w:val="00276DFC"/>
    <w:rsid w:val="002868E2"/>
    <w:rsid w:val="002869C3"/>
    <w:rsid w:val="002936E4"/>
    <w:rsid w:val="002A4EDD"/>
    <w:rsid w:val="002B4A57"/>
    <w:rsid w:val="002C74CA"/>
    <w:rsid w:val="002E4410"/>
    <w:rsid w:val="003544FB"/>
    <w:rsid w:val="003554D1"/>
    <w:rsid w:val="003A40B3"/>
    <w:rsid w:val="003D2D47"/>
    <w:rsid w:val="003D2F2D"/>
    <w:rsid w:val="003E5312"/>
    <w:rsid w:val="00401590"/>
    <w:rsid w:val="00447801"/>
    <w:rsid w:val="00452E9C"/>
    <w:rsid w:val="00467121"/>
    <w:rsid w:val="004735C8"/>
    <w:rsid w:val="004961FF"/>
    <w:rsid w:val="00517A89"/>
    <w:rsid w:val="005250F2"/>
    <w:rsid w:val="00563801"/>
    <w:rsid w:val="00593EEA"/>
    <w:rsid w:val="005A5EEE"/>
    <w:rsid w:val="005B34E7"/>
    <w:rsid w:val="006375C7"/>
    <w:rsid w:val="00654E8F"/>
    <w:rsid w:val="00660D05"/>
    <w:rsid w:val="006820B1"/>
    <w:rsid w:val="006A14C3"/>
    <w:rsid w:val="006B7D14"/>
    <w:rsid w:val="00701727"/>
    <w:rsid w:val="0070566C"/>
    <w:rsid w:val="0071117D"/>
    <w:rsid w:val="00714C50"/>
    <w:rsid w:val="00725A7D"/>
    <w:rsid w:val="007501BE"/>
    <w:rsid w:val="00790BB3"/>
    <w:rsid w:val="007C206C"/>
    <w:rsid w:val="007D5574"/>
    <w:rsid w:val="00803D24"/>
    <w:rsid w:val="00816107"/>
    <w:rsid w:val="00816FE7"/>
    <w:rsid w:val="00817DD6"/>
    <w:rsid w:val="00885156"/>
    <w:rsid w:val="009151AA"/>
    <w:rsid w:val="0093429D"/>
    <w:rsid w:val="00943573"/>
    <w:rsid w:val="0096072A"/>
    <w:rsid w:val="00970F7D"/>
    <w:rsid w:val="00994A3D"/>
    <w:rsid w:val="0099799B"/>
    <w:rsid w:val="009C2B12"/>
    <w:rsid w:val="009C70F3"/>
    <w:rsid w:val="00A174D9"/>
    <w:rsid w:val="00A569CD"/>
    <w:rsid w:val="00AB5EE2"/>
    <w:rsid w:val="00AB6715"/>
    <w:rsid w:val="00AC0147"/>
    <w:rsid w:val="00B1671E"/>
    <w:rsid w:val="00B25EB8"/>
    <w:rsid w:val="00B354E1"/>
    <w:rsid w:val="00B37F4D"/>
    <w:rsid w:val="00B56F6E"/>
    <w:rsid w:val="00BF0D3E"/>
    <w:rsid w:val="00C52A7B"/>
    <w:rsid w:val="00C56BAF"/>
    <w:rsid w:val="00C679AA"/>
    <w:rsid w:val="00C75972"/>
    <w:rsid w:val="00CC0A3A"/>
    <w:rsid w:val="00CD066B"/>
    <w:rsid w:val="00CE4FEE"/>
    <w:rsid w:val="00D1209C"/>
    <w:rsid w:val="00DB59C3"/>
    <w:rsid w:val="00DC259A"/>
    <w:rsid w:val="00DD6DBE"/>
    <w:rsid w:val="00DE035D"/>
    <w:rsid w:val="00DE23E8"/>
    <w:rsid w:val="00DE4E7D"/>
    <w:rsid w:val="00E52377"/>
    <w:rsid w:val="00E64E17"/>
    <w:rsid w:val="00E866C9"/>
    <w:rsid w:val="00EA3D3C"/>
    <w:rsid w:val="00EB3311"/>
    <w:rsid w:val="00F46900"/>
    <w:rsid w:val="00F61D89"/>
    <w:rsid w:val="00F84EB2"/>
    <w:rsid w:val="00F855CF"/>
    <w:rsid w:val="00F95C73"/>
    <w:rsid w:val="01D32CAA"/>
    <w:rsid w:val="043598DE"/>
    <w:rsid w:val="089FF6BB"/>
    <w:rsid w:val="0FA23D9E"/>
    <w:rsid w:val="11061141"/>
    <w:rsid w:val="13CE5BA8"/>
    <w:rsid w:val="1B29F323"/>
    <w:rsid w:val="1B9E6197"/>
    <w:rsid w:val="1F473E50"/>
    <w:rsid w:val="20AA41F6"/>
    <w:rsid w:val="2507969B"/>
    <w:rsid w:val="2A3A64F9"/>
    <w:rsid w:val="31C79AFB"/>
    <w:rsid w:val="3583DD12"/>
    <w:rsid w:val="38212CFA"/>
    <w:rsid w:val="3CC719EA"/>
    <w:rsid w:val="3D27BCEF"/>
    <w:rsid w:val="3F83B431"/>
    <w:rsid w:val="42E648F0"/>
    <w:rsid w:val="434EC4F7"/>
    <w:rsid w:val="4E5CF943"/>
    <w:rsid w:val="50FBE032"/>
    <w:rsid w:val="587573B4"/>
    <w:rsid w:val="5E7461A0"/>
    <w:rsid w:val="66D6D806"/>
    <w:rsid w:val="68CBA292"/>
    <w:rsid w:val="6D06697B"/>
    <w:rsid w:val="70472710"/>
    <w:rsid w:val="70FA4F14"/>
    <w:rsid w:val="73827190"/>
    <w:rsid w:val="73B16A4D"/>
    <w:rsid w:val="762A1549"/>
    <w:rsid w:val="7C5372DA"/>
    <w:rsid w:val="7D8937DA"/>
    <w:rsid w:val="7EF6D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487BD"/>
  <w15:docId w15:val="{133E554D-C33E-435D-A5BC-605DF70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uiPriority="2" w:semiHidden="1" w:unhideWhenUsed="1" w:qFormat="1"/>
    <w:lsdException w:name="heading 3" w:uiPriority="2" w:semiHidden="1" w:unhideWhenUsed="1" w:qFormat="1"/>
    <w:lsdException w:name="heading 4" w:uiPriority="2" w:semiHidden="1" w:unhideWhenUsed="1" w:qFormat="1"/>
    <w:lsdException w:name="heading 5" w:uiPriority="2"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2"/>
    <w:rsid w:val="00AB6715"/>
    <w:rPr>
      <w:rFonts w:ascii="Times New Roman" w:hAnsi="Times New Roman" w:eastAsia="Cambria" w:cs="Times New Roman"/>
      <w:b/>
      <w:sz w:val="24"/>
      <w:szCs w:val="24"/>
    </w:rPr>
  </w:style>
  <w:style w:type="character" w:styleId="Heading2Char" w:customStyle="1">
    <w:name w:val="Heading 2 Char"/>
    <w:basedOn w:val="DefaultParagraphFont"/>
    <w:link w:val="Heading2"/>
    <w:uiPriority w:val="2"/>
    <w:rsid w:val="00AB6715"/>
    <w:rPr>
      <w:rFonts w:ascii="Times New Roman" w:hAnsi="Times New Roman" w:eastAsia="Cambria"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styleId="SubtitleChar" w:customStyle="1">
    <w:name w:val="Subtitle Char"/>
    <w:basedOn w:val="DefaultParagraphFont"/>
    <w:link w:val="Subtitle"/>
    <w:uiPriority w:val="99"/>
    <w:rsid w:val="00AB6715"/>
    <w:rPr>
      <w:rFonts w:ascii="Times New Roman" w:hAnsi="Times New Roman" w:cs="Times New Roman"/>
      <w:b/>
      <w:sz w:val="24"/>
      <w:szCs w:val="24"/>
    </w:rPr>
  </w:style>
  <w:style w:type="paragraph" w:styleId="AuthorList" w:customStyle="1">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styleId="CommentTextChar" w:customStyle="1">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styleId="CommentSubjectChar" w:customStyle="1">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styleId="EndnoteTextChar" w:customStyle="1">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styleId="FooterChar" w:customStyle="1">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styleId="FootnoteTextChar" w:customStyle="1">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styleId="HeaderChar" w:customStyle="1">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styleId="Headings" w:customStyle="1">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styleId="Heading3Char" w:customStyle="1">
    <w:name w:val="Heading 3 Char"/>
    <w:basedOn w:val="DefaultParagraphFont"/>
    <w:link w:val="Heading3"/>
    <w:uiPriority w:val="2"/>
    <w:rsid w:val="00AB6715"/>
    <w:rPr>
      <w:rFonts w:ascii="Times New Roman" w:hAnsi="Times New Roman" w:eastAsiaTheme="majorEastAsia" w:cstheme="majorBidi"/>
      <w:b/>
      <w:sz w:val="24"/>
      <w:szCs w:val="24"/>
    </w:rPr>
  </w:style>
  <w:style w:type="character" w:styleId="Heading4Char" w:customStyle="1">
    <w:name w:val="Heading 4 Char"/>
    <w:basedOn w:val="DefaultParagraphFont"/>
    <w:link w:val="Heading4"/>
    <w:uiPriority w:val="2"/>
    <w:rsid w:val="00AB6715"/>
    <w:rPr>
      <w:rFonts w:ascii="Times New Roman" w:hAnsi="Times New Roman" w:eastAsiaTheme="majorEastAsia" w:cstheme="majorBidi"/>
      <w:b/>
      <w:iCs/>
      <w:sz w:val="24"/>
      <w:szCs w:val="24"/>
    </w:rPr>
  </w:style>
  <w:style w:type="character" w:styleId="Heading5Char" w:customStyle="1">
    <w:name w:val="Heading 5 Char"/>
    <w:basedOn w:val="DefaultParagraphFont"/>
    <w:link w:val="Heading5"/>
    <w:uiPriority w:val="2"/>
    <w:rsid w:val="00AB6715"/>
    <w:rPr>
      <w:rFonts w:ascii="Times New Roman" w:hAnsi="Times New Roman" w:eastAsiaTheme="majorEastAsia"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styleId="TitleChar" w:customStyle="1">
    <w:name w:val="Title Char"/>
    <w:basedOn w:val="DefaultParagraphFont"/>
    <w:link w:val="Title"/>
    <w:rsid w:val="00AB6715"/>
    <w:rPr>
      <w:rFonts w:ascii="Times New Roman" w:hAnsi="Times New Roman" w:cs="Times New Roman"/>
      <w:b/>
      <w:sz w:val="32"/>
      <w:szCs w:val="32"/>
    </w:rPr>
  </w:style>
  <w:style w:type="paragraph" w:styleId="SupplementaryMaterial" w:customStyle="1">
    <w:name w:val="Supplementary Material"/>
    <w:basedOn w:val="Title"/>
    <w:next w:val="Title"/>
    <w:qFormat/>
    <w:rsid w:val="0001436A"/>
    <w:pPr>
      <w:spacing w:after="120"/>
    </w:pPr>
    <w:rPr>
      <w:i/>
    </w:rPr>
  </w:style>
  <w:style w:type="paragraph" w:styleId="Revision">
    <w:name w:val="Revision"/>
    <w:hidden/>
    <w:uiPriority w:val="99"/>
    <w:semiHidden/>
    <w:rsid w:val="00803D24"/>
    <w:pPr>
      <w:spacing w:after="0" w:line="240" w:lineRule="auto"/>
    </w:pPr>
    <w:rPr>
      <w:rFonts w:ascii="Times New Roman" w:hAnsi="Times New Roman"/>
      <w:sz w:val="24"/>
    </w:rPr>
  </w:style>
  <w:style w:type="paragraph" w:styleId="paragraph" w:customStyle="1">
    <w:name w:val="paragraph"/>
    <w:basedOn w:val="Normal"/>
    <w:rsid w:val="00D1209C"/>
    <w:pPr>
      <w:spacing w:before="100" w:beforeAutospacing="1" w:after="100" w:afterAutospacing="1"/>
    </w:pPr>
    <w:rPr>
      <w:rFonts w:eastAsia="Times New Roman" w:cs="Times New Roman"/>
      <w:szCs w:val="24"/>
    </w:rPr>
  </w:style>
  <w:style w:type="character" w:styleId="normaltextrun" w:customStyle="1">
    <w:name w:val="normaltextrun"/>
    <w:basedOn w:val="DefaultParagraphFont"/>
    <w:rsid w:val="00D1209C"/>
  </w:style>
  <w:style w:type="character" w:styleId="eop" w:customStyle="1">
    <w:name w:val="eop"/>
    <w:basedOn w:val="DefaultParagraphFont"/>
    <w:rsid w:val="00D12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179393789">
      <w:bodyDiv w:val="1"/>
      <w:marLeft w:val="0"/>
      <w:marRight w:val="0"/>
      <w:marTop w:val="0"/>
      <w:marBottom w:val="0"/>
      <w:divBdr>
        <w:top w:val="none" w:sz="0" w:space="0" w:color="auto"/>
        <w:left w:val="none" w:sz="0" w:space="0" w:color="auto"/>
        <w:bottom w:val="none" w:sz="0" w:space="0" w:color="auto"/>
        <w:right w:val="none" w:sz="0" w:space="0" w:color="auto"/>
      </w:divBdr>
      <w:divsChild>
        <w:div w:id="1825270876">
          <w:marLeft w:val="0"/>
          <w:marRight w:val="0"/>
          <w:marTop w:val="0"/>
          <w:marBottom w:val="0"/>
          <w:divBdr>
            <w:top w:val="none" w:sz="0" w:space="0" w:color="auto"/>
            <w:left w:val="none" w:sz="0" w:space="0" w:color="auto"/>
            <w:bottom w:val="none" w:sz="0" w:space="0" w:color="auto"/>
            <w:right w:val="none" w:sz="0" w:space="0" w:color="auto"/>
          </w:divBdr>
        </w:div>
        <w:div w:id="509369696">
          <w:marLeft w:val="0"/>
          <w:marRight w:val="0"/>
          <w:marTop w:val="0"/>
          <w:marBottom w:val="0"/>
          <w:divBdr>
            <w:top w:val="none" w:sz="0" w:space="0" w:color="auto"/>
            <w:left w:val="none" w:sz="0" w:space="0" w:color="auto"/>
            <w:bottom w:val="none" w:sz="0" w:space="0" w:color="auto"/>
            <w:right w:val="none" w:sz="0" w:space="0" w:color="auto"/>
          </w:divBdr>
        </w:div>
        <w:div w:id="1206723273">
          <w:marLeft w:val="0"/>
          <w:marRight w:val="0"/>
          <w:marTop w:val="0"/>
          <w:marBottom w:val="0"/>
          <w:divBdr>
            <w:top w:val="none" w:sz="0" w:space="0" w:color="auto"/>
            <w:left w:val="none" w:sz="0" w:space="0" w:color="auto"/>
            <w:bottom w:val="none" w:sz="0" w:space="0" w:color="auto"/>
            <w:right w:val="none" w:sz="0" w:space="0" w:color="auto"/>
          </w:divBdr>
        </w:div>
        <w:div w:id="230504359">
          <w:marLeft w:val="0"/>
          <w:marRight w:val="0"/>
          <w:marTop w:val="0"/>
          <w:marBottom w:val="0"/>
          <w:divBdr>
            <w:top w:val="none" w:sz="0" w:space="0" w:color="auto"/>
            <w:left w:val="none" w:sz="0" w:space="0" w:color="auto"/>
            <w:bottom w:val="none" w:sz="0" w:space="0" w:color="auto"/>
            <w:right w:val="none" w:sz="0" w:space="0" w:color="auto"/>
          </w:divBdr>
        </w:div>
        <w:div w:id="523053628">
          <w:marLeft w:val="0"/>
          <w:marRight w:val="0"/>
          <w:marTop w:val="0"/>
          <w:marBottom w:val="0"/>
          <w:divBdr>
            <w:top w:val="none" w:sz="0" w:space="0" w:color="auto"/>
            <w:left w:val="none" w:sz="0" w:space="0" w:color="auto"/>
            <w:bottom w:val="none" w:sz="0" w:space="0" w:color="auto"/>
            <w:right w:val="none" w:sz="0" w:space="0" w:color="auto"/>
          </w:divBdr>
        </w:div>
      </w:divsChild>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 w:id="1926718013">
      <w:bodyDiv w:val="1"/>
      <w:marLeft w:val="0"/>
      <w:marRight w:val="0"/>
      <w:marTop w:val="0"/>
      <w:marBottom w:val="0"/>
      <w:divBdr>
        <w:top w:val="none" w:sz="0" w:space="0" w:color="auto"/>
        <w:left w:val="none" w:sz="0" w:space="0" w:color="auto"/>
        <w:bottom w:val="none" w:sz="0" w:space="0" w:color="auto"/>
        <w:right w:val="none" w:sz="0" w:space="0" w:color="auto"/>
      </w:divBdr>
      <w:divsChild>
        <w:div w:id="387653360">
          <w:marLeft w:val="0"/>
          <w:marRight w:val="0"/>
          <w:marTop w:val="0"/>
          <w:marBottom w:val="0"/>
          <w:divBdr>
            <w:top w:val="none" w:sz="0" w:space="0" w:color="auto"/>
            <w:left w:val="none" w:sz="0" w:space="0" w:color="auto"/>
            <w:bottom w:val="none" w:sz="0" w:space="0" w:color="auto"/>
            <w:right w:val="none" w:sz="0" w:space="0" w:color="auto"/>
          </w:divBdr>
        </w:div>
        <w:div w:id="1821577578">
          <w:marLeft w:val="0"/>
          <w:marRight w:val="0"/>
          <w:marTop w:val="0"/>
          <w:marBottom w:val="0"/>
          <w:divBdr>
            <w:top w:val="none" w:sz="0" w:space="0" w:color="auto"/>
            <w:left w:val="none" w:sz="0" w:space="0" w:color="auto"/>
            <w:bottom w:val="none" w:sz="0" w:space="0" w:color="auto"/>
            <w:right w:val="none" w:sz="0" w:space="0" w:color="auto"/>
          </w:divBdr>
        </w:div>
        <w:div w:id="242377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1.jpe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rontiersin.org/guidelines/author-guidelines"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eccles\OneDrive%20-%20Frontiers%20Media%20SA\Documents\Latex%20work\Sep%202022_link%20upd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d03457c-e42a-4a58-bdc5-fe3797a6039f">
      <UserInfo>
        <DisplayName/>
        <AccountId xsi:nil="true"/>
        <AccountType/>
      </UserInfo>
    </SharedWithUsers>
    <lcf76f155ced4ddcb4097134ff3c332f xmlns="2dd31a26-d930-4193-8d91-49c0032dd3cb">
      <Terms xmlns="http://schemas.microsoft.com/office/infopath/2007/PartnerControls"/>
    </lcf76f155ced4ddcb4097134ff3c332f>
    <TaxCatchAll xmlns="fd03457c-e42a-4a58-bdc5-fe3797a6039f"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7B4051FCC5AD4BBF8F0D1678E82EF7" ma:contentTypeVersion="19" ma:contentTypeDescription="Ein neues Dokument erstellen." ma:contentTypeScope="" ma:versionID="3323a3663bcd944fc9e4b2e44aa9612e">
  <xsd:schema xmlns:xsd="http://www.w3.org/2001/XMLSchema" xmlns:xs="http://www.w3.org/2001/XMLSchema" xmlns:p="http://schemas.microsoft.com/office/2006/metadata/properties" xmlns:ns1="http://schemas.microsoft.com/sharepoint/v3" xmlns:ns2="2dd31a26-d930-4193-8d91-49c0032dd3cb" xmlns:ns3="fd03457c-e42a-4a58-bdc5-fe3797a6039f" targetNamespace="http://schemas.microsoft.com/office/2006/metadata/properties" ma:root="true" ma:fieldsID="560c04016f7787183775a18764d531fe" ns1:_="" ns2:_="" ns3:_="">
    <xsd:import namespace="http://schemas.microsoft.com/sharepoint/v3"/>
    <xsd:import namespace="2dd31a26-d930-4193-8d91-49c0032dd3cb"/>
    <xsd:import namespace="fd03457c-e42a-4a58-bdc5-fe3797a603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element ref="ns1:PublishingStartDate" minOccurs="0"/>
                <xsd:element ref="ns1:PublishingExpirationDat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4"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25"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dd31a26-d930-4193-8d91-49c0032dd3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375ea7b-1eef-4e91-915e-32e4cb5a9c3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03457c-e42a-4a58-bdc5-fe3797a6039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819a393-1d56-42fe-aff2-e8d7b3a2a944}" ma:internalName="TaxCatchAll" ma:showField="CatchAllData" ma:web="fd03457c-e42a-4a58-bdc5-fe3797a603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B2E0E22-D442-4EBE-AAA2-EDC8871E7B41}">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d03457c-e42a-4a58-bdc5-fe3797a6039f"/>
    <ds:schemaRef ds:uri="2dd31a26-d930-4193-8d91-49c0032dd3cb"/>
    <ds:schemaRef ds:uri="http://www.w3.org/XML/1998/namespace"/>
    <ds:schemaRef ds:uri="http://purl.org/dc/dcmitype/"/>
  </ds:schemaRefs>
</ds:datastoreItem>
</file>

<file path=customXml/itemProps2.xml><?xml version="1.0" encoding="utf-8"?>
<ds:datastoreItem xmlns:ds="http://schemas.openxmlformats.org/officeDocument/2006/customXml" ds:itemID="{A3D4929F-83D0-432F-8F82-6D4423C25F5E}">
  <ds:schemaRefs>
    <ds:schemaRef ds:uri="http://schemas.microsoft.com/sharepoint/v3/contenttype/forms"/>
  </ds:schemaRefs>
</ds:datastoreItem>
</file>

<file path=customXml/itemProps3.xml><?xml version="1.0" encoding="utf-8"?>
<ds:datastoreItem xmlns:ds="http://schemas.openxmlformats.org/officeDocument/2006/customXml" ds:itemID="{A02CCF7C-01C8-4B04-90F8-37082B27E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d31a26-d930-4193-8d91-49c0032dd3cb"/>
    <ds:schemaRef ds:uri="fd03457c-e42a-4a58-bdc5-fe3797a60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28A97-41C8-4BDC-BFDF-6F53989AC5F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Supplementary_Material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Frontiers</dc:creator>
  <lastModifiedBy>Ngokingha Tchouto, Mireille</lastModifiedBy>
  <revision>8</revision>
  <lastPrinted>2013-10-03T12:51:00.0000000Z</lastPrinted>
  <dcterms:created xsi:type="dcterms:W3CDTF">2024-12-23T12:42:00.0000000Z</dcterms:created>
  <dcterms:modified xsi:type="dcterms:W3CDTF">2025-02-03T12:46:22.5664124Z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0x010100D97B4051FCC5AD4BBF8F0D1678E82EF7</vt:lpwstr>
  </property>
  <property fmtid="{D5CDD505-2E9C-101B-9397-08002B2CF9AE}" pid="3" name="_dlc_DocIdItemGuid">
    <vt:lpwstr>f82bb101-9b00-462e-af01-9a0e7ec06274</vt:lpwstr>
  </property>
  <property fmtid="{D5CDD505-2E9C-101B-9397-08002B2CF9AE}" pid="4" name="Order">
    <vt:r8>1011900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