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media/image1.tif" ContentType="image/tiff"/>
  <Override PartName="/word/media/image4.wmf" ContentType="image/x-wmf"/>
  <Override PartName="/word/media/image2.wmf" ContentType="image/x-wmf"/>
  <Override PartName="/word/media/image3.wmf" ContentType="image/x-wmf"/>
  <Override PartName="/word/media/image5.wmf" ContentType="image/x-wmf"/>
  <Override PartName="/word/media/image6.wmf" ContentType="image/x-wmf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_rels/.rels" ContentType="application/vnd.openxmlformats-package.relationships+xml"/>
  <Override PartName="/customXml/_rels/item1.xml.rels" ContentType="application/vnd.openxmlformats-package.relationships+xml"/>
  <Override PartName="/customXml/item1.xml" ContentType="application/xml"/>
  <Override PartName="/customXml/itemProps1.xml" ContentType="application/vnd.openxmlformats-officedocument.customXml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spacing w:lineRule="auto" w:line="360"/>
        <w:jc w:val="both"/>
        <w:rPr>
          <w:rFonts w:ascii="Arial" w:hAnsi="Arial" w:eastAsia="Arial" w:cs="Arial"/>
          <w:b/>
          <w:b/>
          <w:color w:val="000000"/>
          <w:sz w:val="28"/>
          <w:szCs w:val="28"/>
        </w:rPr>
      </w:pPr>
      <w:r>
        <w:rPr>
          <w:rFonts w:eastAsia="Arial" w:cs="Arial" w:ascii="Arial" w:hAnsi="Arial"/>
          <w:b/>
          <w:color w:val="000000"/>
          <w:sz w:val="28"/>
          <w:szCs w:val="28"/>
        </w:rPr>
        <w:t>Mucosal washes are useful for sampling intestinal mucus-associated microbiota despite low biomass</w:t>
      </w:r>
    </w:p>
    <w:p>
      <w:pPr>
        <w:pStyle w:val="Normal"/>
        <w:spacing w:lineRule="auto" w:line="360"/>
        <w:jc w:val="both"/>
        <w:rPr>
          <w:rFonts w:ascii="Arial" w:hAnsi="Arial" w:eastAsia="Arial" w:cs="Arial"/>
          <w:b/>
          <w:b/>
          <w:color w:val="000000"/>
          <w:sz w:val="22"/>
          <w:szCs w:val="22"/>
        </w:rPr>
      </w:pPr>
      <w:r>
        <w:rPr>
          <w:rFonts w:eastAsia="Arial" w:cs="Arial" w:ascii="Arial" w:hAnsi="Arial"/>
          <w:b/>
          <w:color w:val="000000"/>
          <w:sz w:val="22"/>
          <w:szCs w:val="22"/>
        </w:rPr>
        <w:t xml:space="preserve"> </w:t>
      </w:r>
    </w:p>
    <w:p>
      <w:pPr>
        <w:pStyle w:val="Normal"/>
        <w:spacing w:lineRule="auto" w:line="360"/>
        <w:jc w:val="both"/>
        <w:rPr>
          <w:rFonts w:ascii="Arial" w:hAnsi="Arial" w:eastAsia="Arial" w:cs="Arial"/>
          <w:b/>
          <w:b/>
          <w:color w:val="000000"/>
          <w:sz w:val="22"/>
          <w:szCs w:val="22"/>
          <w:vertAlign w:val="superscript"/>
        </w:rPr>
      </w:pPr>
      <w:r>
        <w:rPr>
          <w:rFonts w:eastAsia="Arial" w:cs="Arial" w:ascii="Arial" w:hAnsi="Arial"/>
          <w:b/>
          <w:color w:val="000000"/>
          <w:sz w:val="22"/>
          <w:szCs w:val="22"/>
        </w:rPr>
        <w:t>Martinez-Medina, Jennifer N</w:t>
      </w:r>
      <w:r>
        <w:rPr>
          <w:rFonts w:eastAsia="Arial" w:cs="Arial" w:ascii="Arial" w:hAnsi="Arial"/>
          <w:b/>
          <w:color w:val="000000"/>
          <w:sz w:val="22"/>
          <w:szCs w:val="22"/>
          <w:vertAlign w:val="superscript"/>
        </w:rPr>
        <w:t>a,b,c</w:t>
      </w:r>
      <w:r>
        <w:rPr>
          <w:rFonts w:eastAsia="Arial" w:cs="Arial" w:ascii="Arial" w:hAnsi="Arial"/>
          <w:b/>
          <w:color w:val="000000"/>
          <w:sz w:val="22"/>
          <w:szCs w:val="22"/>
        </w:rPr>
        <w:t>,</w:t>
      </w:r>
      <w:r>
        <w:rPr>
          <w:rFonts w:eastAsia="Arial" w:cs="Arial" w:ascii="Arial" w:hAnsi="Arial"/>
          <w:b/>
          <w:color w:val="000000"/>
          <w:sz w:val="22"/>
          <w:szCs w:val="22"/>
          <w:vertAlign w:val="superscript"/>
        </w:rPr>
        <w:t xml:space="preserve"> </w:t>
      </w:r>
      <w:r>
        <w:rPr>
          <w:rFonts w:eastAsia="Arial" w:cs="Arial" w:ascii="Arial" w:hAnsi="Arial"/>
          <w:b/>
          <w:color w:val="000000"/>
          <w:sz w:val="22"/>
          <w:szCs w:val="22"/>
        </w:rPr>
        <w:t>Ghazisaeedi, Fereshteh</w:t>
      </w:r>
      <w:r>
        <w:rPr>
          <w:rFonts w:eastAsia="Arial" w:cs="Arial" w:ascii="Arial" w:hAnsi="Arial"/>
          <w:b/>
          <w:color w:val="000000"/>
          <w:sz w:val="22"/>
          <w:szCs w:val="22"/>
          <w:highlight w:val="white"/>
          <w:vertAlign w:val="superscript"/>
        </w:rPr>
        <w:t>d,e</w:t>
      </w:r>
      <w:r>
        <w:rPr>
          <w:rFonts w:eastAsia="Arial" w:cs="Arial" w:ascii="Arial" w:hAnsi="Arial"/>
          <w:b/>
          <w:color w:val="000000"/>
          <w:sz w:val="22"/>
          <w:szCs w:val="22"/>
        </w:rPr>
        <w:t>, Kramer, Catharina</w:t>
      </w:r>
      <w:r>
        <w:rPr>
          <w:rFonts w:eastAsia="Arial" w:cs="Arial" w:ascii="Arial" w:hAnsi="Arial"/>
          <w:b/>
          <w:color w:val="000000"/>
          <w:sz w:val="22"/>
          <w:szCs w:val="22"/>
          <w:vertAlign w:val="superscript"/>
        </w:rPr>
        <w:t>a,f</w:t>
      </w:r>
      <w:r>
        <w:rPr>
          <w:rFonts w:eastAsia="Arial" w:cs="Arial" w:ascii="Arial" w:hAnsi="Arial"/>
          <w:b/>
          <w:color w:val="000000"/>
          <w:sz w:val="22"/>
          <w:szCs w:val="22"/>
        </w:rPr>
        <w:t>, Ziegler, Jörn F</w:t>
      </w:r>
      <w:r>
        <w:rPr>
          <w:rFonts w:eastAsia="Arial" w:cs="Arial" w:ascii="Arial" w:hAnsi="Arial"/>
          <w:b/>
          <w:color w:val="000000"/>
          <w:sz w:val="22"/>
          <w:szCs w:val="22"/>
          <w:vertAlign w:val="superscript"/>
        </w:rPr>
        <w:t>a,f,g</w:t>
      </w:r>
      <w:r>
        <w:rPr>
          <w:rFonts w:eastAsia="Arial" w:cs="Arial" w:ascii="Arial" w:hAnsi="Arial"/>
          <w:b/>
          <w:color w:val="000000"/>
          <w:sz w:val="22"/>
          <w:szCs w:val="22"/>
        </w:rPr>
        <w:t>, McParland, Victoria</w:t>
      </w:r>
      <w:r>
        <w:rPr>
          <w:rFonts w:eastAsia="Arial" w:cs="Arial" w:ascii="Arial" w:hAnsi="Arial"/>
          <w:b/>
          <w:color w:val="000000"/>
          <w:sz w:val="22"/>
          <w:szCs w:val="22"/>
          <w:vertAlign w:val="superscript"/>
        </w:rPr>
        <w:t>a,b,c</w:t>
      </w:r>
      <w:r>
        <w:rPr>
          <w:rFonts w:eastAsia="Arial" w:cs="Arial" w:ascii="Arial" w:hAnsi="Arial"/>
          <w:b/>
          <w:color w:val="000000"/>
          <w:sz w:val="22"/>
          <w:szCs w:val="22"/>
        </w:rPr>
        <w:t xml:space="preserve">, Mönch, </w:t>
      </w:r>
      <w:r>
        <w:rPr>
          <w:rFonts w:cs="Arial" w:ascii="Arial" w:hAnsi="Arial"/>
          <w:b/>
          <w:bCs/>
          <w:color w:val="000000"/>
          <w:sz w:val="22"/>
          <w:szCs w:val="22"/>
        </w:rPr>
        <w:t>Paul W</w:t>
      </w:r>
      <w:r>
        <w:rPr>
          <w:rFonts w:eastAsia="Arial" w:cs="Arial" w:ascii="Arial" w:hAnsi="Arial"/>
          <w:b/>
          <w:color w:val="000000"/>
          <w:sz w:val="22"/>
          <w:szCs w:val="22"/>
          <w:vertAlign w:val="superscript"/>
        </w:rPr>
        <w:t>a,f</w:t>
      </w:r>
      <w:r>
        <w:rPr>
          <w:rFonts w:eastAsia="Arial" w:cs="Arial" w:ascii="Arial" w:hAnsi="Arial"/>
          <w:b/>
          <w:color w:val="000000"/>
          <w:sz w:val="22"/>
          <w:szCs w:val="22"/>
        </w:rPr>
        <w:t>, Siegmund, Britta</w:t>
      </w:r>
      <w:r>
        <w:rPr>
          <w:rFonts w:eastAsia="Arial" w:cs="Arial" w:ascii="Arial" w:hAnsi="Arial"/>
          <w:b/>
          <w:color w:val="000000"/>
          <w:sz w:val="22"/>
          <w:szCs w:val="22"/>
          <w:vertAlign w:val="superscript"/>
        </w:rPr>
        <w:t>a,f</w:t>
      </w:r>
      <w:r>
        <w:rPr>
          <w:rFonts w:eastAsia="Arial" w:cs="Arial" w:ascii="Arial" w:hAnsi="Arial"/>
          <w:b/>
          <w:color w:val="000000"/>
          <w:sz w:val="22"/>
          <w:szCs w:val="22"/>
        </w:rPr>
        <w:t xml:space="preserve">, </w:t>
      </w:r>
      <w:r>
        <w:rPr>
          <w:rFonts w:eastAsia="Arial" w:cs="Arial" w:ascii="Arial" w:hAnsi="Arial"/>
          <w:b/>
          <w:color w:val="000000"/>
          <w:sz w:val="22"/>
          <w:szCs w:val="22"/>
          <w:highlight w:val="white"/>
        </w:rPr>
        <w:t>Jarquín-Díaz, Víctor Hugo</w:t>
      </w:r>
      <w:r>
        <w:rPr>
          <w:rFonts w:eastAsia="Arial" w:cs="Arial" w:ascii="Arial" w:hAnsi="Arial"/>
          <w:b/>
          <w:color w:val="000000"/>
          <w:sz w:val="22"/>
          <w:szCs w:val="22"/>
          <w:vertAlign w:val="superscript"/>
        </w:rPr>
        <w:t>a,b,c*#</w:t>
      </w:r>
      <w:r>
        <w:rPr>
          <w:rFonts w:eastAsia="Arial" w:cs="Arial" w:ascii="Arial" w:hAnsi="Arial"/>
          <w:b/>
          <w:color w:val="000000"/>
          <w:sz w:val="22"/>
          <w:szCs w:val="22"/>
        </w:rPr>
        <w:t>,</w:t>
      </w:r>
      <w:r>
        <w:rPr>
          <w:rFonts w:eastAsia="Arial" w:cs="Arial" w:ascii="Arial" w:hAnsi="Arial"/>
          <w:b/>
          <w:color w:val="000000"/>
          <w:sz w:val="22"/>
          <w:szCs w:val="22"/>
          <w:vertAlign w:val="superscript"/>
        </w:rPr>
        <w:t xml:space="preserve"> </w:t>
      </w:r>
      <w:r>
        <w:rPr>
          <w:rFonts w:eastAsia="Arial" w:cs="Arial" w:ascii="Arial" w:hAnsi="Arial"/>
          <w:b/>
          <w:color w:val="000000"/>
          <w:sz w:val="22"/>
          <w:szCs w:val="22"/>
        </w:rPr>
        <w:t>Fulde, Marcus</w:t>
      </w:r>
      <w:r>
        <w:rPr>
          <w:rFonts w:eastAsia="Arial" w:cs="Arial" w:ascii="Arial" w:hAnsi="Arial"/>
          <w:b/>
          <w:color w:val="000000"/>
          <w:sz w:val="22"/>
          <w:szCs w:val="22"/>
          <w:highlight w:val="white"/>
          <w:vertAlign w:val="superscript"/>
        </w:rPr>
        <w:t>d,e*</w:t>
      </w:r>
      <w:r>
        <w:rPr>
          <w:rFonts w:eastAsia="Arial" w:cs="Arial" w:ascii="Arial" w:hAnsi="Arial"/>
          <w:b/>
          <w:color w:val="000000"/>
          <w:sz w:val="22"/>
          <w:szCs w:val="22"/>
        </w:rPr>
        <w:t>, Forslund-Startceva, Sofia K</w:t>
      </w:r>
      <w:r>
        <w:rPr>
          <w:rFonts w:eastAsia="Arial" w:cs="Arial" w:ascii="Arial" w:hAnsi="Arial"/>
          <w:b/>
          <w:color w:val="000000"/>
          <w:sz w:val="22"/>
          <w:szCs w:val="22"/>
          <w:vertAlign w:val="superscript"/>
        </w:rPr>
        <w:t>a,b,c,g,h,i*</w:t>
      </w:r>
      <w:r>
        <w:rPr>
          <w:rFonts w:eastAsia="Arial" w:cs="Arial" w:ascii="Arial" w:hAnsi="Arial"/>
          <w:b/>
          <w:color w:val="000000"/>
          <w:sz w:val="22"/>
          <w:szCs w:val="22"/>
          <w:highlight w:val="white"/>
        </w:rPr>
        <w:t xml:space="preserve"> </w:t>
      </w:r>
    </w:p>
    <w:p>
      <w:pPr>
        <w:pStyle w:val="Normal"/>
        <w:shd w:val="clear" w:color="auto" w:fill="FFFFFF"/>
        <w:spacing w:lineRule="auto" w:line="360"/>
        <w:jc w:val="both"/>
        <w:rPr>
          <w:rFonts w:ascii="Arial" w:hAnsi="Arial" w:eastAsia="Arial" w:cs="Arial"/>
          <w:b/>
          <w:b/>
          <w:color w:val="000000"/>
          <w:sz w:val="20"/>
          <w:szCs w:val="20"/>
          <w:vertAlign w:val="superscript"/>
        </w:rPr>
      </w:pPr>
      <w:r>
        <w:rPr>
          <w:rFonts w:eastAsia="Arial" w:cs="Arial" w:ascii="Arial" w:hAnsi="Arial"/>
          <w:b/>
          <w:color w:val="000000"/>
          <w:sz w:val="20"/>
          <w:szCs w:val="20"/>
          <w:vertAlign w:val="superscript"/>
        </w:rPr>
      </w:r>
    </w:p>
    <w:p>
      <w:pPr>
        <w:pStyle w:val="Normal"/>
        <w:spacing w:lineRule="auto" w:line="480"/>
        <w:rPr>
          <w:rFonts w:ascii="Arial" w:hAnsi="Arial" w:eastAsia="Arial" w:cs="Arial"/>
          <w:sz w:val="20"/>
          <w:szCs w:val="20"/>
          <w:lang w:val="de-DE"/>
        </w:rPr>
      </w:pPr>
      <w:r>
        <w:rPr>
          <w:rFonts w:eastAsia="Arial" w:cs="Arial" w:ascii="Arial" w:hAnsi="Arial"/>
          <w:color w:val="000000"/>
          <w:sz w:val="20"/>
          <w:szCs w:val="20"/>
          <w:vertAlign w:val="superscript"/>
          <w:lang w:val="de-DE"/>
        </w:rPr>
        <w:t>a</w:t>
      </w:r>
      <w:r>
        <w:rPr>
          <w:rFonts w:eastAsia="Arial" w:cs="Arial" w:ascii="Arial" w:hAnsi="Arial"/>
          <w:sz w:val="20"/>
          <w:szCs w:val="20"/>
          <w:lang w:val="de-DE"/>
        </w:rPr>
        <w:t>Charité – Universitätsmedizin Berlin, corporate member of Freie Universität Berlin and Humboldt-Universität zu Berlin</w:t>
      </w:r>
      <w:r>
        <w:rPr>
          <w:rFonts w:eastAsia="Arial" w:cs="Arial" w:ascii="Arial" w:hAnsi="Arial"/>
          <w:color w:val="000000"/>
          <w:sz w:val="20"/>
          <w:szCs w:val="20"/>
          <w:lang w:val="de-DE"/>
        </w:rPr>
        <w:t>.</w:t>
      </w:r>
    </w:p>
    <w:p>
      <w:pPr>
        <w:pStyle w:val="Normal"/>
        <w:shd w:val="clear" w:color="auto" w:fill="FFFFFF"/>
        <w:spacing w:lineRule="auto" w:line="480"/>
        <w:jc w:val="both"/>
        <w:rPr>
          <w:rFonts w:ascii="Arial" w:hAnsi="Arial" w:eastAsia="Arial" w:cs="Arial"/>
          <w:color w:val="000000"/>
          <w:sz w:val="20"/>
          <w:szCs w:val="20"/>
        </w:rPr>
      </w:pPr>
      <w:r>
        <w:rPr>
          <w:rFonts w:eastAsia="Arial" w:cs="Arial" w:ascii="Arial" w:hAnsi="Arial"/>
          <w:color w:val="000000"/>
          <w:sz w:val="20"/>
          <w:szCs w:val="20"/>
          <w:vertAlign w:val="superscript"/>
        </w:rPr>
        <w:t>b</w:t>
      </w:r>
      <w:r>
        <w:rPr>
          <w:rFonts w:eastAsia="Arial" w:cs="Arial" w:ascii="Arial" w:hAnsi="Arial"/>
          <w:color w:val="000000"/>
          <w:sz w:val="20"/>
          <w:szCs w:val="20"/>
        </w:rPr>
        <w:t>Max Delbrück Center for Molecular Medicine (MDC), Berlin, Germany.</w:t>
      </w:r>
    </w:p>
    <w:p>
      <w:pPr>
        <w:pStyle w:val="Normal"/>
        <w:shd w:val="clear" w:color="auto" w:fill="FFFFFF"/>
        <w:spacing w:lineRule="auto" w:line="480"/>
        <w:jc w:val="both"/>
        <w:rPr>
          <w:rFonts w:ascii="Arial" w:hAnsi="Arial" w:eastAsia="Arial" w:cs="Arial"/>
          <w:color w:val="000000"/>
          <w:sz w:val="20"/>
          <w:szCs w:val="20"/>
        </w:rPr>
      </w:pPr>
      <w:r>
        <w:rPr>
          <w:rFonts w:eastAsia="Arial" w:cs="Arial" w:ascii="Arial" w:hAnsi="Arial"/>
          <w:color w:val="000000"/>
          <w:sz w:val="20"/>
          <w:szCs w:val="20"/>
          <w:vertAlign w:val="superscript"/>
        </w:rPr>
        <w:t>c</w:t>
      </w:r>
      <w:r>
        <w:rPr>
          <w:rFonts w:eastAsia="Arial" w:cs="Arial" w:ascii="Arial" w:hAnsi="Arial"/>
          <w:color w:val="000000"/>
          <w:sz w:val="20"/>
          <w:szCs w:val="20"/>
        </w:rPr>
        <w:t>Experimental and Clinical Research Center, a Cooperation of Charité-Universitätsmedizin and the Max-Delbrück Center, Berlin, Germany.</w:t>
      </w:r>
    </w:p>
    <w:p>
      <w:pPr>
        <w:pStyle w:val="Normal"/>
        <w:shd w:val="clear" w:color="auto" w:fill="FFFFFF"/>
        <w:spacing w:lineRule="auto" w:line="480"/>
        <w:jc w:val="both"/>
        <w:rPr>
          <w:rFonts w:ascii="Arial" w:hAnsi="Arial" w:eastAsia="Arial" w:cs="Arial"/>
          <w:color w:val="000000"/>
          <w:sz w:val="20"/>
          <w:szCs w:val="20"/>
        </w:rPr>
      </w:pPr>
      <w:r>
        <w:rPr>
          <w:rFonts w:eastAsia="Arial" w:cs="Arial" w:ascii="Arial" w:hAnsi="Arial"/>
          <w:color w:val="000000"/>
          <w:sz w:val="20"/>
          <w:szCs w:val="20"/>
          <w:vertAlign w:val="superscript"/>
        </w:rPr>
        <w:t>d</w:t>
      </w:r>
      <w:r>
        <w:rPr>
          <w:rFonts w:eastAsia="Arial" w:cs="Arial" w:ascii="Arial" w:hAnsi="Arial"/>
          <w:color w:val="000000"/>
          <w:sz w:val="20"/>
          <w:szCs w:val="20"/>
        </w:rPr>
        <w:t>Institute of Microbiology and Epizootics, School of Veterinary Medicine at the Freie Universität Berlin, Robert-von-Ostertag-Str. 7, 14163 Berlin, Germany.</w:t>
      </w:r>
    </w:p>
    <w:p>
      <w:pPr>
        <w:pStyle w:val="Normal"/>
        <w:shd w:val="clear" w:color="auto" w:fill="FFFFFF"/>
        <w:spacing w:lineRule="auto" w:line="480"/>
        <w:jc w:val="both"/>
        <w:rPr>
          <w:rFonts w:ascii="Arial" w:hAnsi="Arial" w:eastAsia="Arial" w:cs="Arial"/>
          <w:color w:val="000000"/>
          <w:sz w:val="20"/>
          <w:szCs w:val="20"/>
        </w:rPr>
      </w:pPr>
      <w:r>
        <w:rPr>
          <w:rFonts w:eastAsia="Arial" w:cs="Arial" w:ascii="Arial" w:hAnsi="Arial"/>
          <w:color w:val="000000"/>
          <w:sz w:val="20"/>
          <w:szCs w:val="20"/>
          <w:vertAlign w:val="superscript"/>
        </w:rPr>
        <w:t>e</w:t>
      </w:r>
      <w:r>
        <w:rPr>
          <w:rFonts w:eastAsia="Arial" w:cs="Arial" w:ascii="Arial" w:hAnsi="Arial"/>
          <w:color w:val="212121"/>
          <w:sz w:val="20"/>
          <w:szCs w:val="20"/>
          <w:highlight w:val="white"/>
        </w:rPr>
        <w:t>Veterinary Centre for Resistance Research (TZR), School of Veterinary Medicine at the Freie Universität Berlin, Robert-von-Ostertag</w:t>
      </w:r>
      <w:r>
        <w:rPr>
          <w:rFonts w:eastAsia="Arial" w:cs="Arial" w:ascii="Arial" w:hAnsi="Arial"/>
          <w:color w:val="000000"/>
          <w:sz w:val="20"/>
          <w:szCs w:val="20"/>
        </w:rPr>
        <w:t>-Str.</w:t>
      </w:r>
      <w:r>
        <w:rPr>
          <w:rFonts w:eastAsia="Arial" w:cs="Arial" w:ascii="Arial" w:hAnsi="Arial"/>
          <w:color w:val="212121"/>
          <w:sz w:val="20"/>
          <w:szCs w:val="20"/>
          <w:highlight w:val="white"/>
        </w:rPr>
        <w:t xml:space="preserve"> 8, 14163 Berlin, Germany.</w:t>
      </w:r>
    </w:p>
    <w:p>
      <w:pPr>
        <w:pStyle w:val="Normal"/>
        <w:shd w:val="clear" w:color="auto" w:fill="FFFFFF"/>
        <w:spacing w:lineRule="auto" w:line="480"/>
        <w:jc w:val="both"/>
        <w:rPr>
          <w:rFonts w:ascii="Arial" w:hAnsi="Arial" w:eastAsia="Arial" w:cs="Arial"/>
          <w:color w:val="212121"/>
          <w:sz w:val="20"/>
          <w:szCs w:val="20"/>
        </w:rPr>
      </w:pPr>
      <w:r>
        <w:rPr>
          <w:rFonts w:eastAsia="Arial" w:cs="Arial" w:ascii="Arial" w:hAnsi="Arial"/>
          <w:color w:val="000000"/>
          <w:sz w:val="20"/>
          <w:szCs w:val="20"/>
          <w:vertAlign w:val="superscript"/>
        </w:rPr>
        <w:t>f</w:t>
      </w:r>
      <w:r>
        <w:rPr>
          <w:rFonts w:eastAsia="Arial" w:cs="Arial" w:ascii="Arial" w:hAnsi="Arial"/>
          <w:sz w:val="20"/>
          <w:szCs w:val="20"/>
        </w:rPr>
        <w:t xml:space="preserve">Department of Gastroenterology, Infectious Diseases and </w:t>
      </w:r>
      <w:r>
        <w:rPr>
          <w:rFonts w:eastAsia="Arial" w:cs="Arial" w:ascii="Arial" w:hAnsi="Arial"/>
          <w:color w:val="000000"/>
          <w:sz w:val="20"/>
          <w:szCs w:val="20"/>
        </w:rPr>
        <w:t>Rheumatology, 12203 Berlin, Germany</w:t>
      </w:r>
      <w:r>
        <w:rPr>
          <w:rFonts w:eastAsia="Arial" w:cs="Arial" w:ascii="Arial" w:hAnsi="Arial"/>
          <w:color w:val="212121"/>
          <w:sz w:val="20"/>
          <w:szCs w:val="20"/>
        </w:rPr>
        <w:t xml:space="preserve">. </w:t>
      </w:r>
    </w:p>
    <w:p>
      <w:pPr>
        <w:pStyle w:val="Normal"/>
        <w:shd w:val="clear" w:color="auto" w:fill="FFFFFF"/>
        <w:spacing w:lineRule="auto" w:line="480"/>
        <w:jc w:val="both"/>
        <w:rPr>
          <w:rFonts w:ascii="Arial" w:hAnsi="Arial" w:eastAsia="Arial" w:cs="Arial"/>
          <w:color w:val="212121"/>
          <w:sz w:val="20"/>
          <w:szCs w:val="20"/>
        </w:rPr>
      </w:pPr>
      <w:r>
        <w:rPr>
          <w:rFonts w:eastAsia="Arial" w:cs="Arial" w:ascii="Arial" w:hAnsi="Arial"/>
          <w:color w:val="212121"/>
          <w:sz w:val="20"/>
          <w:szCs w:val="20"/>
          <w:vertAlign w:val="superscript"/>
        </w:rPr>
        <w:t>g</w:t>
      </w:r>
      <w:r>
        <w:rPr>
          <w:rFonts w:eastAsia="Arial" w:cs="Arial" w:ascii="Arial" w:hAnsi="Arial"/>
          <w:color w:val="212121"/>
          <w:sz w:val="20"/>
          <w:szCs w:val="20"/>
        </w:rPr>
        <w:t>Berlin Institute of Health at Charité – Universitätsmedizin Berlin, BIH Biomedical Innovation Academy, BIH Charité Junior Clinician Scientist Program, Charitéplatz 1, 10117 Berlin, Germany.</w:t>
      </w:r>
    </w:p>
    <w:p>
      <w:pPr>
        <w:pStyle w:val="Normal"/>
        <w:shd w:val="clear" w:color="auto" w:fill="FFFFFF"/>
        <w:spacing w:lineRule="auto" w:line="480"/>
        <w:jc w:val="both"/>
        <w:rPr>
          <w:rFonts w:ascii="Arial" w:hAnsi="Arial" w:eastAsia="Arial" w:cs="Arial"/>
          <w:color w:val="000000"/>
          <w:sz w:val="20"/>
          <w:szCs w:val="20"/>
        </w:rPr>
      </w:pPr>
      <w:r>
        <w:rPr>
          <w:rFonts w:eastAsia="Arial" w:cs="Arial" w:ascii="Arial" w:hAnsi="Arial"/>
          <w:color w:val="000000"/>
          <w:sz w:val="20"/>
          <w:szCs w:val="20"/>
          <w:vertAlign w:val="superscript"/>
        </w:rPr>
        <w:t>h</w:t>
      </w:r>
      <w:r>
        <w:rPr>
          <w:rFonts w:eastAsia="Arial" w:cs="Arial" w:ascii="Arial" w:hAnsi="Arial"/>
          <w:color w:val="000000"/>
          <w:sz w:val="20"/>
          <w:szCs w:val="20"/>
        </w:rPr>
        <w:t>DZHK (German Centre for Cardiovascular Research), Partner Site Berlin, Germany.</w:t>
      </w:r>
    </w:p>
    <w:p>
      <w:pPr>
        <w:pStyle w:val="Normal"/>
        <w:shd w:val="clear" w:color="auto" w:fill="FFFFFF"/>
        <w:spacing w:lineRule="auto" w:line="480"/>
        <w:jc w:val="both"/>
        <w:rPr>
          <w:rFonts w:ascii="Arial" w:hAnsi="Arial" w:eastAsia="Arial" w:cs="Arial"/>
          <w:color w:val="000000"/>
          <w:sz w:val="20"/>
          <w:szCs w:val="20"/>
        </w:rPr>
      </w:pPr>
      <w:r>
        <w:rPr>
          <w:rFonts w:eastAsia="Arial" w:cs="Arial" w:ascii="Arial" w:hAnsi="Arial"/>
          <w:color w:val="000000"/>
          <w:sz w:val="20"/>
          <w:szCs w:val="20"/>
          <w:vertAlign w:val="superscript"/>
        </w:rPr>
        <w:t>i</w:t>
      </w:r>
      <w:r>
        <w:rPr>
          <w:rFonts w:eastAsia="Arial" w:cs="Arial" w:ascii="Arial" w:hAnsi="Arial"/>
          <w:color w:val="000000"/>
          <w:sz w:val="20"/>
          <w:szCs w:val="20"/>
        </w:rPr>
        <w:t>Structural and Computational Biology, European Molecular Biology Laboratory, Heidelberg, Germany.</w:t>
      </w:r>
    </w:p>
    <w:p>
      <w:pPr>
        <w:pStyle w:val="Normal"/>
        <w:shd w:val="clear" w:color="auto" w:fill="FFFFFF"/>
        <w:spacing w:lineRule="auto" w:line="480"/>
        <w:jc w:val="both"/>
        <w:rPr>
          <w:rFonts w:ascii="Arial" w:hAnsi="Arial" w:eastAsia="Arial" w:cs="Arial"/>
          <w:color w:val="000000"/>
          <w:sz w:val="20"/>
          <w:szCs w:val="20"/>
        </w:rPr>
      </w:pPr>
      <w:r>
        <w:rPr>
          <w:rFonts w:eastAsia="Arial" w:cs="Arial" w:ascii="Arial" w:hAnsi="Arial"/>
          <w:color w:val="000000"/>
          <w:sz w:val="20"/>
          <w:szCs w:val="20"/>
        </w:rPr>
        <w:t>*</w:t>
      </w:r>
      <w:bookmarkStart w:id="0" w:name="bookmark=id.gjdgxs"/>
      <w:bookmarkEnd w:id="0"/>
      <w:r>
        <w:rPr>
          <w:rFonts w:eastAsia="Arial" w:cs="Arial" w:ascii="Arial" w:hAnsi="Arial"/>
          <w:color w:val="000000"/>
          <w:sz w:val="20"/>
          <w:szCs w:val="20"/>
        </w:rPr>
        <w:t xml:space="preserve">These authors shared the supervision of the project. </w:t>
      </w:r>
    </w:p>
    <w:p>
      <w:pPr>
        <w:pStyle w:val="Normal"/>
        <w:spacing w:lineRule="auto" w:line="480"/>
        <w:jc w:val="both"/>
        <w:rPr>
          <w:rFonts w:ascii="Arial" w:hAnsi="Arial" w:eastAsia="Arial" w:cs="Arial"/>
          <w:b/>
          <w:b/>
          <w:color w:val="000000"/>
          <w:sz w:val="20"/>
          <w:szCs w:val="20"/>
        </w:rPr>
      </w:pPr>
      <w:r>
        <w:rPr>
          <w:rFonts w:eastAsia="Arial" w:cs="Arial" w:ascii="Arial" w:hAnsi="Arial"/>
          <w:b/>
          <w:color w:val="000000"/>
          <w:sz w:val="20"/>
          <w:szCs w:val="20"/>
        </w:rPr>
        <w:t>Corresponding author:</w:t>
      </w:r>
    </w:p>
    <w:p>
      <w:pPr>
        <w:pStyle w:val="Normal"/>
        <w:spacing w:lineRule="auto" w:line="480"/>
        <w:jc w:val="both"/>
        <w:rPr>
          <w:rFonts w:ascii="Arial" w:hAnsi="Arial" w:eastAsia="Arial" w:cs="Arial"/>
          <w:b/>
          <w:b/>
          <w:color w:val="000000"/>
          <w:sz w:val="20"/>
          <w:szCs w:val="20"/>
        </w:rPr>
      </w:pPr>
      <w:r>
        <w:rPr>
          <w:rFonts w:eastAsia="Arial" w:cs="Arial" w:ascii="Arial" w:hAnsi="Arial"/>
          <w:b/>
          <w:color w:val="000000"/>
          <w:sz w:val="20"/>
          <w:szCs w:val="20"/>
        </w:rPr>
        <w:t>#</w:t>
      </w:r>
      <w:r>
        <w:rPr>
          <w:rFonts w:eastAsia="Arial" w:cs="Arial" w:ascii="Arial" w:hAnsi="Arial"/>
          <w:b/>
          <w:color w:val="000000"/>
          <w:sz w:val="20"/>
          <w:szCs w:val="20"/>
          <w:highlight w:val="white"/>
        </w:rPr>
        <w:t xml:space="preserve">Víctor Hugo Jarquín-Díaz </w:t>
      </w:r>
      <w:r>
        <w:rPr>
          <w:rFonts w:eastAsia="Arial" w:cs="Arial" w:ascii="Arial" w:hAnsi="Arial"/>
          <w:color w:val="000000"/>
          <w:sz w:val="20"/>
          <w:szCs w:val="20"/>
          <w:highlight w:val="white"/>
        </w:rPr>
        <w:t>(</w:t>
      </w:r>
      <w:hyperlink r:id="rId2">
        <w:r>
          <w:rPr>
            <w:rFonts w:eastAsia="Arial" w:cs="Arial" w:ascii="Arial" w:hAnsi="Arial"/>
            <w:color w:val="1155CC"/>
            <w:sz w:val="20"/>
            <w:szCs w:val="20"/>
            <w:highlight w:val="white"/>
            <w:u w:val="single"/>
          </w:rPr>
          <w:t>VictorHugo-DiazJarquin@mdc-berlin.de</w:t>
        </w:r>
      </w:hyperlink>
      <w:r>
        <w:rPr>
          <w:rFonts w:eastAsia="Arial" w:cs="Arial" w:ascii="Arial" w:hAnsi="Arial"/>
          <w:color w:val="000000"/>
          <w:sz w:val="20"/>
          <w:szCs w:val="20"/>
          <w:highlight w:val="white"/>
        </w:rPr>
        <w:t xml:space="preserve">) </w:t>
      </w:r>
    </w:p>
    <w:p>
      <w:pPr>
        <w:pStyle w:val="Normal"/>
        <w:spacing w:lineRule="auto" w:line="480"/>
        <w:jc w:val="both"/>
        <w:rPr>
          <w:rFonts w:ascii="Arial" w:hAnsi="Arial" w:eastAsia="Arial" w:cs="Arial"/>
          <w:b/>
          <w:b/>
          <w:color w:val="000000"/>
          <w:sz w:val="20"/>
          <w:szCs w:val="20"/>
        </w:rPr>
      </w:pPr>
      <w:r>
        <w:rPr>
          <w:rFonts w:eastAsia="Arial" w:cs="Arial" w:ascii="Arial" w:hAnsi="Arial"/>
          <w:b/>
          <w:color w:val="000000"/>
          <w:sz w:val="20"/>
          <w:szCs w:val="20"/>
        </w:rPr>
        <w:t xml:space="preserve"> </w:t>
      </w:r>
      <w:r>
        <w:rPr>
          <w:rFonts w:eastAsia="Arial" w:cs="Arial" w:ascii="Arial" w:hAnsi="Arial"/>
          <w:b/>
          <w:color w:val="000000"/>
          <w:sz w:val="20"/>
          <w:szCs w:val="20"/>
        </w:rPr>
        <w:t xml:space="preserve">Affiliations: </w:t>
      </w:r>
    </w:p>
    <w:p>
      <w:pPr>
        <w:pStyle w:val="Normal"/>
        <w:numPr>
          <w:ilvl w:val="0"/>
          <w:numId w:val="1"/>
        </w:numPr>
        <w:shd w:val="clear" w:color="auto" w:fill="FFFFFF"/>
        <w:spacing w:lineRule="auto" w:line="480"/>
        <w:jc w:val="both"/>
        <w:rPr>
          <w:rFonts w:ascii="Arial" w:hAnsi="Arial" w:eastAsia="Arial" w:cs="Arial"/>
          <w:b/>
          <w:b/>
          <w:color w:val="000000"/>
          <w:sz w:val="20"/>
          <w:szCs w:val="20"/>
        </w:rPr>
      </w:pPr>
      <w:r>
        <w:rPr>
          <w:rFonts w:eastAsia="Arial" w:cs="Arial" w:ascii="Arial" w:hAnsi="Arial"/>
          <w:color w:val="000000"/>
          <w:sz w:val="20"/>
          <w:szCs w:val="20"/>
        </w:rPr>
        <w:t>Max Delbrück Center for Molecular Medicine (MDC), Berlin, Germany.</w:t>
      </w:r>
    </w:p>
    <w:p>
      <w:pPr>
        <w:pStyle w:val="Normal"/>
        <w:numPr>
          <w:ilvl w:val="0"/>
          <w:numId w:val="1"/>
        </w:numPr>
        <w:shd w:val="clear" w:color="auto" w:fill="FFFFFF"/>
        <w:spacing w:lineRule="auto" w:line="480"/>
        <w:jc w:val="both"/>
        <w:rPr>
          <w:rFonts w:ascii="Arial" w:hAnsi="Arial" w:eastAsia="Arial" w:cs="Arial"/>
          <w:b/>
          <w:b/>
          <w:color w:val="000000"/>
          <w:sz w:val="20"/>
          <w:szCs w:val="20"/>
        </w:rPr>
      </w:pPr>
      <w:r>
        <w:rPr>
          <w:rFonts w:eastAsia="Arial" w:cs="Arial" w:ascii="Arial" w:hAnsi="Arial"/>
          <w:color w:val="000000"/>
          <w:sz w:val="20"/>
          <w:szCs w:val="20"/>
        </w:rPr>
        <w:t>Experimental and Clinical Research Center, a Cooperation of Charité-Universitätsmedizin and the Max-Delbrück Center, Berlin, Germany.</w:t>
      </w:r>
    </w:p>
    <w:p>
      <w:pPr>
        <w:pStyle w:val="Normal"/>
        <w:spacing w:lineRule="auto" w:line="480"/>
        <w:jc w:val="both"/>
        <w:rPr>
          <w:rFonts w:ascii="Arial" w:hAnsi="Arial" w:eastAsia="Arial" w:cs="Arial"/>
          <w:color w:val="000000"/>
          <w:sz w:val="20"/>
          <w:szCs w:val="20"/>
        </w:rPr>
      </w:pPr>
      <w:r>
        <w:rPr>
          <w:rFonts w:eastAsia="Arial" w:cs="Arial" w:ascii="Arial" w:hAnsi="Arial"/>
          <w:color w:val="000000"/>
          <w:sz w:val="20"/>
          <w:szCs w:val="20"/>
        </w:rPr>
      </w:r>
    </w:p>
    <w:p>
      <w:pPr>
        <w:sectPr>
          <w:type w:val="nextPage"/>
          <w:pgSz w:w="11906" w:h="16838"/>
          <w:pgMar w:left="1440" w:right="1440" w:header="0" w:top="1440" w:footer="0" w:bottom="1440" w:gutter="0"/>
          <w:pgNumType w:fmt="decimal"/>
          <w:formProt w:val="false"/>
          <w:textDirection w:val="lrTb"/>
          <w:docGrid w:type="default" w:linePitch="360" w:charSpace="0"/>
        </w:sectPr>
        <w:pStyle w:val="Normal"/>
        <w:pBdr/>
        <w:spacing w:lineRule="auto" w:line="480"/>
        <w:jc w:val="both"/>
        <w:rPr>
          <w:rFonts w:ascii="Arial" w:hAnsi="Arial" w:eastAsia="Arial" w:cs="Arial"/>
          <w:color w:val="000000"/>
          <w:sz w:val="20"/>
          <w:szCs w:val="20"/>
        </w:rPr>
      </w:pPr>
      <w:r>
        <w:rPr>
          <w:rFonts w:eastAsia="Arial" w:cs="Arial" w:ascii="Arial" w:hAnsi="Arial"/>
          <w:b/>
          <w:color w:val="000000"/>
          <w:sz w:val="20"/>
          <w:szCs w:val="20"/>
        </w:rPr>
        <w:t xml:space="preserve">ORCiD: </w:t>
      </w:r>
      <w:hyperlink r:id="rId3">
        <w:r>
          <w:rPr>
            <w:rFonts w:eastAsia="Arial" w:cs="Arial" w:ascii="Arial" w:hAnsi="Arial"/>
            <w:b/>
            <w:color w:val="1155CC"/>
            <w:sz w:val="20"/>
            <w:szCs w:val="20"/>
            <w:u w:val="single"/>
          </w:rPr>
          <w:t>https://orcid.org/0000-0003-3758-1091</w:t>
        </w:r>
      </w:hyperlink>
      <w:r>
        <w:rPr>
          <w:rFonts w:eastAsia="Arial" w:cs="Arial" w:ascii="Arial" w:hAnsi="Arial"/>
          <w:b/>
          <w:color w:val="000000"/>
          <w:sz w:val="20"/>
          <w:szCs w:val="20"/>
        </w:rPr>
        <w:t xml:space="preserve"> </w:t>
      </w:r>
      <w:hyperlink r:id="rId4">
        <w:r>
          <w:rPr>
            <w:rFonts w:eastAsia="Arial" w:cs="Arial" w:ascii="Arial" w:hAnsi="Arial"/>
            <w:color w:val="000000"/>
            <w:sz w:val="20"/>
            <w:szCs w:val="20"/>
          </w:rPr>
          <w:t xml:space="preserve"> </w:t>
        </w:r>
      </w:hyperlink>
    </w:p>
    <w:p>
      <w:pPr>
        <w:pStyle w:val="Normal"/>
        <w:rPr>
          <w:rFonts w:ascii="Arial" w:hAnsi="Arial" w:cs="Arial"/>
          <w:b/>
          <w:b/>
          <w:bCs/>
          <w:color w:val="000000"/>
          <w:sz w:val="18"/>
          <w:szCs w:val="18"/>
          <w:lang w:val="en-GB"/>
        </w:rPr>
      </w:pPr>
      <w:r>
        <w:rPr/>
        <w:drawing>
          <wp:inline distT="0" distB="0" distL="0" distR="0">
            <wp:extent cx="5731510" cy="6636385"/>
            <wp:effectExtent l="0" t="0" r="0" b="0"/>
            <wp:docPr id="1" name="Picture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663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76"/>
        <w:jc w:val="both"/>
        <w:rPr>
          <w:rFonts w:ascii="Arial" w:hAnsi="Arial" w:cs="Arial"/>
          <w:b/>
          <w:b/>
          <w:bCs/>
          <w:color w:val="000000"/>
          <w:sz w:val="18"/>
          <w:szCs w:val="18"/>
          <w:lang w:val="en-GB"/>
        </w:rPr>
      </w:pPr>
      <w:r>
        <w:rPr>
          <w:rFonts w:cs="Arial" w:ascii="Arial" w:hAnsi="Arial"/>
          <w:b/>
          <w:bCs/>
          <w:color w:val="000000"/>
          <w:sz w:val="18"/>
          <w:szCs w:val="18"/>
          <w:lang w:val="en-GB"/>
        </w:rPr>
      </w:r>
    </w:p>
    <w:p>
      <w:pPr>
        <w:pStyle w:val="Normal"/>
        <w:spacing w:lineRule="auto" w:line="360"/>
        <w:jc w:val="both"/>
        <w:rPr>
          <w:rFonts w:ascii="Arial" w:hAnsi="Arial" w:cs="Arial"/>
          <w:sz w:val="20"/>
          <w:szCs w:val="20"/>
          <w:lang w:val="en-GB"/>
        </w:rPr>
      </w:pPr>
      <w:r>
        <w:rPr>
          <w:rFonts w:cs="Arial" w:ascii="Arial" w:hAnsi="Arial"/>
          <w:b/>
          <w:bCs/>
          <w:color w:val="000000"/>
          <w:sz w:val="20"/>
          <w:szCs w:val="20"/>
          <w:lang w:val="en-GB"/>
        </w:rPr>
        <w:t>Supplementary Figure 1:</w:t>
      </w:r>
      <w:r>
        <w:rPr>
          <w:rFonts w:cs="Arial" w:ascii="Arial" w:hAnsi="Arial"/>
          <w:color w:val="000000"/>
          <w:sz w:val="20"/>
          <w:szCs w:val="20"/>
          <w:lang w:val="en-GB"/>
        </w:rPr>
        <w:t xml:space="preserve"> </w:t>
      </w:r>
      <w:r>
        <w:rPr>
          <w:rFonts w:cs="Arial" w:ascii="Arial" w:hAnsi="Arial"/>
          <w:b/>
          <w:bCs/>
          <w:color w:val="000000"/>
          <w:sz w:val="20"/>
          <w:szCs w:val="20"/>
          <w:lang w:val="en-GB"/>
        </w:rPr>
        <w:t>a)</w:t>
      </w:r>
      <w:r>
        <w:rPr>
          <w:rFonts w:cs="Arial" w:ascii="Arial" w:hAnsi="Arial"/>
          <w:color w:val="000000"/>
          <w:sz w:val="20"/>
          <w:szCs w:val="20"/>
          <w:lang w:val="en-GB"/>
        </w:rPr>
        <w:t xml:space="preserve"> DNA concentration, </w:t>
      </w:r>
      <w:r>
        <w:rPr>
          <w:rFonts w:cs="Arial" w:ascii="Arial" w:hAnsi="Arial"/>
          <w:b/>
          <w:bCs/>
          <w:color w:val="000000"/>
          <w:sz w:val="20"/>
          <w:szCs w:val="20"/>
          <w:lang w:val="en-GB"/>
        </w:rPr>
        <w:t>b)</w:t>
      </w:r>
      <w:r>
        <w:rPr>
          <w:rFonts w:cs="Arial" w:ascii="Arial" w:hAnsi="Arial"/>
          <w:color w:val="000000"/>
          <w:sz w:val="20"/>
          <w:szCs w:val="20"/>
          <w:lang w:val="en-GB"/>
        </w:rPr>
        <w:t xml:space="preserve"> bacterial load (copy number of 16S rRNA gene in log10), and </w:t>
      </w:r>
      <w:r>
        <w:rPr>
          <w:rFonts w:cs="Arial" w:ascii="Arial" w:hAnsi="Arial"/>
          <w:b/>
          <w:bCs/>
          <w:color w:val="000000"/>
          <w:sz w:val="20"/>
          <w:szCs w:val="20"/>
          <w:lang w:val="en-GB"/>
        </w:rPr>
        <w:t>c)</w:t>
      </w:r>
      <w:r>
        <w:rPr>
          <w:rFonts w:cs="Arial" w:ascii="Arial" w:hAnsi="Arial"/>
          <w:color w:val="000000"/>
          <w:sz w:val="20"/>
          <w:szCs w:val="20"/>
          <w:lang w:val="en-GB"/>
        </w:rPr>
        <w:t xml:space="preserve"> host relative to bacterial DNA (ΔCt) between samples within subsegments in mice ((n = 12 for intestinal content, mucosal washes and scrapings, and n = 6 for brushes per subsegment) and in the paired mucosal wash-biopsy human samples (n = 9), and paired mucosal wash-brush (n = 10). </w:t>
      </w:r>
      <w:r>
        <w:rPr>
          <w:rFonts w:cs="Arial" w:ascii="Arial" w:hAnsi="Arial"/>
          <w:sz w:val="20"/>
          <w:szCs w:val="20"/>
          <w:lang w:val="en-GB"/>
        </w:rPr>
        <w:t>IC: intestinal content; MucW: Mucosal washes.</w:t>
      </w:r>
    </w:p>
    <w:p>
      <w:pPr>
        <w:pStyle w:val="Normal"/>
        <w:rPr>
          <w:rFonts w:ascii="Arial" w:hAnsi="Arial" w:cs="Arial"/>
          <w:sz w:val="20"/>
          <w:szCs w:val="20"/>
          <w:lang w:val="en-GB"/>
        </w:rPr>
      </w:pPr>
      <w:r>
        <w:rPr>
          <w:rFonts w:cs="Arial" w:ascii="Arial" w:hAnsi="Arial"/>
          <w:sz w:val="20"/>
          <w:szCs w:val="20"/>
          <w:lang w:val="en-GB"/>
        </w:rPr>
      </w:r>
    </w:p>
    <w:p>
      <w:pPr>
        <w:pStyle w:val="Normal"/>
        <w:rPr>
          <w:b/>
          <w:b/>
          <w:bCs/>
          <w:lang w:val="en-GB"/>
        </w:rPr>
      </w:pPr>
      <w:r>
        <w:rPr>
          <w:b/>
          <w:bCs/>
          <w:lang w:val="en-GB"/>
        </w:rPr>
      </w:r>
    </w:p>
    <w:p>
      <w:pPr>
        <w:pStyle w:val="Normal"/>
        <w:rPr>
          <w:b/>
          <w:b/>
          <w:bCs/>
          <w:lang w:val="en-GB"/>
        </w:rPr>
      </w:pPr>
      <w:r>
        <w:rPr>
          <w:b/>
          <w:bCs/>
          <w:lang w:val="en-GB"/>
        </w:rPr>
      </w:r>
    </w:p>
    <w:p>
      <w:pPr>
        <w:pStyle w:val="Normal"/>
        <w:rPr>
          <w:b/>
          <w:b/>
          <w:bCs/>
          <w:lang w:val="en-GB"/>
        </w:rPr>
      </w:pPr>
      <w:r>
        <w:rPr>
          <w:b/>
          <w:bCs/>
          <w:lang w:val="en-GB"/>
        </w:rPr>
      </w:r>
    </w:p>
    <w:p>
      <w:pPr>
        <w:pStyle w:val="Normal"/>
        <w:rPr>
          <w:b/>
          <w:b/>
          <w:bCs/>
          <w:lang w:val="en-GB"/>
        </w:rPr>
      </w:pPr>
      <w:r>
        <w:rPr>
          <w:b/>
          <w:bCs/>
          <w:lang w:val="en-GB"/>
        </w:rPr>
      </w:r>
    </w:p>
    <w:p>
      <w:pPr>
        <w:pStyle w:val="Normal"/>
        <w:spacing w:lineRule="auto" w:line="360"/>
        <w:jc w:val="both"/>
        <w:rPr>
          <w:b/>
          <w:b/>
          <w:bCs/>
          <w:lang w:val="en-GB"/>
        </w:rPr>
      </w:pPr>
      <w:r>
        <w:rPr>
          <w:b/>
          <w:bCs/>
          <w:lang w:val="en-GB"/>
        </w:rPr>
        <w:drawing>
          <wp:anchor behindDoc="0" distT="0" distB="0" distL="114300" distR="114300" simplePos="0" locked="0" layoutInCell="1" allowOverlap="1" relativeHeight="5">
            <wp:simplePos x="0" y="0"/>
            <wp:positionH relativeFrom="margin">
              <wp:posOffset>0</wp:posOffset>
            </wp:positionH>
            <wp:positionV relativeFrom="margin">
              <wp:posOffset>-265430</wp:posOffset>
            </wp:positionV>
            <wp:extent cx="5731510" cy="6713220"/>
            <wp:effectExtent l="0" t="0" r="0" b="0"/>
            <wp:wrapSquare wrapText="bothSides"/>
            <wp:docPr id="2" name="Picture 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4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0" t="0" r="0" b="121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6713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360"/>
        <w:jc w:val="both"/>
        <w:rPr>
          <w:rStyle w:val="InternetLink"/>
          <w:b/>
          <w:b/>
          <w:bCs/>
          <w:color w:val="auto"/>
          <w:u w:val="none"/>
          <w:lang w:val="en-GB"/>
        </w:rPr>
      </w:pPr>
      <w:r>
        <w:rPr>
          <w:rStyle w:val="InternetLink"/>
          <w:rFonts w:cs="Arial" w:ascii="Arial" w:hAnsi="Arial"/>
          <w:b/>
          <w:bCs/>
          <w:color w:val="000000" w:themeColor="text1"/>
          <w:sz w:val="20"/>
          <w:szCs w:val="20"/>
          <w:u w:val="none"/>
          <w:lang w:val="en-GB"/>
        </w:rPr>
        <w:t xml:space="preserve">Supplementary Figure 2: a-b) </w:t>
      </w:r>
      <w:r>
        <w:rPr>
          <w:rStyle w:val="InternetLink"/>
          <w:rFonts w:cs="Arial" w:ascii="Arial" w:hAnsi="Arial"/>
          <w:color w:val="000000" w:themeColor="text1"/>
          <w:sz w:val="20"/>
          <w:szCs w:val="20"/>
          <w:u w:val="none"/>
          <w:lang w:val="en-GB"/>
        </w:rPr>
        <w:t xml:space="preserve">Scatterplots with histogram representing the p-scores generated with the combined-either method based on frequency (x-axis) and prevalence (y-axis) using the Decontam library. Colours represent the ASVs classified as true (yellow) or false (blue) contaminants, and bars represent the distribution of the ASVs. </w:t>
      </w:r>
      <w:r>
        <w:rPr>
          <w:rStyle w:val="InternetLink"/>
          <w:rFonts w:cs="Arial" w:ascii="Arial" w:hAnsi="Arial"/>
          <w:b/>
          <w:bCs/>
          <w:color w:val="000000" w:themeColor="text1"/>
          <w:sz w:val="20"/>
          <w:szCs w:val="20"/>
          <w:u w:val="none"/>
          <w:lang w:val="en-GB"/>
        </w:rPr>
        <w:t>a)</w:t>
      </w:r>
      <w:r>
        <w:rPr>
          <w:rStyle w:val="InternetLink"/>
          <w:rFonts w:cs="Arial" w:ascii="Arial" w:hAnsi="Arial"/>
          <w:color w:val="000000" w:themeColor="text1"/>
          <w:sz w:val="20"/>
          <w:szCs w:val="20"/>
          <w:u w:val="none"/>
          <w:lang w:val="en-GB"/>
        </w:rPr>
        <w:t xml:space="preserve"> mice samples, </w:t>
      </w:r>
      <w:r>
        <w:rPr>
          <w:rStyle w:val="InternetLink"/>
          <w:rFonts w:cs="Arial" w:ascii="Arial" w:hAnsi="Arial"/>
          <w:b/>
          <w:bCs/>
          <w:color w:val="000000" w:themeColor="text1"/>
          <w:sz w:val="20"/>
          <w:szCs w:val="20"/>
          <w:u w:val="none"/>
          <w:lang w:val="en-GB"/>
        </w:rPr>
        <w:t>b)</w:t>
      </w:r>
      <w:r>
        <w:rPr>
          <w:rStyle w:val="InternetLink"/>
          <w:rFonts w:cs="Arial" w:ascii="Arial" w:hAnsi="Arial"/>
          <w:color w:val="000000" w:themeColor="text1"/>
          <w:sz w:val="20"/>
          <w:szCs w:val="20"/>
          <w:u w:val="none"/>
          <w:lang w:val="en-GB"/>
        </w:rPr>
        <w:t xml:space="preserve"> human samples. </w:t>
      </w:r>
      <w:r>
        <w:rPr>
          <w:rStyle w:val="InternetLink"/>
          <w:rFonts w:cs="Arial" w:ascii="Arial" w:hAnsi="Arial"/>
          <w:b/>
          <w:bCs/>
          <w:color w:val="000000" w:themeColor="text1"/>
          <w:sz w:val="20"/>
          <w:szCs w:val="20"/>
          <w:u w:val="none"/>
          <w:lang w:val="en-GB"/>
        </w:rPr>
        <w:t xml:space="preserve">c </w:t>
      </w:r>
      <w:r>
        <w:rPr>
          <w:rStyle w:val="InternetLink"/>
          <w:rFonts w:cs="Arial" w:ascii="Arial" w:hAnsi="Arial"/>
          <w:color w:val="000000" w:themeColor="text1"/>
          <w:sz w:val="20"/>
          <w:szCs w:val="20"/>
          <w:u w:val="none"/>
          <w:lang w:val="en-GB"/>
        </w:rPr>
        <w:t>and</w:t>
      </w:r>
      <w:r>
        <w:rPr>
          <w:rStyle w:val="InternetLink"/>
          <w:rFonts w:cs="Arial" w:ascii="Arial" w:hAnsi="Arial"/>
          <w:b/>
          <w:bCs/>
          <w:color w:val="000000" w:themeColor="text1"/>
          <w:sz w:val="20"/>
          <w:szCs w:val="20"/>
          <w:u w:val="none"/>
          <w:lang w:val="en-GB"/>
        </w:rPr>
        <w:t xml:space="preserve"> e)</w:t>
      </w:r>
      <w:r>
        <w:rPr>
          <w:rStyle w:val="InternetLink"/>
          <w:rFonts w:cs="Arial" w:ascii="Arial" w:hAnsi="Arial"/>
          <w:color w:val="000000" w:themeColor="text1"/>
          <w:sz w:val="20"/>
          <w:szCs w:val="20"/>
          <w:u w:val="none"/>
          <w:lang w:val="en-GB"/>
        </w:rPr>
        <w:t xml:space="preserve"> Lollipop graph representing the frequency based on the abundance of the ASVs classified as contaminants, y-axis names are a combination of the family and genus, and the colour of the point represents the phylum to which the ASV belongs, </w:t>
      </w:r>
      <w:r>
        <w:rPr>
          <w:rStyle w:val="InternetLink"/>
          <w:rFonts w:cs="Arial" w:ascii="Arial" w:hAnsi="Arial"/>
          <w:b/>
          <w:bCs/>
          <w:color w:val="000000" w:themeColor="text1"/>
          <w:sz w:val="20"/>
          <w:szCs w:val="20"/>
          <w:u w:val="none"/>
          <w:lang w:val="en-GB"/>
        </w:rPr>
        <w:t>c)</w:t>
      </w:r>
      <w:r>
        <w:rPr>
          <w:rStyle w:val="InternetLink"/>
          <w:rFonts w:cs="Arial" w:ascii="Arial" w:hAnsi="Arial"/>
          <w:color w:val="000000" w:themeColor="text1"/>
          <w:sz w:val="20"/>
          <w:szCs w:val="20"/>
          <w:u w:val="none"/>
          <w:lang w:val="en-GB"/>
        </w:rPr>
        <w:t xml:space="preserve"> mice samples, </w:t>
      </w:r>
      <w:r>
        <w:rPr>
          <w:rStyle w:val="InternetLink"/>
          <w:rFonts w:cs="Arial" w:ascii="Arial" w:hAnsi="Arial"/>
          <w:b/>
          <w:bCs/>
          <w:color w:val="000000" w:themeColor="text1"/>
          <w:sz w:val="20"/>
          <w:szCs w:val="20"/>
          <w:u w:val="none"/>
          <w:lang w:val="en-GB"/>
        </w:rPr>
        <w:t>e)</w:t>
      </w:r>
      <w:r>
        <w:rPr>
          <w:rStyle w:val="InternetLink"/>
          <w:rFonts w:cs="Arial" w:ascii="Arial" w:hAnsi="Arial"/>
          <w:color w:val="000000" w:themeColor="text1"/>
          <w:sz w:val="20"/>
          <w:szCs w:val="20"/>
          <w:u w:val="none"/>
          <w:lang w:val="en-GB"/>
        </w:rPr>
        <w:t xml:space="preserve"> human samples. </w:t>
      </w:r>
      <w:r>
        <w:rPr>
          <w:rStyle w:val="InternetLink"/>
          <w:rFonts w:cs="Arial" w:ascii="Arial" w:hAnsi="Arial"/>
          <w:b/>
          <w:bCs/>
          <w:color w:val="000000" w:themeColor="text1"/>
          <w:sz w:val="20"/>
          <w:szCs w:val="20"/>
          <w:u w:val="none"/>
          <w:lang w:val="en-GB"/>
        </w:rPr>
        <w:t xml:space="preserve">d </w:t>
      </w:r>
      <w:r>
        <w:rPr>
          <w:rStyle w:val="InternetLink"/>
          <w:rFonts w:cs="Arial" w:ascii="Arial" w:hAnsi="Arial"/>
          <w:color w:val="000000" w:themeColor="text1"/>
          <w:sz w:val="20"/>
          <w:szCs w:val="20"/>
          <w:u w:val="none"/>
          <w:lang w:val="en-GB"/>
        </w:rPr>
        <w:t>and</w:t>
      </w:r>
      <w:r>
        <w:rPr>
          <w:rStyle w:val="InternetLink"/>
          <w:rFonts w:cs="Arial" w:ascii="Arial" w:hAnsi="Arial"/>
          <w:b/>
          <w:bCs/>
          <w:color w:val="000000" w:themeColor="text1"/>
          <w:sz w:val="20"/>
          <w:szCs w:val="20"/>
          <w:u w:val="none"/>
          <w:lang w:val="en-GB"/>
        </w:rPr>
        <w:t xml:space="preserve"> f)</w:t>
      </w:r>
      <w:r>
        <w:rPr>
          <w:rStyle w:val="InternetLink"/>
          <w:rFonts w:cs="Arial" w:ascii="Arial" w:hAnsi="Arial"/>
          <w:color w:val="000000" w:themeColor="text1"/>
          <w:sz w:val="20"/>
          <w:szCs w:val="20"/>
          <w:u w:val="none"/>
          <w:lang w:val="en-GB"/>
        </w:rPr>
        <w:t xml:space="preserve"> Lollipop graph representing the prevalence of the ASVs classified as contaminants, y-axis names are a combination of the family and genus, and the colour of the point represents the phylum to which the ASV belongs. </w:t>
      </w:r>
      <w:r>
        <w:rPr>
          <w:rStyle w:val="InternetLink"/>
          <w:rFonts w:cs="Arial" w:ascii="Arial" w:hAnsi="Arial"/>
          <w:b/>
          <w:bCs/>
          <w:color w:val="000000" w:themeColor="text1"/>
          <w:sz w:val="20"/>
          <w:szCs w:val="20"/>
          <w:u w:val="none"/>
          <w:lang w:val="en-GB"/>
        </w:rPr>
        <w:t>d)</w:t>
      </w:r>
      <w:r>
        <w:rPr>
          <w:rStyle w:val="InternetLink"/>
          <w:rFonts w:cs="Arial" w:ascii="Arial" w:hAnsi="Arial"/>
          <w:color w:val="000000" w:themeColor="text1"/>
          <w:sz w:val="20"/>
          <w:szCs w:val="20"/>
          <w:u w:val="none"/>
          <w:lang w:val="en-GB"/>
        </w:rPr>
        <w:t xml:space="preserve"> mouse samples, </w:t>
      </w:r>
      <w:r>
        <w:rPr>
          <w:rStyle w:val="InternetLink"/>
          <w:rFonts w:cs="Arial" w:ascii="Arial" w:hAnsi="Arial"/>
          <w:b/>
          <w:bCs/>
          <w:color w:val="000000" w:themeColor="text1"/>
          <w:sz w:val="20"/>
          <w:szCs w:val="20"/>
          <w:u w:val="none"/>
          <w:lang w:val="en-GB"/>
        </w:rPr>
        <w:t>f)</w:t>
      </w:r>
      <w:r>
        <w:rPr>
          <w:rStyle w:val="InternetLink"/>
          <w:rFonts w:cs="Arial" w:ascii="Arial" w:hAnsi="Arial"/>
          <w:color w:val="000000" w:themeColor="text1"/>
          <w:sz w:val="20"/>
          <w:szCs w:val="20"/>
          <w:u w:val="none"/>
          <w:lang w:val="en-GB"/>
        </w:rPr>
        <w:t xml:space="preserve"> human samples.</w:t>
      </w:r>
    </w:p>
    <w:p>
      <w:pPr>
        <w:pStyle w:val="Normal"/>
        <w:rPr>
          <w:rStyle w:val="InternetLink"/>
          <w:rFonts w:ascii="Arial" w:hAnsi="Arial" w:cs="Arial"/>
          <w:b/>
          <w:b/>
          <w:bCs/>
          <w:color w:val="000000" w:themeColor="text1"/>
          <w:sz w:val="20"/>
          <w:szCs w:val="20"/>
          <w:u w:val="none"/>
          <w:lang w:val="en-GB"/>
        </w:rPr>
      </w:pPr>
      <w:r>
        <w:rPr>
          <w:rFonts w:cs="Arial" w:ascii="Arial" w:hAnsi="Arial"/>
          <w:b/>
          <w:bCs/>
          <w:color w:val="000000" w:themeColor="text1"/>
          <w:sz w:val="20"/>
          <w:szCs w:val="20"/>
          <w:u w:val="none"/>
          <w:lang w:val="en-GB"/>
        </w:rPr>
        <w:drawing>
          <wp:anchor behindDoc="0" distT="0" distB="0" distL="114300" distR="114300" simplePos="0" locked="0" layoutInCell="1" allowOverlap="1" relativeHeight="2">
            <wp:simplePos x="0" y="0"/>
            <wp:positionH relativeFrom="margin">
              <wp:posOffset>0</wp:posOffset>
            </wp:positionH>
            <wp:positionV relativeFrom="margin">
              <wp:posOffset>-73660</wp:posOffset>
            </wp:positionV>
            <wp:extent cx="5731510" cy="6852920"/>
            <wp:effectExtent l="0" t="0" r="0" b="0"/>
            <wp:wrapSquare wrapText="bothSides"/>
            <wp:docPr id="3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0" t="0" r="0" b="103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6852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jc w:val="both"/>
        <w:rPr>
          <w:rFonts w:ascii="Arial" w:hAnsi="Arial" w:cs="Arial"/>
          <w:sz w:val="16"/>
          <w:szCs w:val="16"/>
          <w:lang w:val="en-GB"/>
        </w:rPr>
      </w:pPr>
      <w:r>
        <w:rPr>
          <w:rFonts w:cs="Arial" w:ascii="Arial" w:hAnsi="Arial"/>
          <w:sz w:val="16"/>
          <w:szCs w:val="16"/>
          <w:lang w:val="en-GB"/>
        </w:rPr>
      </w:r>
    </w:p>
    <w:p>
      <w:pPr>
        <w:pStyle w:val="Normal"/>
        <w:jc w:val="both"/>
        <w:rPr>
          <w:rFonts w:ascii="Arial" w:hAnsi="Arial" w:cs="Arial"/>
          <w:sz w:val="16"/>
          <w:szCs w:val="16"/>
          <w:lang w:val="en-GB"/>
        </w:rPr>
      </w:pPr>
      <w:r>
        <w:rPr>
          <w:rFonts w:cs="Arial" w:ascii="Arial" w:hAnsi="Arial"/>
          <w:sz w:val="16"/>
          <w:szCs w:val="16"/>
          <w:lang w:val="en-GB"/>
        </w:rPr>
      </w:r>
    </w:p>
    <w:p>
      <w:pPr>
        <w:pStyle w:val="Normal"/>
        <w:spacing w:lineRule="auto" w:line="360"/>
        <w:jc w:val="both"/>
        <w:rPr>
          <w:rFonts w:ascii="Arial" w:hAnsi="Arial" w:cs="Arial"/>
          <w:sz w:val="20"/>
          <w:szCs w:val="20"/>
          <w:lang w:val="en-GB"/>
        </w:rPr>
      </w:pPr>
      <w:r>
        <w:rPr>
          <w:rFonts w:cs="Arial" w:ascii="Arial" w:hAnsi="Arial"/>
          <w:b/>
          <w:bCs/>
          <w:color w:val="000000"/>
          <w:sz w:val="20"/>
          <w:szCs w:val="20"/>
          <w:lang w:val="en-GB"/>
        </w:rPr>
        <w:t>Supplementary Figure 3:</w:t>
      </w:r>
      <w:r>
        <w:rPr>
          <w:rFonts w:cs="Arial" w:ascii="Arial" w:hAnsi="Arial"/>
          <w:color w:val="000000"/>
          <w:sz w:val="20"/>
          <w:szCs w:val="20"/>
          <w:lang w:val="en-GB"/>
        </w:rPr>
        <w:t xml:space="preserve"> </w:t>
      </w:r>
      <w:r>
        <w:rPr>
          <w:rFonts w:cs="Arial" w:ascii="Arial" w:hAnsi="Arial"/>
          <w:b/>
          <w:bCs/>
          <w:color w:val="000000"/>
          <w:sz w:val="20"/>
          <w:szCs w:val="20"/>
          <w:lang w:val="en-GB"/>
        </w:rPr>
        <w:t>a)</w:t>
      </w:r>
      <w:r>
        <w:rPr>
          <w:rFonts w:cs="Arial" w:ascii="Arial" w:hAnsi="Arial"/>
          <w:color w:val="000000"/>
          <w:sz w:val="20"/>
          <w:szCs w:val="20"/>
          <w:lang w:val="en-GB"/>
        </w:rPr>
        <w:t xml:space="preserve"> Total read counts, </w:t>
      </w:r>
      <w:r>
        <w:rPr>
          <w:rFonts w:cs="Arial" w:ascii="Arial" w:hAnsi="Arial"/>
          <w:b/>
          <w:bCs/>
          <w:color w:val="000000"/>
          <w:sz w:val="20"/>
          <w:szCs w:val="20"/>
          <w:lang w:val="en-GB"/>
        </w:rPr>
        <w:t>b)</w:t>
      </w:r>
      <w:r>
        <w:rPr>
          <w:rFonts w:cs="Arial" w:ascii="Arial" w:hAnsi="Arial"/>
          <w:color w:val="000000"/>
          <w:sz w:val="20"/>
          <w:szCs w:val="20"/>
          <w:lang w:val="en-GB"/>
        </w:rPr>
        <w:t xml:space="preserve"> mitochondrial read counts, and </w:t>
      </w:r>
      <w:r>
        <w:rPr>
          <w:rFonts w:cs="Arial" w:ascii="Arial" w:hAnsi="Arial"/>
          <w:b/>
          <w:bCs/>
          <w:color w:val="000000"/>
          <w:sz w:val="20"/>
          <w:szCs w:val="20"/>
          <w:lang w:val="en-GB"/>
        </w:rPr>
        <w:t>c)</w:t>
      </w:r>
      <w:r>
        <w:rPr>
          <w:rFonts w:cs="Arial" w:ascii="Arial" w:hAnsi="Arial"/>
          <w:color w:val="000000"/>
          <w:sz w:val="20"/>
          <w:szCs w:val="20"/>
          <w:lang w:val="en-GB"/>
        </w:rPr>
        <w:t xml:space="preserve"> filtered read counts represented in logarithm 10 between sample types within subsegments in mice (n = 12 for intestinal content, mucosal washes and scrapings, and n = 6 for brushes per subsegment), paired mucosal washes-biopsy human samples (n = 7 biopsies and n = 7 mucosal washes; two of the biopsy samples were discard during the filtering process for the analysis of the microbiota), and paired mucosal washes-brushes human samples (n = 10 mucosal washes and n = 10 brushes from same patients). </w:t>
      </w:r>
      <w:r>
        <w:rPr>
          <w:rFonts w:cs="Arial" w:ascii="Arial" w:hAnsi="Arial"/>
          <w:sz w:val="20"/>
          <w:szCs w:val="20"/>
          <w:lang w:val="en-GB"/>
        </w:rPr>
        <w:t>IC: intestinal content; MucW: Mucosal washes.</w:t>
      </w:r>
    </w:p>
    <w:p>
      <w:pPr>
        <w:pStyle w:val="Normal"/>
        <w:spacing w:lineRule="auto" w:line="360"/>
        <w:jc w:val="both"/>
        <w:rPr>
          <w:rFonts w:ascii="Arial" w:hAnsi="Arial" w:cs="Arial"/>
          <w:b/>
          <w:b/>
          <w:bCs/>
          <w:sz w:val="18"/>
          <w:szCs w:val="18"/>
          <w:lang w:val="en-GB"/>
        </w:rPr>
      </w:pPr>
      <w:r>
        <w:rPr>
          <w:rFonts w:cs="Arial" w:ascii="Arial" w:hAnsi="Arial"/>
          <w:b/>
          <w:bCs/>
          <w:sz w:val="18"/>
          <w:szCs w:val="18"/>
          <w:lang w:val="en-GB"/>
        </w:rPr>
      </w:r>
    </w:p>
    <w:p>
      <w:pPr>
        <w:pStyle w:val="Normal"/>
        <w:spacing w:lineRule="auto" w:line="360"/>
        <w:jc w:val="both"/>
        <w:rPr>
          <w:rFonts w:ascii="Arial" w:hAnsi="Arial" w:cs="Arial"/>
          <w:b/>
          <w:b/>
          <w:bCs/>
          <w:sz w:val="20"/>
          <w:szCs w:val="20"/>
          <w:lang w:val="en-GB"/>
        </w:rPr>
      </w:pPr>
      <w:r>
        <w:rPr>
          <w:rFonts w:cs="Arial" w:ascii="Arial" w:hAnsi="Arial"/>
          <w:b/>
          <w:bCs/>
          <w:sz w:val="20"/>
          <w:szCs w:val="20"/>
          <w:lang w:val="en-GB"/>
        </w:rPr>
      </w:r>
    </w:p>
    <w:p>
      <w:pPr>
        <w:pStyle w:val="Normal"/>
        <w:spacing w:lineRule="auto" w:line="360"/>
        <w:jc w:val="both"/>
        <w:rPr>
          <w:rFonts w:ascii="Arial" w:hAnsi="Arial" w:cs="Arial"/>
          <w:b/>
          <w:b/>
          <w:bCs/>
          <w:color w:val="000000"/>
          <w:sz w:val="18"/>
          <w:szCs w:val="18"/>
          <w:lang w:val="en-GB"/>
        </w:rPr>
      </w:pPr>
      <w:r>
        <w:drawing>
          <wp:anchor behindDoc="0" distT="0" distB="0" distL="114300" distR="114300" simplePos="0" locked="0" layoutInCell="1" allowOverlap="1" relativeHeight="4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5856605" cy="4575810"/>
            <wp:effectExtent l="0" t="0" r="0" b="0"/>
            <wp:wrapSquare wrapText="bothSides"/>
            <wp:docPr id="4" name="Picture 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0" t="0" r="5849" b="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6605" cy="4575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 w:ascii="Arial" w:hAnsi="Arial"/>
          <w:b/>
          <w:bCs/>
          <w:sz w:val="20"/>
          <w:szCs w:val="20"/>
          <w:lang w:val="en-GB"/>
        </w:rPr>
        <w:t>S</w:t>
      </w:r>
      <w:r>
        <w:rPr>
          <w:rFonts w:cs="Arial" w:ascii="Arial" w:hAnsi="Arial"/>
          <w:b/>
          <w:bCs/>
          <w:sz w:val="20"/>
          <w:szCs w:val="20"/>
          <w:lang w:val="en-GB"/>
        </w:rPr>
        <w:t>upplementary Figure 4:</w:t>
      </w:r>
      <w:r>
        <w:rPr>
          <w:rFonts w:cs="Arial" w:ascii="Arial" w:hAnsi="Arial"/>
          <w:sz w:val="20"/>
          <w:szCs w:val="20"/>
          <w:lang w:val="en-GB"/>
        </w:rPr>
        <w:t xml:space="preserve"> </w:t>
      </w:r>
      <w:r>
        <w:rPr>
          <w:rFonts w:cs="Arial" w:ascii="Arial" w:hAnsi="Arial"/>
          <w:b/>
          <w:bCs/>
          <w:sz w:val="20"/>
          <w:szCs w:val="20"/>
          <w:lang w:val="en-GB"/>
        </w:rPr>
        <w:t>Heatmap of the relative abundance of the phyla and genera in mice</w:t>
      </w:r>
      <w:r>
        <w:rPr>
          <w:rFonts w:cs="Arial" w:ascii="Arial" w:hAnsi="Arial"/>
          <w:sz w:val="20"/>
          <w:szCs w:val="20"/>
          <w:lang w:val="en-GB"/>
        </w:rPr>
        <w:t>. On the y-axis the genus and phyla and the x-axis each column represent one sample. Samples were grouped by sample types and subsegment</w:t>
      </w:r>
      <w:r>
        <w:rPr>
          <w:rFonts w:cs="Arial" w:ascii="Arial" w:hAnsi="Arial"/>
          <w:sz w:val="18"/>
          <w:szCs w:val="18"/>
          <w:lang w:val="en-GB"/>
        </w:rPr>
        <w:t xml:space="preserve">. </w:t>
      </w:r>
    </w:p>
    <w:p>
      <w:pPr>
        <w:pStyle w:val="Normal"/>
        <w:jc w:val="both"/>
        <w:rPr>
          <w:rFonts w:ascii="Arial" w:hAnsi="Arial" w:cs="Arial"/>
          <w:sz w:val="18"/>
          <w:szCs w:val="18"/>
          <w:lang w:val="en-GB"/>
        </w:rPr>
      </w:pPr>
      <w:r>
        <w:rPr>
          <w:rFonts w:cs="Arial" w:ascii="Arial" w:hAnsi="Arial"/>
          <w:sz w:val="18"/>
          <w:szCs w:val="18"/>
          <w:lang w:val="en-GB"/>
        </w:rPr>
      </w:r>
    </w:p>
    <w:p>
      <w:pPr>
        <w:pStyle w:val="Normal"/>
        <w:jc w:val="both"/>
        <w:rPr>
          <w:rFonts w:ascii="Arial" w:hAnsi="Arial" w:cs="Arial"/>
          <w:sz w:val="18"/>
          <w:szCs w:val="18"/>
          <w:lang w:val="en-GB"/>
        </w:rPr>
      </w:pPr>
      <w:r>
        <w:rPr>
          <w:rFonts w:cs="Arial" w:ascii="Arial" w:hAnsi="Arial"/>
          <w:sz w:val="18"/>
          <w:szCs w:val="18"/>
          <w:lang w:val="en-GB"/>
        </w:rPr>
      </w:r>
    </w:p>
    <w:p>
      <w:pPr>
        <w:pStyle w:val="Normal"/>
        <w:jc w:val="both"/>
        <w:rPr>
          <w:rFonts w:ascii="Arial" w:hAnsi="Arial" w:cs="Arial"/>
          <w:sz w:val="18"/>
          <w:szCs w:val="18"/>
          <w:lang w:val="en-GB"/>
        </w:rPr>
      </w:pPr>
      <w:r>
        <w:rPr>
          <w:rFonts w:cs="Arial" w:ascii="Arial" w:hAnsi="Arial"/>
          <w:sz w:val="18"/>
          <w:szCs w:val="18"/>
          <w:lang w:val="en-GB"/>
        </w:rPr>
      </w:r>
    </w:p>
    <w:p>
      <w:pPr>
        <w:pStyle w:val="Normal"/>
        <w:jc w:val="both"/>
        <w:rPr>
          <w:rFonts w:ascii="Arial" w:hAnsi="Arial" w:cs="Arial"/>
          <w:sz w:val="18"/>
          <w:szCs w:val="18"/>
          <w:lang w:val="en-GB"/>
        </w:rPr>
      </w:pPr>
      <w:r>
        <w:rPr>
          <w:rFonts w:cs="Arial" w:ascii="Arial" w:hAnsi="Arial"/>
          <w:sz w:val="18"/>
          <w:szCs w:val="18"/>
          <w:lang w:val="en-GB"/>
        </w:rPr>
      </w:r>
    </w:p>
    <w:p>
      <w:pPr>
        <w:pStyle w:val="Normal"/>
        <w:jc w:val="both"/>
        <w:rPr>
          <w:rFonts w:ascii="Arial" w:hAnsi="Arial" w:cs="Arial"/>
          <w:sz w:val="18"/>
          <w:szCs w:val="18"/>
          <w:lang w:val="en-GB"/>
        </w:rPr>
      </w:pPr>
      <w:r>
        <w:rPr>
          <w:rFonts w:cs="Arial" w:ascii="Arial" w:hAnsi="Arial"/>
          <w:sz w:val="18"/>
          <w:szCs w:val="18"/>
          <w:lang w:val="en-GB"/>
        </w:rPr>
      </w:r>
    </w:p>
    <w:p>
      <w:pPr>
        <w:pStyle w:val="Normal"/>
        <w:jc w:val="both"/>
        <w:rPr>
          <w:rFonts w:ascii="Arial" w:hAnsi="Arial" w:cs="Arial"/>
          <w:sz w:val="18"/>
          <w:szCs w:val="18"/>
          <w:lang w:val="en-GB"/>
        </w:rPr>
      </w:pPr>
      <w:r>
        <w:rPr>
          <w:rFonts w:cs="Arial" w:ascii="Arial" w:hAnsi="Arial"/>
          <w:sz w:val="18"/>
          <w:szCs w:val="18"/>
          <w:lang w:val="en-GB"/>
        </w:rPr>
      </w:r>
    </w:p>
    <w:p>
      <w:pPr>
        <w:pStyle w:val="Normal"/>
        <w:jc w:val="both"/>
        <w:rPr>
          <w:rFonts w:ascii="Arial" w:hAnsi="Arial" w:cs="Arial"/>
          <w:sz w:val="18"/>
          <w:szCs w:val="18"/>
          <w:lang w:val="en-GB"/>
        </w:rPr>
      </w:pPr>
      <w:r>
        <w:rPr>
          <w:rFonts w:cs="Arial" w:ascii="Arial" w:hAnsi="Arial"/>
          <w:sz w:val="18"/>
          <w:szCs w:val="18"/>
          <w:lang w:val="en-GB"/>
        </w:rPr>
      </w:r>
    </w:p>
    <w:p>
      <w:pPr>
        <w:pStyle w:val="Normal"/>
        <w:jc w:val="both"/>
        <w:rPr>
          <w:rFonts w:ascii="Arial" w:hAnsi="Arial" w:cs="Arial"/>
          <w:sz w:val="18"/>
          <w:szCs w:val="18"/>
          <w:lang w:val="en-GB"/>
        </w:rPr>
      </w:pPr>
      <w:r>
        <w:rPr>
          <w:rFonts w:cs="Arial" w:ascii="Arial" w:hAnsi="Arial"/>
          <w:sz w:val="18"/>
          <w:szCs w:val="18"/>
          <w:lang w:val="en-GB"/>
        </w:rPr>
      </w:r>
    </w:p>
    <w:p>
      <w:pPr>
        <w:pStyle w:val="Normal"/>
        <w:jc w:val="both"/>
        <w:rPr>
          <w:rFonts w:ascii="Arial" w:hAnsi="Arial" w:cs="Arial"/>
          <w:sz w:val="18"/>
          <w:szCs w:val="18"/>
          <w:lang w:val="en-GB"/>
        </w:rPr>
      </w:pPr>
      <w:r>
        <w:rPr>
          <w:rFonts w:cs="Arial" w:ascii="Arial" w:hAnsi="Arial"/>
          <w:sz w:val="18"/>
          <w:szCs w:val="18"/>
          <w:lang w:val="en-GB"/>
        </w:rPr>
      </w:r>
    </w:p>
    <w:p>
      <w:pPr>
        <w:pStyle w:val="Normal"/>
        <w:jc w:val="both"/>
        <w:rPr>
          <w:rFonts w:ascii="Arial" w:hAnsi="Arial" w:cs="Arial"/>
          <w:sz w:val="18"/>
          <w:szCs w:val="18"/>
          <w:lang w:val="en-GB"/>
        </w:rPr>
      </w:pPr>
      <w:r>
        <w:rPr>
          <w:rFonts w:cs="Arial" w:ascii="Arial" w:hAnsi="Arial"/>
          <w:sz w:val="18"/>
          <w:szCs w:val="18"/>
          <w:lang w:val="en-GB"/>
        </w:rPr>
      </w:r>
    </w:p>
    <w:p>
      <w:pPr>
        <w:pStyle w:val="Normal"/>
        <w:jc w:val="both"/>
        <w:rPr>
          <w:rFonts w:ascii="Arial" w:hAnsi="Arial" w:cs="Arial"/>
          <w:sz w:val="18"/>
          <w:szCs w:val="18"/>
          <w:lang w:val="en-GB"/>
        </w:rPr>
      </w:pPr>
      <w:r>
        <w:rPr>
          <w:rFonts w:cs="Arial" w:ascii="Arial" w:hAnsi="Arial"/>
          <w:sz w:val="18"/>
          <w:szCs w:val="18"/>
          <w:lang w:val="en-GB"/>
        </w:rPr>
      </w:r>
    </w:p>
    <w:p>
      <w:pPr>
        <w:pStyle w:val="Normal"/>
        <w:jc w:val="both"/>
        <w:rPr>
          <w:rFonts w:ascii="Arial" w:hAnsi="Arial" w:cs="Arial"/>
          <w:sz w:val="18"/>
          <w:szCs w:val="18"/>
          <w:lang w:val="en-GB"/>
        </w:rPr>
      </w:pPr>
      <w:r>
        <w:rPr>
          <w:rFonts w:cs="Arial" w:ascii="Arial" w:hAnsi="Arial"/>
          <w:sz w:val="18"/>
          <w:szCs w:val="18"/>
          <w:lang w:val="en-GB"/>
        </w:rPr>
      </w:r>
    </w:p>
    <w:p>
      <w:pPr>
        <w:pStyle w:val="Normal"/>
        <w:jc w:val="both"/>
        <w:rPr>
          <w:rFonts w:ascii="Arial" w:hAnsi="Arial" w:cs="Arial"/>
          <w:sz w:val="18"/>
          <w:szCs w:val="18"/>
          <w:lang w:val="en-GB"/>
        </w:rPr>
      </w:pPr>
      <w:r>
        <w:rPr>
          <w:rFonts w:cs="Arial" w:ascii="Arial" w:hAnsi="Arial"/>
          <w:sz w:val="18"/>
          <w:szCs w:val="18"/>
          <w:lang w:val="en-GB"/>
        </w:rPr>
      </w:r>
    </w:p>
    <w:p>
      <w:pPr>
        <w:pStyle w:val="Normal"/>
        <w:jc w:val="both"/>
        <w:rPr>
          <w:rFonts w:ascii="Arial" w:hAnsi="Arial" w:cs="Arial"/>
          <w:sz w:val="18"/>
          <w:szCs w:val="18"/>
          <w:lang w:val="en-GB"/>
        </w:rPr>
      </w:pPr>
      <w:r>
        <w:rPr>
          <w:rFonts w:cs="Arial" w:ascii="Arial" w:hAnsi="Arial"/>
          <w:sz w:val="18"/>
          <w:szCs w:val="18"/>
          <w:lang w:val="en-GB"/>
        </w:rPr>
      </w:r>
    </w:p>
    <w:p>
      <w:pPr>
        <w:pStyle w:val="Normal"/>
        <w:jc w:val="both"/>
        <w:rPr>
          <w:rFonts w:ascii="Arial" w:hAnsi="Arial" w:cs="Arial"/>
          <w:sz w:val="18"/>
          <w:szCs w:val="18"/>
          <w:lang w:val="en-GB"/>
        </w:rPr>
      </w:pPr>
      <w:r>
        <w:rPr>
          <w:rFonts w:cs="Arial" w:ascii="Arial" w:hAnsi="Arial"/>
          <w:sz w:val="18"/>
          <w:szCs w:val="18"/>
          <w:lang w:val="en-GB"/>
        </w:rPr>
      </w:r>
    </w:p>
    <w:p>
      <w:pPr>
        <w:pStyle w:val="Normal"/>
        <w:jc w:val="both"/>
        <w:rPr>
          <w:rFonts w:ascii="Arial" w:hAnsi="Arial" w:cs="Arial"/>
          <w:sz w:val="18"/>
          <w:szCs w:val="18"/>
          <w:lang w:val="en-GB"/>
        </w:rPr>
      </w:pPr>
      <w:r>
        <w:rPr>
          <w:rFonts w:cs="Arial" w:ascii="Arial" w:hAnsi="Arial"/>
          <w:sz w:val="18"/>
          <w:szCs w:val="18"/>
          <w:lang w:val="en-GB"/>
        </w:rPr>
      </w:r>
    </w:p>
    <w:p>
      <w:pPr>
        <w:pStyle w:val="Normal"/>
        <w:jc w:val="both"/>
        <w:rPr>
          <w:rFonts w:ascii="Arial" w:hAnsi="Arial" w:cs="Arial"/>
          <w:sz w:val="18"/>
          <w:szCs w:val="18"/>
          <w:lang w:val="en-GB"/>
        </w:rPr>
      </w:pPr>
      <w:r>
        <w:rPr>
          <w:rFonts w:cs="Arial" w:ascii="Arial" w:hAnsi="Arial"/>
          <w:sz w:val="18"/>
          <w:szCs w:val="18"/>
          <w:lang w:val="en-GB"/>
        </w:rPr>
      </w:r>
    </w:p>
    <w:p>
      <w:pPr>
        <w:pStyle w:val="Normal"/>
        <w:jc w:val="both"/>
        <w:rPr>
          <w:rFonts w:ascii="Arial" w:hAnsi="Arial" w:cs="Arial"/>
          <w:sz w:val="18"/>
          <w:szCs w:val="18"/>
          <w:lang w:val="en-GB"/>
        </w:rPr>
      </w:pPr>
      <w:r>
        <w:rPr>
          <w:rFonts w:cs="Arial" w:ascii="Arial" w:hAnsi="Arial"/>
          <w:sz w:val="18"/>
          <w:szCs w:val="18"/>
          <w:lang w:val="en-GB"/>
        </w:rPr>
      </w:r>
    </w:p>
    <w:p>
      <w:pPr>
        <w:pStyle w:val="Normal"/>
        <w:jc w:val="both"/>
        <w:rPr>
          <w:rFonts w:ascii="Arial" w:hAnsi="Arial" w:cs="Arial"/>
          <w:sz w:val="18"/>
          <w:szCs w:val="18"/>
          <w:lang w:val="en-GB"/>
        </w:rPr>
      </w:pPr>
      <w:r>
        <w:rPr>
          <w:rFonts w:cs="Arial" w:ascii="Arial" w:hAnsi="Arial"/>
          <w:sz w:val="18"/>
          <w:szCs w:val="18"/>
          <w:lang w:val="en-GB"/>
        </w:rPr>
      </w:r>
    </w:p>
    <w:p>
      <w:pPr>
        <w:pStyle w:val="Normal"/>
        <w:jc w:val="both"/>
        <w:rPr>
          <w:rFonts w:ascii="Arial" w:hAnsi="Arial" w:cs="Arial"/>
          <w:sz w:val="18"/>
          <w:szCs w:val="18"/>
          <w:lang w:val="en-GB"/>
        </w:rPr>
      </w:pPr>
      <w:r>
        <w:rPr>
          <w:rFonts w:cs="Arial" w:ascii="Arial" w:hAnsi="Arial"/>
          <w:sz w:val="18"/>
          <w:szCs w:val="18"/>
          <w:lang w:val="en-GB"/>
        </w:rPr>
      </w:r>
    </w:p>
    <w:p>
      <w:pPr>
        <w:pStyle w:val="Normal"/>
        <w:spacing w:lineRule="auto" w:line="360"/>
        <w:jc w:val="both"/>
        <w:rPr>
          <w:rFonts w:ascii="Arial" w:hAnsi="Arial" w:cs="Arial"/>
          <w:b/>
          <w:b/>
          <w:bCs/>
          <w:sz w:val="18"/>
          <w:szCs w:val="18"/>
          <w:lang w:val="en-GB"/>
        </w:rPr>
      </w:pPr>
      <w:r>
        <w:rPr>
          <w:rFonts w:cs="Arial" w:ascii="Arial" w:hAnsi="Arial"/>
          <w:b/>
          <w:bCs/>
          <w:sz w:val="18"/>
          <w:szCs w:val="18"/>
          <w:lang w:val="en-GB"/>
        </w:rPr>
      </w:r>
    </w:p>
    <w:p>
      <w:pPr>
        <w:pStyle w:val="Normal"/>
        <w:spacing w:lineRule="auto" w:line="360"/>
        <w:jc w:val="both"/>
        <w:rPr>
          <w:rFonts w:ascii="Arial" w:hAnsi="Arial" w:cs="Arial"/>
          <w:b/>
          <w:b/>
          <w:bCs/>
          <w:sz w:val="18"/>
          <w:szCs w:val="18"/>
          <w:lang w:val="en-GB"/>
        </w:rPr>
      </w:pPr>
      <w:r>
        <w:rPr>
          <w:rFonts w:cs="Arial" w:ascii="Arial" w:hAnsi="Arial"/>
          <w:b/>
          <w:bCs/>
          <w:sz w:val="18"/>
          <w:szCs w:val="18"/>
          <w:lang w:val="en-GB"/>
        </w:rPr>
      </w:r>
    </w:p>
    <w:p>
      <w:pPr>
        <w:pStyle w:val="Normal"/>
        <w:spacing w:lineRule="auto" w:line="360"/>
        <w:jc w:val="both"/>
        <w:rPr>
          <w:rFonts w:ascii="Arial" w:hAnsi="Arial" w:cs="Arial"/>
          <w:b/>
          <w:b/>
          <w:bCs/>
          <w:sz w:val="18"/>
          <w:szCs w:val="18"/>
          <w:lang w:val="en-GB"/>
        </w:rPr>
      </w:pPr>
      <w:r>
        <w:rPr>
          <w:rFonts w:cs="Arial" w:ascii="Arial" w:hAnsi="Arial"/>
          <w:b/>
          <w:bCs/>
          <w:sz w:val="18"/>
          <w:szCs w:val="18"/>
          <w:lang w:val="en-GB"/>
        </w:rPr>
      </w:r>
    </w:p>
    <w:p>
      <w:pPr>
        <w:pStyle w:val="Normal"/>
        <w:spacing w:lineRule="auto" w:line="360"/>
        <w:jc w:val="both"/>
        <w:rPr>
          <w:rFonts w:ascii="Arial" w:hAnsi="Arial" w:cs="Arial"/>
          <w:b/>
          <w:b/>
          <w:bCs/>
          <w:sz w:val="18"/>
          <w:szCs w:val="18"/>
          <w:lang w:val="en-GB"/>
        </w:rPr>
      </w:pPr>
      <w:r>
        <w:rPr>
          <w:rFonts w:cs="Arial" w:ascii="Arial" w:hAnsi="Arial"/>
          <w:b/>
          <w:bCs/>
          <w:sz w:val="18"/>
          <w:szCs w:val="18"/>
          <w:lang w:val="en-GB"/>
        </w:rPr>
      </w:r>
    </w:p>
    <w:p>
      <w:pPr>
        <w:pStyle w:val="Normal"/>
        <w:spacing w:lineRule="auto" w:line="360"/>
        <w:jc w:val="both"/>
        <w:rPr>
          <w:rFonts w:ascii="Arial" w:hAnsi="Arial" w:cs="Arial"/>
          <w:b/>
          <w:b/>
          <w:bCs/>
          <w:sz w:val="18"/>
          <w:szCs w:val="18"/>
          <w:lang w:val="en-GB"/>
        </w:rPr>
      </w:pPr>
      <w:r>
        <w:rPr>
          <w:rFonts w:cs="Arial" w:ascii="Arial" w:hAnsi="Arial"/>
          <w:b/>
          <w:bCs/>
          <w:sz w:val="18"/>
          <w:szCs w:val="18"/>
          <w:lang w:val="en-GB"/>
        </w:rPr>
      </w:r>
    </w:p>
    <w:p>
      <w:pPr>
        <w:pStyle w:val="Normal"/>
        <w:spacing w:lineRule="auto" w:line="360"/>
        <w:jc w:val="both"/>
        <w:rPr>
          <w:rFonts w:ascii="Arial" w:hAnsi="Arial" w:cs="Arial"/>
          <w:b/>
          <w:b/>
          <w:bCs/>
          <w:sz w:val="18"/>
          <w:szCs w:val="18"/>
          <w:lang w:val="en-GB"/>
        </w:rPr>
      </w:pPr>
      <w:r>
        <w:rPr/>
        <w:drawing>
          <wp:inline distT="0" distB="0" distL="0" distR="0">
            <wp:extent cx="5731510" cy="7164705"/>
            <wp:effectExtent l="0" t="0" r="0" b="0"/>
            <wp:docPr id="5" name="Picture 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3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164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360"/>
        <w:jc w:val="both"/>
        <w:rPr>
          <w:rFonts w:ascii="Arial" w:hAnsi="Arial" w:cs="Arial"/>
          <w:b/>
          <w:b/>
          <w:bCs/>
          <w:color w:val="000000"/>
          <w:sz w:val="20"/>
          <w:szCs w:val="20"/>
          <w:lang w:val="en-GB"/>
        </w:rPr>
      </w:pPr>
      <w:r>
        <w:rPr>
          <w:rFonts w:cs="Arial" w:ascii="Arial" w:hAnsi="Arial"/>
          <w:b/>
          <w:bCs/>
          <w:sz w:val="20"/>
          <w:szCs w:val="20"/>
          <w:lang w:val="en-GB"/>
        </w:rPr>
        <w:t>Supplementary Figure 5:</w:t>
      </w:r>
      <w:r>
        <w:rPr>
          <w:rFonts w:cs="Arial" w:ascii="Arial" w:hAnsi="Arial"/>
          <w:sz w:val="20"/>
          <w:szCs w:val="20"/>
          <w:lang w:val="en-GB"/>
        </w:rPr>
        <w:t xml:space="preserve"> </w:t>
      </w:r>
      <w:r>
        <w:rPr>
          <w:rFonts w:cs="Arial" w:ascii="Arial" w:hAnsi="Arial"/>
          <w:b/>
          <w:bCs/>
          <w:sz w:val="20"/>
          <w:szCs w:val="20"/>
          <w:lang w:val="en-GB"/>
        </w:rPr>
        <w:t>Heatmap of the relative abundance of the phyla and genera in humans</w:t>
      </w:r>
      <w:r>
        <w:rPr>
          <w:rFonts w:cs="Arial" w:ascii="Arial" w:hAnsi="Arial"/>
          <w:sz w:val="20"/>
          <w:szCs w:val="20"/>
          <w:lang w:val="en-GB"/>
        </w:rPr>
        <w:t xml:space="preserve">. On the y-axis the genus and phyla and the x-axis each column represent one sample. Samples were grouped by sample types. </w:t>
      </w:r>
    </w:p>
    <w:p>
      <w:pPr>
        <w:pStyle w:val="Normal"/>
        <w:spacing w:lineRule="auto" w:line="360"/>
        <w:jc w:val="both"/>
        <w:rPr>
          <w:rFonts w:ascii="Arial" w:hAnsi="Arial" w:cs="Arial"/>
          <w:sz w:val="15"/>
          <w:szCs w:val="15"/>
          <w:lang w:val="en-GB"/>
        </w:rPr>
      </w:pPr>
      <w:r>
        <w:rPr>
          <w:rFonts w:cs="Arial" w:ascii="Arial" w:hAnsi="Arial"/>
          <w:sz w:val="15"/>
          <w:szCs w:val="15"/>
          <w:lang w:val="en-GB"/>
        </w:rPr>
        <w:drawing>
          <wp:anchor behindDoc="0" distT="0" distB="0" distL="114300" distR="114300" simplePos="0" locked="0" layoutInCell="1" allowOverlap="1" relativeHeight="3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4892675" cy="4832985"/>
            <wp:effectExtent l="0" t="0" r="0" b="0"/>
            <wp:wrapSquare wrapText="bothSides"/>
            <wp:docPr id="6" name="Image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" descr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0" t="0" r="0" b="135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2675" cy="4832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360"/>
        <w:jc w:val="both"/>
        <w:rPr>
          <w:rFonts w:ascii="Arial" w:hAnsi="Arial" w:cs="Arial"/>
          <w:sz w:val="15"/>
          <w:szCs w:val="15"/>
          <w:lang w:val="en-GB"/>
        </w:rPr>
      </w:pPr>
      <w:r>
        <w:rPr>
          <w:rFonts w:cs="Arial" w:ascii="Arial" w:hAnsi="Arial"/>
          <w:sz w:val="15"/>
          <w:szCs w:val="15"/>
          <w:lang w:val="en-GB"/>
        </w:rPr>
      </w:r>
    </w:p>
    <w:p>
      <w:pPr>
        <w:pStyle w:val="Normal"/>
        <w:spacing w:lineRule="auto" w:line="360"/>
        <w:jc w:val="both"/>
        <w:rPr>
          <w:rFonts w:ascii="Arial" w:hAnsi="Arial" w:cs="Arial"/>
          <w:sz w:val="15"/>
          <w:szCs w:val="15"/>
          <w:lang w:val="en-GB"/>
        </w:rPr>
      </w:pPr>
      <w:r>
        <w:rPr>
          <w:rFonts w:cs="Arial" w:ascii="Arial" w:hAnsi="Arial"/>
          <w:sz w:val="15"/>
          <w:szCs w:val="15"/>
          <w:lang w:val="en-GB"/>
        </w:rPr>
      </w:r>
    </w:p>
    <w:p>
      <w:pPr>
        <w:pStyle w:val="Normal"/>
        <w:spacing w:lineRule="auto" w:line="360"/>
        <w:jc w:val="both"/>
        <w:rPr>
          <w:rFonts w:ascii="Arial" w:hAnsi="Arial" w:cs="Arial"/>
          <w:sz w:val="15"/>
          <w:szCs w:val="15"/>
          <w:lang w:val="en-GB"/>
        </w:rPr>
      </w:pPr>
      <w:r>
        <w:rPr>
          <w:rFonts w:cs="Arial" w:ascii="Arial" w:hAnsi="Arial"/>
          <w:sz w:val="15"/>
          <w:szCs w:val="15"/>
          <w:lang w:val="en-GB"/>
        </w:rPr>
      </w:r>
    </w:p>
    <w:p>
      <w:pPr>
        <w:pStyle w:val="Normal"/>
        <w:spacing w:lineRule="auto" w:line="360"/>
        <w:jc w:val="both"/>
        <w:rPr>
          <w:rFonts w:ascii="Arial" w:hAnsi="Arial" w:cs="Arial"/>
          <w:sz w:val="15"/>
          <w:szCs w:val="15"/>
          <w:lang w:val="en-GB"/>
        </w:rPr>
      </w:pPr>
      <w:r>
        <w:rPr>
          <w:rFonts w:cs="Arial" w:ascii="Arial" w:hAnsi="Arial"/>
          <w:sz w:val="15"/>
          <w:szCs w:val="15"/>
          <w:lang w:val="en-GB"/>
        </w:rPr>
      </w:r>
    </w:p>
    <w:p>
      <w:pPr>
        <w:pStyle w:val="Normal"/>
        <w:spacing w:lineRule="auto" w:line="360"/>
        <w:jc w:val="both"/>
        <w:rPr>
          <w:rFonts w:ascii="Arial" w:hAnsi="Arial" w:cs="Arial"/>
          <w:sz w:val="15"/>
          <w:szCs w:val="15"/>
          <w:lang w:val="en-GB"/>
        </w:rPr>
      </w:pPr>
      <w:r>
        <w:rPr>
          <w:rFonts w:cs="Arial" w:ascii="Arial" w:hAnsi="Arial"/>
          <w:sz w:val="15"/>
          <w:szCs w:val="15"/>
          <w:lang w:val="en-GB"/>
        </w:rPr>
      </w:r>
    </w:p>
    <w:p>
      <w:pPr>
        <w:pStyle w:val="Normal"/>
        <w:spacing w:lineRule="auto" w:line="360"/>
        <w:jc w:val="both"/>
        <w:rPr>
          <w:rFonts w:ascii="Arial" w:hAnsi="Arial" w:cs="Arial"/>
          <w:sz w:val="15"/>
          <w:szCs w:val="15"/>
          <w:lang w:val="en-GB"/>
        </w:rPr>
      </w:pPr>
      <w:r>
        <w:rPr>
          <w:rFonts w:cs="Arial" w:ascii="Arial" w:hAnsi="Arial"/>
          <w:sz w:val="15"/>
          <w:szCs w:val="15"/>
          <w:lang w:val="en-GB"/>
        </w:rPr>
      </w:r>
    </w:p>
    <w:p>
      <w:pPr>
        <w:pStyle w:val="Normal"/>
        <w:spacing w:lineRule="auto" w:line="360"/>
        <w:jc w:val="both"/>
        <w:rPr>
          <w:rFonts w:ascii="Arial" w:hAnsi="Arial" w:cs="Arial"/>
          <w:sz w:val="15"/>
          <w:szCs w:val="15"/>
          <w:lang w:val="en-GB"/>
        </w:rPr>
      </w:pPr>
      <w:r>
        <w:rPr>
          <w:rFonts w:cs="Arial" w:ascii="Arial" w:hAnsi="Arial"/>
          <w:sz w:val="15"/>
          <w:szCs w:val="15"/>
          <w:lang w:val="en-GB"/>
        </w:rPr>
      </w:r>
    </w:p>
    <w:p>
      <w:pPr>
        <w:pStyle w:val="Normal"/>
        <w:spacing w:lineRule="auto" w:line="360"/>
        <w:jc w:val="both"/>
        <w:rPr>
          <w:rFonts w:ascii="Arial" w:hAnsi="Arial" w:cs="Arial"/>
          <w:sz w:val="15"/>
          <w:szCs w:val="15"/>
          <w:lang w:val="en-GB"/>
        </w:rPr>
      </w:pPr>
      <w:r>
        <w:rPr>
          <w:rFonts w:cs="Arial" w:ascii="Arial" w:hAnsi="Arial"/>
          <w:sz w:val="15"/>
          <w:szCs w:val="15"/>
          <w:lang w:val="en-GB"/>
        </w:rPr>
      </w:r>
    </w:p>
    <w:p>
      <w:pPr>
        <w:pStyle w:val="Normal"/>
        <w:spacing w:lineRule="auto" w:line="360"/>
        <w:jc w:val="both"/>
        <w:rPr>
          <w:rFonts w:ascii="Arial" w:hAnsi="Arial" w:cs="Arial"/>
          <w:sz w:val="15"/>
          <w:szCs w:val="15"/>
          <w:lang w:val="en-GB"/>
        </w:rPr>
      </w:pPr>
      <w:r>
        <w:rPr>
          <w:rFonts w:cs="Arial" w:ascii="Arial" w:hAnsi="Arial"/>
          <w:sz w:val="15"/>
          <w:szCs w:val="15"/>
          <w:lang w:val="en-GB"/>
        </w:rPr>
      </w:r>
    </w:p>
    <w:p>
      <w:pPr>
        <w:pStyle w:val="Normal"/>
        <w:spacing w:lineRule="auto" w:line="360"/>
        <w:jc w:val="both"/>
        <w:rPr>
          <w:rFonts w:ascii="Arial" w:hAnsi="Arial" w:cs="Arial"/>
          <w:sz w:val="15"/>
          <w:szCs w:val="15"/>
          <w:lang w:val="en-GB"/>
        </w:rPr>
      </w:pPr>
      <w:r>
        <w:rPr>
          <w:rFonts w:cs="Arial" w:ascii="Arial" w:hAnsi="Arial"/>
          <w:sz w:val="15"/>
          <w:szCs w:val="15"/>
          <w:lang w:val="en-GB"/>
        </w:rPr>
      </w:r>
    </w:p>
    <w:p>
      <w:pPr>
        <w:pStyle w:val="Normal"/>
        <w:spacing w:lineRule="auto" w:line="360"/>
        <w:jc w:val="both"/>
        <w:rPr>
          <w:rFonts w:ascii="Arial" w:hAnsi="Arial" w:cs="Arial"/>
          <w:sz w:val="15"/>
          <w:szCs w:val="15"/>
          <w:lang w:val="en-GB"/>
        </w:rPr>
      </w:pPr>
      <w:r>
        <w:rPr>
          <w:rFonts w:cs="Arial" w:ascii="Arial" w:hAnsi="Arial"/>
          <w:sz w:val="15"/>
          <w:szCs w:val="15"/>
          <w:lang w:val="en-GB"/>
        </w:rPr>
      </w:r>
    </w:p>
    <w:p>
      <w:pPr>
        <w:pStyle w:val="Normal"/>
        <w:spacing w:lineRule="auto" w:line="360"/>
        <w:jc w:val="both"/>
        <w:rPr>
          <w:rFonts w:ascii="Arial" w:hAnsi="Arial" w:cs="Arial"/>
          <w:b/>
          <w:b/>
          <w:bCs/>
          <w:sz w:val="18"/>
          <w:szCs w:val="18"/>
          <w:lang w:val="en-GB"/>
        </w:rPr>
      </w:pPr>
      <w:r>
        <w:rPr>
          <w:rFonts w:cs="Arial" w:ascii="Arial" w:hAnsi="Arial"/>
          <w:b/>
          <w:bCs/>
          <w:sz w:val="18"/>
          <w:szCs w:val="18"/>
          <w:lang w:val="en-GB"/>
        </w:rPr>
      </w:r>
    </w:p>
    <w:p>
      <w:pPr>
        <w:pStyle w:val="Normal"/>
        <w:spacing w:lineRule="auto" w:line="360"/>
        <w:jc w:val="both"/>
        <w:rPr>
          <w:rFonts w:ascii="Arial" w:hAnsi="Arial" w:cs="Arial"/>
          <w:sz w:val="20"/>
          <w:szCs w:val="20"/>
          <w:lang w:val="en-GB"/>
        </w:rPr>
      </w:pPr>
      <w:r>
        <w:rPr>
          <w:rFonts w:cs="Arial" w:ascii="Arial" w:hAnsi="Arial"/>
          <w:b/>
          <w:bCs/>
          <w:sz w:val="20"/>
          <w:szCs w:val="20"/>
          <w:lang w:val="en-GB"/>
        </w:rPr>
        <w:t>Supplementary Figure 6:</w:t>
      </w:r>
      <w:r>
        <w:rPr>
          <w:rFonts w:cs="Arial" w:ascii="Arial" w:hAnsi="Arial"/>
          <w:sz w:val="20"/>
          <w:szCs w:val="20"/>
          <w:lang w:val="en-GB"/>
        </w:rPr>
        <w:t xml:space="preserve"> </w:t>
      </w:r>
      <w:r>
        <w:rPr>
          <w:rFonts w:cs="Arial" w:ascii="Arial" w:hAnsi="Arial"/>
          <w:b/>
          <w:bCs/>
          <w:sz w:val="20"/>
          <w:szCs w:val="20"/>
          <w:lang w:val="en-GB"/>
        </w:rPr>
        <w:t>Comparison of the abundance of Firmicutes and Bacteroidota between the sample types within the different subsegments in mice</w:t>
      </w:r>
      <w:r>
        <w:rPr>
          <w:rFonts w:cs="Arial" w:ascii="Arial" w:hAnsi="Arial"/>
          <w:sz w:val="20"/>
          <w:szCs w:val="20"/>
          <w:lang w:val="en-GB"/>
        </w:rPr>
        <w:t xml:space="preserve">. X-axis (bottom) represents the sample types classification, x-axis (upper) classficiation per subsegment of the sample types, y-axis (left) represents the relative abundance, y-axis (right) classification of the Firmicutes or Bacteroidota. IC: intestinal content; MucW: Mucosal washes. </w:t>
      </w:r>
    </w:p>
    <w:p>
      <w:pPr>
        <w:pStyle w:val="Normal"/>
        <w:spacing w:lineRule="auto" w:line="360"/>
        <w:jc w:val="both"/>
        <w:rPr>
          <w:rFonts w:ascii="Arial" w:hAnsi="Arial" w:cs="Arial"/>
          <w:sz w:val="15"/>
          <w:szCs w:val="15"/>
          <w:lang w:val="en-GB"/>
        </w:rPr>
      </w:pPr>
      <w:r>
        <w:rPr>
          <w:rFonts w:cs="Arial" w:ascii="Arial" w:hAnsi="Arial"/>
          <w:sz w:val="15"/>
          <w:szCs w:val="15"/>
          <w:lang w:val="en-GB"/>
        </w:rPr>
      </w:r>
    </w:p>
    <w:p>
      <w:pPr>
        <w:pStyle w:val="Normal"/>
        <w:spacing w:lineRule="auto" w:line="360"/>
        <w:jc w:val="both"/>
        <w:rPr>
          <w:rFonts w:ascii="Arial" w:hAnsi="Arial" w:cs="Arial"/>
          <w:sz w:val="15"/>
          <w:szCs w:val="15"/>
          <w:lang w:val="en-GB"/>
        </w:rPr>
      </w:pPr>
      <w:r>
        <w:rPr/>
      </w:r>
    </w:p>
    <w:sectPr>
      <w:type w:val="nextPage"/>
      <w:pgSz w:w="11906" w:h="16838"/>
      <w:pgMar w:left="1440" w:right="1440" w:header="0" w:top="1440" w:footer="0" w:bottom="1440" w:gutter="0"/>
      <w:pgNumType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Calibri Light">
    <w:charset w:val="01"/>
    <w:family w:val="roman"/>
    <w:pitch w:val="variable"/>
  </w:font>
  <w:font w:name="Liberation Sans">
    <w:altName w:val="Arial"/>
    <w:charset w:val="01"/>
    <w:family w:val="swiss"/>
    <w:pitch w:val="variable"/>
  </w:font>
  <w:font w:name="Times New Roman">
    <w:charset w:val="01"/>
    <w:family w:val="roman"/>
    <w:pitch w:val="variable"/>
  </w:font>
  <w:font w:name="Arial">
    <w:charset w:val="01"/>
    <w:family w:val="roman"/>
    <w:pitch w:val="variable"/>
  </w:font>
  <w:font w:name="OpenSymbol">
    <w:altName w:val="Arial Unicode MS"/>
    <w:charset w:val="01"/>
    <w:family w:val="auto"/>
    <w:pitch w:val="variable"/>
  </w:font>
  <w:font w:name="Wingdings">
    <w:charset w:val="02"/>
    <w:family w:val="auto"/>
    <w:pitch w:val="default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bullet"/>
      <w:lvlText w:val="❖"/>
      <w:lvlJc w:val="left"/>
      <w:pPr>
        <w:tabs>
          <w:tab w:val="num" w:pos="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bullet"/>
      <w:lvlText w:val=""/>
      <w:lvlJc w:val="left"/>
      <w:pPr>
        <w:tabs>
          <w:tab w:val="num" w:pos="0"/>
        </w:tabs>
        <w:ind w:left="1440" w:hanging="360"/>
      </w:pPr>
      <w:rPr>
        <w:rFonts w:ascii="Wingdings" w:hAnsi="Wingdings" w:cs="Wingdings" w:hint="default"/>
      </w:rPr>
    </w:lvl>
    <w:lvl w:ilvl="2">
      <w:start w:val="1"/>
      <w:numFmt w:val="bullet"/>
      <w:lvlText w:val="■"/>
      <w:lvlJc w:val="left"/>
      <w:pPr>
        <w:tabs>
          <w:tab w:val="num" w:pos="0"/>
        </w:tabs>
        <w:ind w:left="216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"/>
      <w:lvlJc w:val="left"/>
      <w:pPr>
        <w:tabs>
          <w:tab w:val="num" w:pos="0"/>
        </w:tabs>
        <w:ind w:left="2880" w:hanging="360"/>
      </w:pPr>
      <w:rPr>
        <w:rFonts w:ascii="Wingdings" w:hAnsi="Wingdings" w:cs="Wingdings" w:hint="default"/>
      </w:rPr>
    </w:lvl>
    <w:lvl w:ilvl="4">
      <w:start w:val="1"/>
      <w:numFmt w:val="bullet"/>
      <w:lvlText w:val="◆"/>
      <w:lvlJc w:val="left"/>
      <w:pPr>
        <w:tabs>
          <w:tab w:val="num" w:pos="0"/>
        </w:tabs>
        <w:ind w:left="360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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■"/>
      <w:lvlJc w:val="left"/>
      <w:pPr>
        <w:tabs>
          <w:tab w:val="num" w:pos="0"/>
        </w:tabs>
        <w:ind w:left="5040" w:hanging="360"/>
      </w:pPr>
      <w:rPr>
        <w:rFonts w:ascii="OpenSymbol" w:hAnsi="OpenSymbol" w:cs="OpenSymbol" w:hint="default"/>
      </w:rPr>
    </w:lvl>
    <w:lvl w:ilvl="7">
      <w:start w:val="1"/>
      <w:numFmt w:val="bullet"/>
      <w:lvlText w:val=""/>
      <w:lvlJc w:val="left"/>
      <w:pPr>
        <w:tabs>
          <w:tab w:val="num" w:pos="0"/>
        </w:tabs>
        <w:ind w:left="5760" w:hanging="360"/>
      </w:pPr>
      <w:rPr>
        <w:rFonts w:ascii="Wingdings" w:hAnsi="Wingdings" w:cs="Wingdings" w:hint="default"/>
      </w:rPr>
    </w:lvl>
    <w:lvl w:ilvl="8">
      <w:start w:val="1"/>
      <w:numFmt w:val="bullet"/>
      <w:lvlText w:val="◆"/>
      <w:lvlJc w:val="left"/>
      <w:pPr>
        <w:tabs>
          <w:tab w:val="num" w:pos="0"/>
        </w:tabs>
        <w:ind w:left="6480" w:hanging="360"/>
      </w:pPr>
      <w:rPr>
        <w:rFonts w:ascii="OpenSymbol" w:hAnsi="OpenSymbol" w:cs="OpenSymbol" w:hint="default"/>
      </w:rPr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196"/>
  <w:defaultTabStop w:val="720"/>
  <w:autoHyphenation w:val="true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themeFontLang w:val="en-DE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kern w:val="2"/>
        <w:sz w:val="24"/>
        <w:szCs w:val="24"/>
        <w:lang w:val="en-DE" w:eastAsia="en-US" w:bidi="ar-SA"/>
        <w14:ligatures w14:val="standardContextual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pPr>
      <w:widowControl/>
      <w:bidi w:val="0"/>
      <w:spacing w:before="0" w:after="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2"/>
      <w:sz w:val="24"/>
      <w:szCs w:val="24"/>
      <w:lang w:val="en-DE" w:eastAsia="en-US" w:bidi="ar-SA"/>
      <w14:ligatures w14:val="standardContextu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fa7a5c"/>
    <w:pPr>
      <w:keepNext w:val="true"/>
      <w:keepLines/>
      <w:spacing w:before="240" w:after="0"/>
      <w:outlineLvl w:val="0"/>
    </w:pPr>
    <w:rPr>
      <w:rFonts w:ascii="Calibri Light" w:hAnsi="Calibri Light" w:eastAsia="" w:cs="" w:asciiTheme="majorHAnsi" w:cstheme="majorBidi" w:eastAsiaTheme="majorEastAsia" w:hAnsiTheme="majorHAnsi"/>
      <w:color w:val="2F5496" w:themeColor="accent1" w:themeShade="bf"/>
      <w:sz w:val="32"/>
      <w:szCs w:val="32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InternetLink">
    <w:name w:val="Hyperlink"/>
    <w:basedOn w:val="DefaultParagraphFont"/>
    <w:uiPriority w:val="99"/>
    <w:unhideWhenUsed/>
    <w:rsid w:val="00c16a14"/>
    <w:rPr>
      <w:color w:val="0563C1" w:themeColor="hyperlink"/>
      <w:u w:val="single"/>
    </w:rPr>
  </w:style>
  <w:style w:type="character" w:styleId="HeaderChar" w:customStyle="1">
    <w:name w:val="Header Char"/>
    <w:basedOn w:val="DefaultParagraphFont"/>
    <w:link w:val="Header"/>
    <w:uiPriority w:val="99"/>
    <w:qFormat/>
    <w:rsid w:val="00786325"/>
    <w:rPr/>
  </w:style>
  <w:style w:type="character" w:styleId="FooterChar" w:customStyle="1">
    <w:name w:val="Footer Char"/>
    <w:basedOn w:val="DefaultParagraphFont"/>
    <w:link w:val="Footer"/>
    <w:uiPriority w:val="99"/>
    <w:qFormat/>
    <w:rsid w:val="00786325"/>
    <w:rPr/>
  </w:style>
  <w:style w:type="character" w:styleId="Heading1Char" w:customStyle="1">
    <w:name w:val="Heading 1 Char"/>
    <w:basedOn w:val="DefaultParagraphFont"/>
    <w:link w:val="Heading1"/>
    <w:uiPriority w:val="9"/>
    <w:qFormat/>
    <w:rsid w:val="00fa7a5c"/>
    <w:rPr>
      <w:rFonts w:ascii="Calibri Light" w:hAnsi="Calibri Light" w:eastAsia="" w:cs="" w:asciiTheme="majorHAnsi" w:cstheme="majorBidi" w:eastAsiaTheme="majorEastAsia" w:hAnsiTheme="majorHAnsi"/>
      <w:color w:val="2F5496" w:themeColor="accent1" w:themeShade="bf"/>
      <w:sz w:val="32"/>
      <w:szCs w:val="32"/>
    </w:rPr>
  </w:style>
  <w:style w:type="character" w:styleId="CommentTextChar" w:customStyle="1">
    <w:name w:val="Comment Text Char"/>
    <w:basedOn w:val="DefaultParagraphFont"/>
    <w:link w:val="CommentText"/>
    <w:uiPriority w:val="99"/>
    <w:semiHidden/>
    <w:qFormat/>
    <w:rPr>
      <w:sz w:val="20"/>
      <w:szCs w:val="20"/>
    </w:rPr>
  </w:style>
  <w:style w:type="character" w:styleId="Annotationreference">
    <w:name w:val="annotation reference"/>
    <w:basedOn w:val="DefaultParagraphFont"/>
    <w:uiPriority w:val="99"/>
    <w:semiHidden/>
    <w:unhideWhenUsed/>
    <w:qFormat/>
    <w:rPr>
      <w:sz w:val="16"/>
      <w:szCs w:val="16"/>
    </w:rPr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" w:hAnsi="Liberation Sans" w:eastAsia="Noto Sans CJK SC" w:cs="Lohit Devanagari"/>
      <w:sz w:val="28"/>
      <w:szCs w:val="28"/>
    </w:rPr>
  </w:style>
  <w:style w:type="paragraph" w:styleId="TextBody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TextBody"/>
    <w:pPr/>
    <w:rPr>
      <w:rFonts w:cs="Lohit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ohit Devanagari"/>
    </w:rPr>
  </w:style>
  <w:style w:type="paragraph" w:styleId="HeaderandFooter">
    <w:name w:val="Header and Footer"/>
    <w:basedOn w:val="Normal"/>
    <w:qFormat/>
    <w:pPr/>
    <w:rPr/>
  </w:style>
  <w:style w:type="paragraph" w:styleId="Header">
    <w:name w:val="Header"/>
    <w:basedOn w:val="Normal"/>
    <w:link w:val="HeaderChar"/>
    <w:uiPriority w:val="99"/>
    <w:unhideWhenUsed/>
    <w:rsid w:val="00786325"/>
    <w:pPr>
      <w:tabs>
        <w:tab w:val="clear" w:pos="720"/>
        <w:tab w:val="center" w:pos="4513" w:leader="none"/>
        <w:tab w:val="right" w:pos="9026" w:leader="none"/>
      </w:tabs>
    </w:pPr>
    <w:rPr/>
  </w:style>
  <w:style w:type="paragraph" w:styleId="Footer">
    <w:name w:val="Footer"/>
    <w:basedOn w:val="Normal"/>
    <w:link w:val="FooterChar"/>
    <w:uiPriority w:val="99"/>
    <w:unhideWhenUsed/>
    <w:rsid w:val="00786325"/>
    <w:pPr>
      <w:tabs>
        <w:tab w:val="clear" w:pos="720"/>
        <w:tab w:val="center" w:pos="4513" w:leader="none"/>
        <w:tab w:val="right" w:pos="9026" w:leader="none"/>
      </w:tabs>
    </w:pPr>
    <w:rPr/>
  </w:style>
  <w:style w:type="paragraph" w:styleId="NormalWeb">
    <w:name w:val="Normal (Web)"/>
    <w:basedOn w:val="Normal"/>
    <w:uiPriority w:val="99"/>
    <w:semiHidden/>
    <w:unhideWhenUsed/>
    <w:qFormat/>
    <w:rsid w:val="003c317a"/>
    <w:pPr>
      <w:spacing w:beforeAutospacing="1" w:afterAutospacing="1"/>
    </w:pPr>
    <w:rPr>
      <w:rFonts w:ascii="Times New Roman" w:hAnsi="Times New Roman" w:eastAsia="Times New Roman" w:cs="Times New Roman"/>
      <w:kern w:val="0"/>
      <w:lang w:eastAsia="en-GB"/>
      <w14:ligatures w14:val="none"/>
    </w:rPr>
  </w:style>
  <w:style w:type="paragraph" w:styleId="LOnormal" w:customStyle="1">
    <w:name w:val="LO-normal"/>
    <w:qFormat/>
    <w:rsid w:val="00d36696"/>
    <w:pPr>
      <w:widowControl/>
      <w:suppressAutoHyphens w:val="true"/>
      <w:bidi w:val="0"/>
      <w:spacing w:before="0" w:after="0"/>
      <w:jc w:val="left"/>
    </w:pPr>
    <w:rPr>
      <w:rFonts w:ascii="Calibri" w:hAnsi="Calibri" w:eastAsia="Calibri" w:cs="Calibri"/>
      <w:color w:val="auto"/>
      <w:kern w:val="0"/>
      <w:sz w:val="24"/>
      <w:szCs w:val="24"/>
      <w:lang w:val="en-US" w:eastAsia="zh-CN" w:bidi="hi-IN"/>
      <w14:ligatures w14:val="none"/>
    </w:rPr>
  </w:style>
  <w:style w:type="paragraph" w:styleId="Annotationtext">
    <w:name w:val="annotation text"/>
    <w:basedOn w:val="Normal"/>
    <w:link w:val="CommentTextChar"/>
    <w:uiPriority w:val="99"/>
    <w:semiHidden/>
    <w:unhideWhenUsed/>
    <w:qFormat/>
    <w:pPr/>
    <w:rPr>
      <w:sz w:val="20"/>
      <w:szCs w:val="20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yperlink" Target="mailto:VictorHugo-DiazJarquin@mdc-berlin.de" TargetMode="External"/><Relationship Id="rId3" Type="http://schemas.openxmlformats.org/officeDocument/2006/relationships/hyperlink" Target="https://orcid.org/0000-0003-3758-1091" TargetMode="External"/><Relationship Id="rId4" Type="http://schemas.openxmlformats.org/officeDocument/2006/relationships/hyperlink" Target="https://orcid.org/0000-0003-3758-1091" TargetMode="External"/><Relationship Id="rId5" Type="http://schemas.openxmlformats.org/officeDocument/2006/relationships/image" Target="media/image1.tif"/><Relationship Id="rId6" Type="http://schemas.openxmlformats.org/officeDocument/2006/relationships/image" Target="media/image2.wmf"/><Relationship Id="rId7" Type="http://schemas.openxmlformats.org/officeDocument/2006/relationships/image" Target="media/image3.wmf"/><Relationship Id="rId8" Type="http://schemas.openxmlformats.org/officeDocument/2006/relationships/image" Target="media/image4.wmf"/><Relationship Id="rId9" Type="http://schemas.openxmlformats.org/officeDocument/2006/relationships/image" Target="media/image5.wmf"/><Relationship Id="rId10" Type="http://schemas.openxmlformats.org/officeDocument/2006/relationships/image" Target="media/image6.wmf"/><Relationship Id="rId11" Type="http://schemas.openxmlformats.org/officeDocument/2006/relationships/numbering" Target="numbering.xml"/><Relationship Id="rId12" Type="http://schemas.openxmlformats.org/officeDocument/2006/relationships/fontTable" Target="fontTable.xml"/><Relationship Id="rId13" Type="http://schemas.openxmlformats.org/officeDocument/2006/relationships/settings" Target="settings.xml"/><Relationship Id="rId14" Type="http://schemas.openxmlformats.org/officeDocument/2006/relationships/theme" Target="theme/theme1.xml"/><Relationship Id="rId15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AE82E71-B787-4249-B2C0-323364673E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</TotalTime>
  <Application>LibreOffice/6.4.7.2$Linux_X86_64 LibreOffice_project/40$Build-2</Application>
  <Pages>7</Pages>
  <Words>659</Words>
  <Characters>4074</Characters>
  <CharactersWithSpaces>4721</CharactersWithSpaces>
  <Paragraphs>27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2024-03-27T15:19:00Z</dcterms:created>
  <dc:creator>Jennifer Nazat Martínez Medina</dc:creator>
  <dc:description/>
  <dc:language>en-US</dc:language>
  <cp:lastModifiedBy/>
  <dcterms:modified xsi:type="dcterms:W3CDTF">2024-10-23T09:36:54Z</dcterms:modified>
  <cp:revision>22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