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9295F" w14:textId="77777777" w:rsidR="002205F1" w:rsidRPr="007D2740" w:rsidRDefault="002205F1" w:rsidP="00572FA4">
      <w:pPr>
        <w:rPr>
          <w:color w:val="000000" w:themeColor="text1"/>
        </w:rPr>
      </w:pPr>
    </w:p>
    <w:p w14:paraId="62219420" w14:textId="788E6EF9" w:rsidR="002205F1" w:rsidRPr="007D2740" w:rsidRDefault="00E20E7F" w:rsidP="00572FA4">
      <w:pPr>
        <w:rPr>
          <w:b/>
          <w:bCs/>
          <w:i/>
          <w:iCs/>
          <w:color w:val="000000" w:themeColor="text1"/>
        </w:rPr>
      </w:pPr>
      <w:proofErr w:type="spellStart"/>
      <w:r w:rsidRPr="007D2740">
        <w:rPr>
          <w:b/>
          <w:bCs/>
          <w:i/>
          <w:iCs/>
          <w:color w:val="000000" w:themeColor="text1"/>
        </w:rPr>
        <w:t>OncoImmunology</w:t>
      </w:r>
      <w:proofErr w:type="spellEnd"/>
    </w:p>
    <w:p w14:paraId="69D32296" w14:textId="77777777" w:rsidR="00F40A30" w:rsidRPr="007D2740" w:rsidRDefault="00F40A30" w:rsidP="00572FA4">
      <w:pPr>
        <w:rPr>
          <w:i/>
          <w:iCs/>
          <w:color w:val="000000" w:themeColor="text1"/>
        </w:rPr>
      </w:pPr>
    </w:p>
    <w:p w14:paraId="6933DBE3" w14:textId="77777777" w:rsidR="00D20F88" w:rsidRPr="007D2740" w:rsidRDefault="00D20F88" w:rsidP="00572FA4">
      <w:pPr>
        <w:rPr>
          <w:i/>
          <w:iCs/>
          <w:color w:val="000000" w:themeColor="text1"/>
        </w:rPr>
      </w:pPr>
    </w:p>
    <w:p w14:paraId="3C9ABFE8" w14:textId="77777777" w:rsidR="00D20F88" w:rsidRPr="007D2740" w:rsidRDefault="00D20F88" w:rsidP="00572FA4">
      <w:pPr>
        <w:rPr>
          <w:i/>
          <w:iCs/>
          <w:color w:val="000000" w:themeColor="text1"/>
        </w:rPr>
      </w:pPr>
    </w:p>
    <w:p w14:paraId="61BC7AC9" w14:textId="77777777" w:rsidR="00D20F88" w:rsidRPr="007D2740" w:rsidRDefault="00D20F88" w:rsidP="00572FA4">
      <w:pPr>
        <w:rPr>
          <w:i/>
          <w:iCs/>
          <w:color w:val="000000" w:themeColor="text1"/>
        </w:rPr>
      </w:pPr>
    </w:p>
    <w:p w14:paraId="22E65C4B" w14:textId="77777777" w:rsidR="00F40A30" w:rsidRPr="007D2740" w:rsidRDefault="00F40A30" w:rsidP="00F40A30">
      <w:pPr>
        <w:rPr>
          <w:i/>
          <w:iCs/>
          <w:color w:val="000000" w:themeColor="text1"/>
        </w:rPr>
      </w:pPr>
    </w:p>
    <w:p w14:paraId="2CF393CD" w14:textId="77777777" w:rsidR="002D5D3F" w:rsidRPr="002D5D3F" w:rsidRDefault="002D5D3F" w:rsidP="002D5D3F">
      <w:pPr>
        <w:rPr>
          <w:b/>
          <w:bCs/>
          <w:i/>
          <w:iCs/>
          <w:color w:val="000000" w:themeColor="text1"/>
        </w:rPr>
      </w:pPr>
      <w:r w:rsidRPr="002D5D3F">
        <w:rPr>
          <w:b/>
          <w:bCs/>
          <w:i/>
          <w:iCs/>
          <w:color w:val="000000" w:themeColor="text1"/>
        </w:rPr>
        <w:t>Identification of TTLL8, POTEE, and PKMYT1 as immunogenic cancer-associated antigens and potential immunotherapy targets in ovarian cancer</w:t>
      </w:r>
    </w:p>
    <w:p w14:paraId="0E5CCB9D" w14:textId="77777777" w:rsidR="002205F1" w:rsidRPr="007D2740" w:rsidRDefault="002205F1" w:rsidP="00572FA4">
      <w:pPr>
        <w:rPr>
          <w:color w:val="000000" w:themeColor="text1"/>
        </w:rPr>
      </w:pPr>
    </w:p>
    <w:p w14:paraId="4792DE75" w14:textId="77777777" w:rsidR="00D20F88" w:rsidRPr="007D2740" w:rsidRDefault="00D20F88" w:rsidP="00572FA4">
      <w:pPr>
        <w:rPr>
          <w:color w:val="000000" w:themeColor="text1"/>
        </w:rPr>
      </w:pPr>
    </w:p>
    <w:p w14:paraId="3CC2E8AA" w14:textId="77777777" w:rsidR="00D20F88" w:rsidRPr="007D2740" w:rsidRDefault="00D20F88" w:rsidP="00572FA4">
      <w:pPr>
        <w:rPr>
          <w:color w:val="000000" w:themeColor="text1"/>
        </w:rPr>
      </w:pPr>
    </w:p>
    <w:p w14:paraId="585F0906" w14:textId="77777777" w:rsidR="00D20F88" w:rsidRPr="007D2740" w:rsidRDefault="00D20F88" w:rsidP="00572FA4">
      <w:pPr>
        <w:rPr>
          <w:color w:val="000000" w:themeColor="text1"/>
        </w:rPr>
      </w:pPr>
    </w:p>
    <w:p w14:paraId="212D3EB0" w14:textId="4BDBB4D4" w:rsidR="0009265C" w:rsidRPr="007D2740" w:rsidRDefault="002205F1" w:rsidP="00D20F88">
      <w:pPr>
        <w:ind w:left="720" w:firstLine="720"/>
        <w:rPr>
          <w:color w:val="000000" w:themeColor="text1"/>
        </w:rPr>
      </w:pPr>
      <w:r w:rsidRPr="007D2740">
        <w:rPr>
          <w:color w:val="000000" w:themeColor="text1"/>
        </w:rPr>
        <w:t>Supplementary Materials:</w:t>
      </w:r>
    </w:p>
    <w:p w14:paraId="24E047FD" w14:textId="61571EAF" w:rsidR="002205F1" w:rsidRPr="007D2740" w:rsidRDefault="002205F1" w:rsidP="00572FA4">
      <w:pPr>
        <w:rPr>
          <w:color w:val="000000" w:themeColor="text1"/>
        </w:rPr>
      </w:pPr>
      <w:r w:rsidRPr="007D2740">
        <w:rPr>
          <w:color w:val="000000" w:themeColor="text1"/>
        </w:rPr>
        <w:tab/>
      </w:r>
      <w:r w:rsidR="00D20F88" w:rsidRPr="007D2740">
        <w:rPr>
          <w:color w:val="000000" w:themeColor="text1"/>
        </w:rPr>
        <w:tab/>
      </w:r>
      <w:r w:rsidR="00D20F88" w:rsidRPr="007D2740">
        <w:rPr>
          <w:color w:val="000000" w:themeColor="text1"/>
        </w:rPr>
        <w:tab/>
      </w:r>
      <w:r w:rsidRPr="007D2740">
        <w:rPr>
          <w:color w:val="000000" w:themeColor="text1"/>
        </w:rPr>
        <w:t>Supplementary Figures 1-</w:t>
      </w:r>
      <w:r w:rsidR="004B54FA" w:rsidRPr="007D2740">
        <w:rPr>
          <w:color w:val="000000" w:themeColor="text1"/>
        </w:rPr>
        <w:t>4</w:t>
      </w:r>
    </w:p>
    <w:p w14:paraId="6DA6896E" w14:textId="3F8973CA" w:rsidR="002205F1" w:rsidRPr="007D2740" w:rsidRDefault="002205F1" w:rsidP="00D20F88">
      <w:pPr>
        <w:ind w:left="1440" w:firstLine="720"/>
        <w:rPr>
          <w:color w:val="000000" w:themeColor="text1"/>
        </w:rPr>
      </w:pPr>
      <w:r w:rsidRPr="007D2740">
        <w:rPr>
          <w:color w:val="000000" w:themeColor="text1"/>
        </w:rPr>
        <w:t>Supplementary Tables 2-4</w:t>
      </w:r>
    </w:p>
    <w:p w14:paraId="042A0B77" w14:textId="31E59E6D" w:rsidR="002205F1" w:rsidRPr="007D2740" w:rsidRDefault="002205F1" w:rsidP="00D20F88">
      <w:pPr>
        <w:ind w:left="1440" w:firstLine="720"/>
        <w:rPr>
          <w:color w:val="000000" w:themeColor="text1"/>
        </w:rPr>
      </w:pPr>
      <w:r w:rsidRPr="007D2740">
        <w:rPr>
          <w:color w:val="000000" w:themeColor="text1"/>
        </w:rPr>
        <w:t>Supplementary Methods</w:t>
      </w:r>
    </w:p>
    <w:p w14:paraId="6FA62307" w14:textId="77777777" w:rsidR="002205F1" w:rsidRPr="007D2740" w:rsidRDefault="002205F1" w:rsidP="00572FA4">
      <w:pPr>
        <w:rPr>
          <w:color w:val="000000" w:themeColor="text1"/>
        </w:rPr>
      </w:pPr>
    </w:p>
    <w:p w14:paraId="6746936B" w14:textId="77777777" w:rsidR="002205F1" w:rsidRPr="007D2740" w:rsidRDefault="002205F1" w:rsidP="00572FA4">
      <w:pPr>
        <w:rPr>
          <w:rFonts w:eastAsia="Times New Roman"/>
          <w:color w:val="000000" w:themeColor="text1"/>
          <w:kern w:val="0"/>
        </w:rPr>
      </w:pPr>
      <w:r w:rsidRPr="007D2740">
        <w:rPr>
          <w:color w:val="000000" w:themeColor="text1"/>
        </w:rPr>
        <w:br w:type="page"/>
      </w:r>
    </w:p>
    <w:p w14:paraId="37419082" w14:textId="2F40E2B9" w:rsidR="002205F1" w:rsidRPr="007D2740" w:rsidRDefault="002205F1" w:rsidP="00572FA4">
      <w:pPr>
        <w:rPr>
          <w:color w:val="000000" w:themeColor="text1"/>
        </w:rPr>
      </w:pPr>
      <w:r w:rsidRPr="007D2740">
        <w:rPr>
          <w:b/>
          <w:bCs/>
          <w:color w:val="000000" w:themeColor="text1"/>
        </w:rPr>
        <w:lastRenderedPageBreak/>
        <w:t>Supplementary Figure 1. Sequence motifs for HLA-A01:01 and HLA-A02:01.</w:t>
      </w:r>
      <w:r w:rsidRPr="007D2740">
        <w:rPr>
          <w:color w:val="000000" w:themeColor="text1"/>
        </w:rPr>
        <w:t xml:space="preserve"> Images representing the known peptide sequence motifs for HLA-A01:01 and HLA-A02:01 binders. Images are from the MHC Motif Atlas (http://mhcmotifatlas.org).</w:t>
      </w:r>
    </w:p>
    <w:p w14:paraId="6951A690" w14:textId="77777777" w:rsidR="002205F1" w:rsidRPr="007D2740" w:rsidRDefault="002205F1" w:rsidP="00572FA4">
      <w:pPr>
        <w:rPr>
          <w:color w:val="000000" w:themeColor="text1"/>
        </w:rPr>
      </w:pPr>
    </w:p>
    <w:p w14:paraId="7C6FCC42" w14:textId="77777777" w:rsidR="002205F1" w:rsidRPr="007D2740" w:rsidRDefault="002205F1" w:rsidP="00572FA4">
      <w:pPr>
        <w:rPr>
          <w:rFonts w:eastAsia="Times New Roman"/>
          <w:color w:val="000000" w:themeColor="text1"/>
        </w:rPr>
      </w:pPr>
      <w:r w:rsidRPr="007D2740">
        <w:rPr>
          <w:color w:val="000000" w:themeColor="text1"/>
        </w:rPr>
        <w:br w:type="page"/>
      </w:r>
    </w:p>
    <w:p w14:paraId="48B40110" w14:textId="3875C33A" w:rsidR="002205F1" w:rsidRPr="007D2740" w:rsidRDefault="002205F1" w:rsidP="0035303C">
      <w:pPr>
        <w:rPr>
          <w:color w:val="000000" w:themeColor="text1"/>
        </w:rPr>
      </w:pPr>
      <w:r w:rsidRPr="007D2740">
        <w:rPr>
          <w:b/>
          <w:bCs/>
          <w:color w:val="000000" w:themeColor="text1"/>
        </w:rPr>
        <w:lastRenderedPageBreak/>
        <w:t>Supplementary Figure 2. CT antigen expression in normal and cancer tissues.</w:t>
      </w:r>
      <w:r w:rsidRPr="007D2740">
        <w:rPr>
          <w:color w:val="000000" w:themeColor="text1"/>
        </w:rPr>
        <w:t xml:space="preserve"> (A) A heatmap representing the mRNA expression of 24 CT antigens across all normal tissues in the GTEx Portal (www.gtexportal.org). Note: Transcript levels of RNF103-CHMP3 are not shown as the transcript-level data was not found in the </w:t>
      </w:r>
      <w:r w:rsidRPr="007D2740">
        <w:rPr>
          <w:color w:val="000000" w:themeColor="text1"/>
          <w:shd w:val="clear" w:color="auto" w:fill="FFFFFF"/>
        </w:rPr>
        <w:t>GTEx Analysis Release V8.</w:t>
      </w:r>
      <w:r w:rsidRPr="007D2740">
        <w:rPr>
          <w:color w:val="000000" w:themeColor="text1"/>
        </w:rPr>
        <w:t xml:space="preserve"> (B) mRNA expression of 16 CT antigens in ovarian cancer tumors and corresponding normal tissue. (C) Protein expression of 16 CT antigens as determined from the Human Protein Atlas database. Data is shown as the percentage of positively stained ovarian tumors. ND: not determined. (D) qPCR for POTEE mRNA following treatment of OVCAR-5 cells with indicated doses of 5-aza-2′-deoxycytidine (DAC)</w:t>
      </w:r>
      <w:r w:rsidR="00DC1A7F" w:rsidRPr="007D2740">
        <w:rPr>
          <w:color w:val="000000" w:themeColor="text1"/>
        </w:rPr>
        <w:t xml:space="preserve"> (n=3 technical replicates, bars represent </w:t>
      </w:r>
      <w:r w:rsidR="00560D42" w:rsidRPr="007D2740">
        <w:rPr>
          <w:color w:val="000000" w:themeColor="text1"/>
        </w:rPr>
        <w:t xml:space="preserve">the </w:t>
      </w:r>
      <w:r w:rsidR="00DC1A7F" w:rsidRPr="007D2740">
        <w:rPr>
          <w:color w:val="000000" w:themeColor="text1"/>
        </w:rPr>
        <w:t>mean)</w:t>
      </w:r>
      <w:r w:rsidRPr="007D2740">
        <w:rPr>
          <w:color w:val="000000" w:themeColor="text1"/>
        </w:rPr>
        <w:t>.</w:t>
      </w:r>
    </w:p>
    <w:p w14:paraId="3C999BD4" w14:textId="77777777" w:rsidR="002205F1" w:rsidRPr="007D2740" w:rsidRDefault="002205F1" w:rsidP="00572FA4">
      <w:pPr>
        <w:rPr>
          <w:color w:val="000000" w:themeColor="text1"/>
        </w:rPr>
      </w:pPr>
      <w:r w:rsidRPr="007D2740">
        <w:rPr>
          <w:color w:val="000000" w:themeColor="text1"/>
        </w:rPr>
        <w:br w:type="page"/>
      </w:r>
    </w:p>
    <w:p w14:paraId="4E700A75" w14:textId="13EEEFE2" w:rsidR="00215000" w:rsidRPr="007D2740" w:rsidRDefault="00817241" w:rsidP="00572FA4">
      <w:pPr>
        <w:rPr>
          <w:color w:val="000000" w:themeColor="text1"/>
        </w:rPr>
      </w:pPr>
      <w:r w:rsidRPr="007D2740">
        <w:rPr>
          <w:b/>
          <w:bCs/>
          <w:color w:val="000000" w:themeColor="text1"/>
        </w:rPr>
        <w:lastRenderedPageBreak/>
        <w:t>Supplementary Figure</w:t>
      </w:r>
      <w:r w:rsidRPr="007D2740">
        <w:rPr>
          <w:color w:val="000000" w:themeColor="text1"/>
        </w:rPr>
        <w:t xml:space="preserve"> </w:t>
      </w:r>
      <w:r w:rsidRPr="007D2740">
        <w:rPr>
          <w:b/>
          <w:bCs/>
          <w:color w:val="000000" w:themeColor="text1"/>
        </w:rPr>
        <w:t>3. CT antigens activate peptide-specific T cell responses in patient TILs.</w:t>
      </w:r>
      <w:r w:rsidRPr="007D2740">
        <w:rPr>
          <w:rFonts w:eastAsiaTheme="minorEastAsia"/>
          <w:b/>
          <w:bCs/>
          <w:color w:val="000000" w:themeColor="text1"/>
        </w:rPr>
        <w:t xml:space="preserve">  </w:t>
      </w:r>
      <w:r w:rsidRPr="007D2740">
        <w:rPr>
          <w:color w:val="000000" w:themeColor="text1"/>
        </w:rPr>
        <w:t xml:space="preserve">(A) Flow cytometry gating strategy. Sequential gating strategy showing: Initial cell population based on forward and side scatter, Single cell selection using FSC-H vs FSC-A, Doublet exclusion using SSC-H vs SSC-A, Live cell selection using Live/Dead stain, CD8+ T cell identification, and Analysis of TNFα and </w:t>
      </w:r>
      <w:proofErr w:type="spellStart"/>
      <w:r w:rsidRPr="007D2740">
        <w:rPr>
          <w:color w:val="000000" w:themeColor="text1"/>
        </w:rPr>
        <w:t>IFNγ</w:t>
      </w:r>
      <w:proofErr w:type="spellEnd"/>
      <w:r w:rsidRPr="007D2740">
        <w:rPr>
          <w:color w:val="000000" w:themeColor="text1"/>
        </w:rPr>
        <w:t xml:space="preserve"> expression. This gating strategy was consistently applied across all flow cytometry experiments. (B, C) ICS for </w:t>
      </w:r>
      <w:proofErr w:type="spellStart"/>
      <w:r w:rsidRPr="007D2740">
        <w:rPr>
          <w:color w:val="000000" w:themeColor="text1"/>
        </w:rPr>
        <w:t>IFNγ</w:t>
      </w:r>
      <w:proofErr w:type="spellEnd"/>
      <w:r w:rsidRPr="007D2740">
        <w:rPr>
          <w:color w:val="000000" w:themeColor="text1"/>
        </w:rPr>
        <w:t xml:space="preserve"> and (D, E) TNFα in CD8 T cells from A02:01+ </w:t>
      </w:r>
      <w:r w:rsidR="001526A7" w:rsidRPr="007D2740">
        <w:rPr>
          <w:color w:val="000000" w:themeColor="text1"/>
        </w:rPr>
        <w:t>patients</w:t>
      </w:r>
      <w:r w:rsidR="00D46C53" w:rsidRPr="007D2740">
        <w:rPr>
          <w:color w:val="000000" w:themeColor="text1"/>
        </w:rPr>
        <w:t xml:space="preserve"> 3 and 4</w:t>
      </w:r>
      <w:r w:rsidRPr="007D2740">
        <w:rPr>
          <w:color w:val="000000" w:themeColor="text1"/>
        </w:rPr>
        <w:t xml:space="preserve"> with HGSOC. T cells were stimulated with each indicated peptide prior to staining and assessed via flow cytometry.</w:t>
      </w:r>
    </w:p>
    <w:p w14:paraId="0F916C57" w14:textId="402E83D5" w:rsidR="00FC0EA0" w:rsidRPr="007D2740" w:rsidRDefault="00215000" w:rsidP="00FC0EA0">
      <w:pPr>
        <w:pStyle w:val="whitespace-pre-wrap"/>
        <w:spacing w:line="360" w:lineRule="auto"/>
        <w:jc w:val="both"/>
        <w:rPr>
          <w:rFonts w:ascii="Arial" w:eastAsiaTheme="minorHAnsi" w:hAnsi="Arial" w:cs="Arial"/>
          <w:color w:val="000000" w:themeColor="text1"/>
          <w:kern w:val="2"/>
          <w:sz w:val="22"/>
          <w:szCs w:val="22"/>
          <w14:ligatures w14:val="standardContextual"/>
        </w:rPr>
      </w:pPr>
      <w:r w:rsidRPr="007D2740">
        <w:rPr>
          <w:rFonts w:ascii="Arial" w:eastAsiaTheme="minorHAnsi" w:hAnsi="Arial" w:cs="Arial"/>
          <w:b/>
          <w:bCs/>
          <w:color w:val="000000" w:themeColor="text1"/>
          <w:kern w:val="2"/>
          <w:sz w:val="22"/>
          <w:szCs w:val="22"/>
          <w14:ligatures w14:val="standardContextual"/>
        </w:rPr>
        <w:t>Supplementary Figure 4. Assessment of peptide-specific T cell cytotoxicity in OC patients</w:t>
      </w:r>
      <w:r w:rsidRPr="007D2740">
        <w:rPr>
          <w:rFonts w:ascii="Arial" w:eastAsiaTheme="minorHAnsi" w:hAnsi="Arial" w:cs="Arial"/>
          <w:color w:val="000000" w:themeColor="text1"/>
          <w:kern w:val="2"/>
          <w:sz w:val="22"/>
          <w:szCs w:val="22"/>
          <w14:ligatures w14:val="standardContextual"/>
        </w:rPr>
        <w:t xml:space="preserve">. </w:t>
      </w:r>
      <w:r w:rsidR="00FC0EA0" w:rsidRPr="007D2740">
        <w:rPr>
          <w:rFonts w:ascii="Arial" w:eastAsiaTheme="minorHAnsi" w:hAnsi="Arial" w:cs="Arial"/>
          <w:color w:val="000000" w:themeColor="text1"/>
          <w:kern w:val="2"/>
          <w:sz w:val="22"/>
          <w:szCs w:val="22"/>
          <w14:ligatures w14:val="standardContextual"/>
        </w:rPr>
        <w:t xml:space="preserve">(A) Analysis of custom tetramers generated via a peptide exchange system. Flow cytometry was used to assess the percentage of exiting peptide following the exchange reaction. (B, C) T cell cytotoxicity at 96-hour incubation with peptide-pulsed OVCAR-5 cells at 10:1 E:T ratio in patients 2 (B) and 3 (C). (D) T cell cytotoxicity at 48-hour incubation with </w:t>
      </w:r>
      <w:proofErr w:type="spellStart"/>
      <w:r w:rsidR="00FC0EA0" w:rsidRPr="007D2740">
        <w:rPr>
          <w:rFonts w:ascii="Arial" w:eastAsiaTheme="minorHAnsi" w:hAnsi="Arial" w:cs="Arial"/>
          <w:color w:val="000000" w:themeColor="text1"/>
          <w:kern w:val="2"/>
          <w:sz w:val="22"/>
          <w:szCs w:val="22"/>
          <w14:ligatures w14:val="standardContextual"/>
        </w:rPr>
        <w:t>IFNγ</w:t>
      </w:r>
      <w:proofErr w:type="spellEnd"/>
      <w:r w:rsidR="00FC0EA0" w:rsidRPr="007D2740">
        <w:rPr>
          <w:rFonts w:ascii="Arial" w:eastAsiaTheme="minorHAnsi" w:hAnsi="Arial" w:cs="Arial"/>
          <w:color w:val="000000" w:themeColor="text1"/>
          <w:kern w:val="2"/>
          <w:sz w:val="22"/>
          <w:szCs w:val="22"/>
          <w14:ligatures w14:val="standardContextual"/>
        </w:rPr>
        <w:t xml:space="preserve">-pretreated OVCAR-5 cells at 10:1 E:T ratio in patients 1-3. OVCAR-5 cells were pretreated with 20ng/ml </w:t>
      </w:r>
      <w:proofErr w:type="spellStart"/>
      <w:r w:rsidR="00FC0EA0" w:rsidRPr="007D2740">
        <w:rPr>
          <w:rFonts w:ascii="Arial" w:eastAsiaTheme="minorHAnsi" w:hAnsi="Arial" w:cs="Arial"/>
          <w:color w:val="000000" w:themeColor="text1"/>
          <w:kern w:val="2"/>
          <w:sz w:val="22"/>
          <w:szCs w:val="22"/>
          <w14:ligatures w14:val="standardContextual"/>
        </w:rPr>
        <w:t>IFNγ</w:t>
      </w:r>
      <w:proofErr w:type="spellEnd"/>
      <w:r w:rsidR="00FC0EA0" w:rsidRPr="007D2740">
        <w:rPr>
          <w:rFonts w:ascii="Arial" w:eastAsiaTheme="minorHAnsi" w:hAnsi="Arial" w:cs="Arial"/>
          <w:color w:val="000000" w:themeColor="text1"/>
          <w:kern w:val="2"/>
          <w:sz w:val="22"/>
          <w:szCs w:val="22"/>
          <w14:ligatures w14:val="standardContextual"/>
        </w:rPr>
        <w:t xml:space="preserve"> for 24 hours prior to co-culture. Data were normalized to OVCAR-5 cells alone (0:1 E:T ratio) at 48 (D) and 96 hours (B, C). ****p&lt;0.0001</w:t>
      </w:r>
    </w:p>
    <w:p w14:paraId="6F3DF735" w14:textId="7731CB52" w:rsidR="002205F1" w:rsidRPr="007D2740" w:rsidRDefault="003152B4" w:rsidP="00572FA4">
      <w:pPr>
        <w:rPr>
          <w:color w:val="000000" w:themeColor="text1"/>
        </w:rPr>
      </w:pPr>
      <w:r w:rsidRPr="007D2740">
        <w:rPr>
          <w:color w:val="000000" w:themeColor="text1"/>
        </w:rPr>
        <w:br w:type="page"/>
      </w:r>
    </w:p>
    <w:p w14:paraId="2E8343F5" w14:textId="77777777" w:rsidR="002205F1" w:rsidRPr="007D2740" w:rsidRDefault="002205F1" w:rsidP="00572FA4">
      <w:pPr>
        <w:rPr>
          <w:b/>
          <w:bCs/>
          <w:color w:val="000000" w:themeColor="text1"/>
        </w:rPr>
      </w:pPr>
      <w:bookmarkStart w:id="0" w:name="_Hlk160441472"/>
      <w:r w:rsidRPr="007D2740">
        <w:rPr>
          <w:b/>
          <w:bCs/>
          <w:color w:val="000000" w:themeColor="text1"/>
        </w:rPr>
        <w:lastRenderedPageBreak/>
        <w:t>Supplementary Table 2. Clinical Summary of OC Patients Analyzed for TTLL8 and POTEE Expression by IHC.</w:t>
      </w:r>
    </w:p>
    <w:p w14:paraId="7CD2ECB6" w14:textId="77777777" w:rsidR="002205F1" w:rsidRPr="007D2740" w:rsidRDefault="002205F1" w:rsidP="00572FA4">
      <w:pPr>
        <w:rPr>
          <w:color w:val="000000" w:themeColor="text1"/>
        </w:rPr>
      </w:pPr>
    </w:p>
    <w:tbl>
      <w:tblPr>
        <w:tblStyle w:val="Table"/>
        <w:tblW w:w="3957" w:type="pct"/>
        <w:jc w:val="center"/>
        <w:tblLayout w:type="fixed"/>
        <w:tblLook w:val="0020" w:firstRow="1" w:lastRow="0" w:firstColumn="0" w:lastColumn="0" w:noHBand="0" w:noVBand="0"/>
      </w:tblPr>
      <w:tblGrid>
        <w:gridCol w:w="5230"/>
        <w:gridCol w:w="2747"/>
      </w:tblGrid>
      <w:tr w:rsidR="002D5D3F" w:rsidRPr="007D2740" w14:paraId="18D7BFDF" w14:textId="77777777" w:rsidTr="00D12E9D">
        <w:trPr>
          <w:cnfStyle w:val="100000000000" w:firstRow="1" w:lastRow="0" w:firstColumn="0" w:lastColumn="0" w:oddVBand="0" w:evenVBand="0" w:oddHBand="0" w:evenHBand="0" w:firstRowFirstColumn="0" w:firstRowLastColumn="0" w:lastRowFirstColumn="0" w:lastRowLastColumn="0"/>
          <w:tblHeader/>
          <w:jc w:val="center"/>
        </w:trPr>
        <w:tc>
          <w:tcPr>
            <w:tcW w:w="4968" w:type="dxa"/>
          </w:tcPr>
          <w:p w14:paraId="42CFF2BC" w14:textId="77777777" w:rsidR="002205F1" w:rsidRPr="007D2740" w:rsidRDefault="002205F1" w:rsidP="00572FA4">
            <w:pPr>
              <w:rPr>
                <w:color w:val="000000" w:themeColor="text1"/>
                <w:sz w:val="22"/>
                <w:szCs w:val="22"/>
              </w:rPr>
            </w:pPr>
            <w:bookmarkStart w:id="1" w:name="_Hlk170394329"/>
          </w:p>
        </w:tc>
        <w:tc>
          <w:tcPr>
            <w:tcW w:w="2610" w:type="dxa"/>
          </w:tcPr>
          <w:p w14:paraId="3E9FF070" w14:textId="77777777" w:rsidR="002205F1" w:rsidRPr="007D2740" w:rsidRDefault="002205F1" w:rsidP="00572FA4">
            <w:pPr>
              <w:rPr>
                <w:color w:val="000000" w:themeColor="text1"/>
                <w:sz w:val="22"/>
                <w:szCs w:val="22"/>
              </w:rPr>
            </w:pPr>
            <w:r w:rsidRPr="007D2740">
              <w:rPr>
                <w:color w:val="000000" w:themeColor="text1"/>
                <w:sz w:val="22"/>
                <w:szCs w:val="22"/>
              </w:rPr>
              <w:t>Overall (N=107)</w:t>
            </w:r>
          </w:p>
        </w:tc>
      </w:tr>
      <w:tr w:rsidR="002D5D3F" w:rsidRPr="007D2740" w14:paraId="12E8CDC0" w14:textId="77777777" w:rsidTr="00D12E9D">
        <w:trPr>
          <w:jc w:val="center"/>
        </w:trPr>
        <w:tc>
          <w:tcPr>
            <w:tcW w:w="4968" w:type="dxa"/>
          </w:tcPr>
          <w:p w14:paraId="27E896EB" w14:textId="77777777" w:rsidR="002205F1" w:rsidRPr="007D2740" w:rsidRDefault="002205F1" w:rsidP="00572FA4">
            <w:pPr>
              <w:rPr>
                <w:color w:val="000000" w:themeColor="text1"/>
                <w:sz w:val="22"/>
                <w:szCs w:val="22"/>
              </w:rPr>
            </w:pPr>
            <w:r w:rsidRPr="007D2740">
              <w:rPr>
                <w:color w:val="000000" w:themeColor="text1"/>
                <w:sz w:val="22"/>
                <w:szCs w:val="22"/>
              </w:rPr>
              <w:t>Age at Diagnosis</w:t>
            </w:r>
          </w:p>
        </w:tc>
        <w:tc>
          <w:tcPr>
            <w:tcW w:w="2610" w:type="dxa"/>
          </w:tcPr>
          <w:p w14:paraId="20F28519" w14:textId="77777777" w:rsidR="002205F1" w:rsidRPr="007D2740" w:rsidRDefault="002205F1" w:rsidP="00572FA4">
            <w:pPr>
              <w:rPr>
                <w:color w:val="000000" w:themeColor="text1"/>
                <w:sz w:val="22"/>
                <w:szCs w:val="22"/>
              </w:rPr>
            </w:pPr>
          </w:p>
        </w:tc>
      </w:tr>
      <w:tr w:rsidR="002D5D3F" w:rsidRPr="007D2740" w14:paraId="30E860F8" w14:textId="77777777" w:rsidTr="00D12E9D">
        <w:trPr>
          <w:jc w:val="center"/>
        </w:trPr>
        <w:tc>
          <w:tcPr>
            <w:tcW w:w="4968" w:type="dxa"/>
          </w:tcPr>
          <w:p w14:paraId="082A0509" w14:textId="77777777" w:rsidR="002205F1" w:rsidRPr="007D2740" w:rsidRDefault="002205F1" w:rsidP="00572FA4">
            <w:pPr>
              <w:rPr>
                <w:color w:val="000000" w:themeColor="text1"/>
                <w:sz w:val="22"/>
                <w:szCs w:val="22"/>
              </w:rPr>
            </w:pPr>
            <w:r w:rsidRPr="007D2740">
              <w:rPr>
                <w:color w:val="000000" w:themeColor="text1"/>
                <w:sz w:val="22"/>
                <w:szCs w:val="22"/>
              </w:rPr>
              <w:t>   Median</w:t>
            </w:r>
          </w:p>
        </w:tc>
        <w:tc>
          <w:tcPr>
            <w:tcW w:w="2610" w:type="dxa"/>
          </w:tcPr>
          <w:p w14:paraId="4F0FEC48" w14:textId="77777777" w:rsidR="002205F1" w:rsidRPr="007D2740" w:rsidRDefault="002205F1" w:rsidP="00572FA4">
            <w:pPr>
              <w:rPr>
                <w:color w:val="000000" w:themeColor="text1"/>
                <w:sz w:val="22"/>
                <w:szCs w:val="22"/>
              </w:rPr>
            </w:pPr>
            <w:r w:rsidRPr="007D2740">
              <w:rPr>
                <w:color w:val="000000" w:themeColor="text1"/>
                <w:sz w:val="22"/>
                <w:szCs w:val="22"/>
              </w:rPr>
              <w:t>63.000</w:t>
            </w:r>
          </w:p>
        </w:tc>
      </w:tr>
      <w:tr w:rsidR="002D5D3F" w:rsidRPr="007D2740" w14:paraId="13C36638" w14:textId="77777777" w:rsidTr="00D12E9D">
        <w:trPr>
          <w:jc w:val="center"/>
        </w:trPr>
        <w:tc>
          <w:tcPr>
            <w:tcW w:w="4968" w:type="dxa"/>
          </w:tcPr>
          <w:p w14:paraId="5DDCE9A0" w14:textId="77777777" w:rsidR="002205F1" w:rsidRPr="007D2740" w:rsidRDefault="002205F1" w:rsidP="00572FA4">
            <w:pPr>
              <w:rPr>
                <w:color w:val="000000" w:themeColor="text1"/>
                <w:sz w:val="22"/>
                <w:szCs w:val="22"/>
              </w:rPr>
            </w:pPr>
            <w:r w:rsidRPr="007D2740">
              <w:rPr>
                <w:color w:val="000000" w:themeColor="text1"/>
                <w:sz w:val="22"/>
                <w:szCs w:val="22"/>
              </w:rPr>
              <w:t>   Q1, Q3</w:t>
            </w:r>
          </w:p>
        </w:tc>
        <w:tc>
          <w:tcPr>
            <w:tcW w:w="2610" w:type="dxa"/>
          </w:tcPr>
          <w:p w14:paraId="7EFB8FAA" w14:textId="77777777" w:rsidR="002205F1" w:rsidRPr="007D2740" w:rsidRDefault="002205F1" w:rsidP="00572FA4">
            <w:pPr>
              <w:rPr>
                <w:color w:val="000000" w:themeColor="text1"/>
                <w:sz w:val="22"/>
                <w:szCs w:val="22"/>
              </w:rPr>
            </w:pPr>
            <w:r w:rsidRPr="007D2740">
              <w:rPr>
                <w:color w:val="000000" w:themeColor="text1"/>
                <w:sz w:val="22"/>
                <w:szCs w:val="22"/>
              </w:rPr>
              <w:t>56.500, 72.000</w:t>
            </w:r>
          </w:p>
        </w:tc>
      </w:tr>
      <w:tr w:rsidR="002D5D3F" w:rsidRPr="007D2740" w14:paraId="0252C40D" w14:textId="77777777" w:rsidTr="00D12E9D">
        <w:trPr>
          <w:jc w:val="center"/>
        </w:trPr>
        <w:tc>
          <w:tcPr>
            <w:tcW w:w="4968" w:type="dxa"/>
          </w:tcPr>
          <w:p w14:paraId="4A3536C1" w14:textId="77777777" w:rsidR="002205F1" w:rsidRPr="007D2740" w:rsidRDefault="002205F1" w:rsidP="00572FA4">
            <w:pPr>
              <w:rPr>
                <w:color w:val="000000" w:themeColor="text1"/>
                <w:sz w:val="22"/>
                <w:szCs w:val="22"/>
              </w:rPr>
            </w:pPr>
            <w:r w:rsidRPr="007D2740">
              <w:rPr>
                <w:color w:val="000000" w:themeColor="text1"/>
                <w:sz w:val="22"/>
                <w:szCs w:val="22"/>
              </w:rPr>
              <w:t>Category</w:t>
            </w:r>
          </w:p>
        </w:tc>
        <w:tc>
          <w:tcPr>
            <w:tcW w:w="2610" w:type="dxa"/>
          </w:tcPr>
          <w:p w14:paraId="76825DBB" w14:textId="77777777" w:rsidR="002205F1" w:rsidRPr="007D2740" w:rsidRDefault="002205F1" w:rsidP="00572FA4">
            <w:pPr>
              <w:rPr>
                <w:color w:val="000000" w:themeColor="text1"/>
                <w:sz w:val="22"/>
                <w:szCs w:val="22"/>
              </w:rPr>
            </w:pPr>
          </w:p>
        </w:tc>
      </w:tr>
      <w:tr w:rsidR="002D5D3F" w:rsidRPr="007D2740" w14:paraId="779FC22A" w14:textId="77777777" w:rsidTr="00D12E9D">
        <w:trPr>
          <w:jc w:val="center"/>
        </w:trPr>
        <w:tc>
          <w:tcPr>
            <w:tcW w:w="4968" w:type="dxa"/>
          </w:tcPr>
          <w:p w14:paraId="3C37D69A" w14:textId="77777777" w:rsidR="002205F1" w:rsidRPr="007D2740" w:rsidRDefault="002205F1" w:rsidP="00572FA4">
            <w:pPr>
              <w:rPr>
                <w:color w:val="000000" w:themeColor="text1"/>
                <w:sz w:val="22"/>
                <w:szCs w:val="22"/>
              </w:rPr>
            </w:pPr>
            <w:r w:rsidRPr="007D2740">
              <w:rPr>
                <w:color w:val="000000" w:themeColor="text1"/>
                <w:sz w:val="22"/>
                <w:szCs w:val="22"/>
              </w:rPr>
              <w:t>   Malignant</w:t>
            </w:r>
          </w:p>
        </w:tc>
        <w:tc>
          <w:tcPr>
            <w:tcW w:w="2610" w:type="dxa"/>
          </w:tcPr>
          <w:p w14:paraId="4530AE69" w14:textId="77777777" w:rsidR="002205F1" w:rsidRPr="007D2740" w:rsidRDefault="002205F1" w:rsidP="00572FA4">
            <w:pPr>
              <w:rPr>
                <w:color w:val="000000" w:themeColor="text1"/>
                <w:sz w:val="22"/>
                <w:szCs w:val="22"/>
              </w:rPr>
            </w:pPr>
            <w:r w:rsidRPr="007D2740">
              <w:rPr>
                <w:color w:val="000000" w:themeColor="text1"/>
                <w:sz w:val="22"/>
                <w:szCs w:val="22"/>
              </w:rPr>
              <w:t>106 (99.1%)</w:t>
            </w:r>
          </w:p>
        </w:tc>
      </w:tr>
      <w:tr w:rsidR="002D5D3F" w:rsidRPr="007D2740" w14:paraId="4452ECD5" w14:textId="77777777" w:rsidTr="00D12E9D">
        <w:trPr>
          <w:jc w:val="center"/>
        </w:trPr>
        <w:tc>
          <w:tcPr>
            <w:tcW w:w="4968" w:type="dxa"/>
          </w:tcPr>
          <w:p w14:paraId="46E8C529" w14:textId="77777777" w:rsidR="002205F1" w:rsidRPr="007D2740" w:rsidRDefault="002205F1" w:rsidP="00572FA4">
            <w:pPr>
              <w:rPr>
                <w:color w:val="000000" w:themeColor="text1"/>
                <w:sz w:val="22"/>
                <w:szCs w:val="22"/>
              </w:rPr>
            </w:pPr>
            <w:r w:rsidRPr="007D2740">
              <w:rPr>
                <w:color w:val="000000" w:themeColor="text1"/>
                <w:sz w:val="22"/>
                <w:szCs w:val="22"/>
              </w:rPr>
              <w:t>   Borderline Malignant Mixed</w:t>
            </w:r>
          </w:p>
        </w:tc>
        <w:tc>
          <w:tcPr>
            <w:tcW w:w="2610" w:type="dxa"/>
          </w:tcPr>
          <w:p w14:paraId="6AE09221" w14:textId="77777777" w:rsidR="002205F1" w:rsidRPr="007D2740" w:rsidRDefault="002205F1" w:rsidP="00572FA4">
            <w:pPr>
              <w:rPr>
                <w:color w:val="000000" w:themeColor="text1"/>
                <w:sz w:val="22"/>
                <w:szCs w:val="22"/>
              </w:rPr>
            </w:pPr>
            <w:r w:rsidRPr="007D2740">
              <w:rPr>
                <w:color w:val="000000" w:themeColor="text1"/>
                <w:sz w:val="22"/>
                <w:szCs w:val="22"/>
              </w:rPr>
              <w:t>1 (0.9%)</w:t>
            </w:r>
          </w:p>
        </w:tc>
      </w:tr>
      <w:tr w:rsidR="002D5D3F" w:rsidRPr="007D2740" w14:paraId="61A60AC5" w14:textId="77777777" w:rsidTr="00D12E9D">
        <w:trPr>
          <w:jc w:val="center"/>
        </w:trPr>
        <w:tc>
          <w:tcPr>
            <w:tcW w:w="4968" w:type="dxa"/>
          </w:tcPr>
          <w:p w14:paraId="3C547023" w14:textId="77777777" w:rsidR="002205F1" w:rsidRPr="007D2740" w:rsidRDefault="002205F1" w:rsidP="00572FA4">
            <w:pPr>
              <w:rPr>
                <w:color w:val="000000" w:themeColor="text1"/>
                <w:sz w:val="22"/>
                <w:szCs w:val="22"/>
              </w:rPr>
            </w:pPr>
            <w:r w:rsidRPr="007D2740">
              <w:rPr>
                <w:color w:val="000000" w:themeColor="text1"/>
                <w:sz w:val="22"/>
                <w:szCs w:val="22"/>
              </w:rPr>
              <w:t>Malignancy Type</w:t>
            </w:r>
          </w:p>
        </w:tc>
        <w:tc>
          <w:tcPr>
            <w:tcW w:w="2610" w:type="dxa"/>
          </w:tcPr>
          <w:p w14:paraId="0E5EB081" w14:textId="77777777" w:rsidR="002205F1" w:rsidRPr="007D2740" w:rsidRDefault="002205F1" w:rsidP="00572FA4">
            <w:pPr>
              <w:rPr>
                <w:color w:val="000000" w:themeColor="text1"/>
                <w:sz w:val="22"/>
                <w:szCs w:val="22"/>
              </w:rPr>
            </w:pPr>
          </w:p>
        </w:tc>
      </w:tr>
      <w:tr w:rsidR="002D5D3F" w:rsidRPr="007D2740" w14:paraId="57791F2E" w14:textId="77777777" w:rsidTr="00D12E9D">
        <w:trPr>
          <w:jc w:val="center"/>
        </w:trPr>
        <w:tc>
          <w:tcPr>
            <w:tcW w:w="4968" w:type="dxa"/>
          </w:tcPr>
          <w:p w14:paraId="39F81377" w14:textId="77777777" w:rsidR="002205F1" w:rsidRPr="007D2740" w:rsidRDefault="002205F1" w:rsidP="00572FA4">
            <w:pPr>
              <w:rPr>
                <w:color w:val="000000" w:themeColor="text1"/>
                <w:sz w:val="22"/>
                <w:szCs w:val="22"/>
              </w:rPr>
            </w:pPr>
            <w:r w:rsidRPr="007D2740">
              <w:rPr>
                <w:color w:val="000000" w:themeColor="text1"/>
                <w:sz w:val="22"/>
                <w:szCs w:val="22"/>
              </w:rPr>
              <w:t>   Epithelial</w:t>
            </w:r>
          </w:p>
        </w:tc>
        <w:tc>
          <w:tcPr>
            <w:tcW w:w="2610" w:type="dxa"/>
          </w:tcPr>
          <w:p w14:paraId="7D0F8548" w14:textId="77777777" w:rsidR="002205F1" w:rsidRPr="007D2740" w:rsidRDefault="002205F1" w:rsidP="00572FA4">
            <w:pPr>
              <w:rPr>
                <w:color w:val="000000" w:themeColor="text1"/>
                <w:sz w:val="22"/>
                <w:szCs w:val="22"/>
              </w:rPr>
            </w:pPr>
            <w:r w:rsidRPr="007D2740">
              <w:rPr>
                <w:color w:val="000000" w:themeColor="text1"/>
                <w:sz w:val="22"/>
                <w:szCs w:val="22"/>
              </w:rPr>
              <w:t>50 (46.7%)</w:t>
            </w:r>
          </w:p>
        </w:tc>
      </w:tr>
      <w:tr w:rsidR="002D5D3F" w:rsidRPr="007D2740" w14:paraId="0A7F7286" w14:textId="77777777" w:rsidTr="00D12E9D">
        <w:trPr>
          <w:jc w:val="center"/>
        </w:trPr>
        <w:tc>
          <w:tcPr>
            <w:tcW w:w="4968" w:type="dxa"/>
          </w:tcPr>
          <w:p w14:paraId="5CAE03A6" w14:textId="77777777" w:rsidR="002205F1" w:rsidRPr="007D2740" w:rsidRDefault="002205F1" w:rsidP="00572FA4">
            <w:pPr>
              <w:rPr>
                <w:color w:val="000000" w:themeColor="text1"/>
                <w:sz w:val="22"/>
                <w:szCs w:val="22"/>
              </w:rPr>
            </w:pPr>
            <w:r w:rsidRPr="007D2740">
              <w:rPr>
                <w:color w:val="000000" w:themeColor="text1"/>
                <w:sz w:val="22"/>
                <w:szCs w:val="22"/>
              </w:rPr>
              <w:t>   Primary Peritoneal</w:t>
            </w:r>
          </w:p>
        </w:tc>
        <w:tc>
          <w:tcPr>
            <w:tcW w:w="2610" w:type="dxa"/>
          </w:tcPr>
          <w:p w14:paraId="1ACECC47" w14:textId="77777777" w:rsidR="002205F1" w:rsidRPr="007D2740" w:rsidRDefault="002205F1" w:rsidP="00572FA4">
            <w:pPr>
              <w:rPr>
                <w:color w:val="000000" w:themeColor="text1"/>
                <w:sz w:val="22"/>
                <w:szCs w:val="22"/>
              </w:rPr>
            </w:pPr>
            <w:r w:rsidRPr="007D2740">
              <w:rPr>
                <w:color w:val="000000" w:themeColor="text1"/>
                <w:sz w:val="22"/>
                <w:szCs w:val="22"/>
              </w:rPr>
              <w:t>45 (42.1%)</w:t>
            </w:r>
          </w:p>
        </w:tc>
      </w:tr>
      <w:tr w:rsidR="002D5D3F" w:rsidRPr="007D2740" w14:paraId="399C41EC" w14:textId="77777777" w:rsidTr="00D12E9D">
        <w:trPr>
          <w:jc w:val="center"/>
        </w:trPr>
        <w:tc>
          <w:tcPr>
            <w:tcW w:w="4968" w:type="dxa"/>
          </w:tcPr>
          <w:p w14:paraId="56593108" w14:textId="77777777" w:rsidR="002205F1" w:rsidRPr="007D2740" w:rsidRDefault="002205F1" w:rsidP="00572FA4">
            <w:pPr>
              <w:rPr>
                <w:color w:val="000000" w:themeColor="text1"/>
                <w:sz w:val="22"/>
                <w:szCs w:val="22"/>
              </w:rPr>
            </w:pPr>
            <w:r w:rsidRPr="007D2740">
              <w:rPr>
                <w:color w:val="000000" w:themeColor="text1"/>
                <w:sz w:val="22"/>
                <w:szCs w:val="22"/>
              </w:rPr>
              <w:t>   Fallopian Tube</w:t>
            </w:r>
          </w:p>
        </w:tc>
        <w:tc>
          <w:tcPr>
            <w:tcW w:w="2610" w:type="dxa"/>
          </w:tcPr>
          <w:p w14:paraId="36BADC25" w14:textId="77777777" w:rsidR="002205F1" w:rsidRPr="007D2740" w:rsidRDefault="002205F1" w:rsidP="00572FA4">
            <w:pPr>
              <w:rPr>
                <w:color w:val="000000" w:themeColor="text1"/>
                <w:sz w:val="22"/>
                <w:szCs w:val="22"/>
              </w:rPr>
            </w:pPr>
            <w:r w:rsidRPr="007D2740">
              <w:rPr>
                <w:color w:val="000000" w:themeColor="text1"/>
                <w:sz w:val="22"/>
                <w:szCs w:val="22"/>
              </w:rPr>
              <w:t>12 (11.2%)</w:t>
            </w:r>
          </w:p>
        </w:tc>
      </w:tr>
      <w:tr w:rsidR="002D5D3F" w:rsidRPr="007D2740" w14:paraId="4FF6D870" w14:textId="77777777" w:rsidTr="00D12E9D">
        <w:trPr>
          <w:jc w:val="center"/>
        </w:trPr>
        <w:tc>
          <w:tcPr>
            <w:tcW w:w="4968" w:type="dxa"/>
          </w:tcPr>
          <w:p w14:paraId="3A99C357" w14:textId="77777777" w:rsidR="002205F1" w:rsidRPr="007D2740" w:rsidRDefault="002205F1" w:rsidP="00572FA4">
            <w:pPr>
              <w:rPr>
                <w:color w:val="000000" w:themeColor="text1"/>
                <w:sz w:val="22"/>
                <w:szCs w:val="22"/>
              </w:rPr>
            </w:pPr>
            <w:r w:rsidRPr="007D2740">
              <w:rPr>
                <w:color w:val="000000" w:themeColor="text1"/>
                <w:sz w:val="22"/>
                <w:szCs w:val="22"/>
              </w:rPr>
              <w:t>Histology</w:t>
            </w:r>
          </w:p>
        </w:tc>
        <w:tc>
          <w:tcPr>
            <w:tcW w:w="2610" w:type="dxa"/>
          </w:tcPr>
          <w:p w14:paraId="37E7BAD2" w14:textId="77777777" w:rsidR="002205F1" w:rsidRPr="007D2740" w:rsidRDefault="002205F1" w:rsidP="00572FA4">
            <w:pPr>
              <w:rPr>
                <w:color w:val="000000" w:themeColor="text1"/>
                <w:sz w:val="22"/>
                <w:szCs w:val="22"/>
              </w:rPr>
            </w:pPr>
          </w:p>
        </w:tc>
      </w:tr>
      <w:tr w:rsidR="002D5D3F" w:rsidRPr="007D2740" w14:paraId="58EB989D" w14:textId="77777777" w:rsidTr="00D12E9D">
        <w:trPr>
          <w:jc w:val="center"/>
        </w:trPr>
        <w:tc>
          <w:tcPr>
            <w:tcW w:w="4968" w:type="dxa"/>
          </w:tcPr>
          <w:p w14:paraId="4BDA2BD6" w14:textId="77777777" w:rsidR="002205F1" w:rsidRPr="007D2740" w:rsidRDefault="002205F1" w:rsidP="00572FA4">
            <w:pPr>
              <w:rPr>
                <w:color w:val="000000" w:themeColor="text1"/>
                <w:sz w:val="22"/>
                <w:szCs w:val="22"/>
              </w:rPr>
            </w:pPr>
            <w:r w:rsidRPr="007D2740">
              <w:rPr>
                <w:color w:val="000000" w:themeColor="text1"/>
                <w:sz w:val="22"/>
                <w:szCs w:val="22"/>
              </w:rPr>
              <w:t>   Low Grade Serous</w:t>
            </w:r>
          </w:p>
        </w:tc>
        <w:tc>
          <w:tcPr>
            <w:tcW w:w="2610" w:type="dxa"/>
          </w:tcPr>
          <w:p w14:paraId="0BD080D8" w14:textId="77777777" w:rsidR="002205F1" w:rsidRPr="007D2740" w:rsidRDefault="002205F1" w:rsidP="00572FA4">
            <w:pPr>
              <w:rPr>
                <w:color w:val="000000" w:themeColor="text1"/>
                <w:sz w:val="22"/>
                <w:szCs w:val="22"/>
              </w:rPr>
            </w:pPr>
            <w:r w:rsidRPr="007D2740">
              <w:rPr>
                <w:color w:val="000000" w:themeColor="text1"/>
                <w:sz w:val="22"/>
                <w:szCs w:val="22"/>
              </w:rPr>
              <w:t>1 (0.9%)</w:t>
            </w:r>
          </w:p>
        </w:tc>
      </w:tr>
      <w:tr w:rsidR="002D5D3F" w:rsidRPr="007D2740" w14:paraId="64CA075F" w14:textId="77777777" w:rsidTr="00D12E9D">
        <w:trPr>
          <w:jc w:val="center"/>
        </w:trPr>
        <w:tc>
          <w:tcPr>
            <w:tcW w:w="4968" w:type="dxa"/>
          </w:tcPr>
          <w:p w14:paraId="614A9713" w14:textId="77777777" w:rsidR="002205F1" w:rsidRPr="007D2740" w:rsidRDefault="002205F1" w:rsidP="00572FA4">
            <w:pPr>
              <w:rPr>
                <w:color w:val="000000" w:themeColor="text1"/>
                <w:sz w:val="22"/>
                <w:szCs w:val="22"/>
              </w:rPr>
            </w:pPr>
            <w:r w:rsidRPr="007D2740">
              <w:rPr>
                <w:color w:val="000000" w:themeColor="text1"/>
                <w:sz w:val="22"/>
                <w:szCs w:val="22"/>
              </w:rPr>
              <w:t>   High Grade Serous</w:t>
            </w:r>
          </w:p>
        </w:tc>
        <w:tc>
          <w:tcPr>
            <w:tcW w:w="2610" w:type="dxa"/>
          </w:tcPr>
          <w:p w14:paraId="05929E28" w14:textId="77777777" w:rsidR="002205F1" w:rsidRPr="007D2740" w:rsidRDefault="002205F1" w:rsidP="00572FA4">
            <w:pPr>
              <w:rPr>
                <w:color w:val="000000" w:themeColor="text1"/>
                <w:sz w:val="22"/>
                <w:szCs w:val="22"/>
              </w:rPr>
            </w:pPr>
            <w:r w:rsidRPr="007D2740">
              <w:rPr>
                <w:color w:val="000000" w:themeColor="text1"/>
                <w:sz w:val="22"/>
                <w:szCs w:val="22"/>
              </w:rPr>
              <w:t>91 (85.0%)</w:t>
            </w:r>
          </w:p>
        </w:tc>
      </w:tr>
      <w:tr w:rsidR="002D5D3F" w:rsidRPr="007D2740" w14:paraId="3659B6A0" w14:textId="77777777" w:rsidTr="00D12E9D">
        <w:trPr>
          <w:jc w:val="center"/>
        </w:trPr>
        <w:tc>
          <w:tcPr>
            <w:tcW w:w="4968" w:type="dxa"/>
          </w:tcPr>
          <w:p w14:paraId="3589B31C" w14:textId="77777777" w:rsidR="002205F1" w:rsidRPr="007D2740" w:rsidRDefault="002205F1" w:rsidP="00572FA4">
            <w:pPr>
              <w:rPr>
                <w:color w:val="000000" w:themeColor="text1"/>
                <w:sz w:val="22"/>
                <w:szCs w:val="22"/>
              </w:rPr>
            </w:pPr>
            <w:r w:rsidRPr="007D2740">
              <w:rPr>
                <w:color w:val="000000" w:themeColor="text1"/>
                <w:sz w:val="22"/>
                <w:szCs w:val="22"/>
              </w:rPr>
              <w:t>   Mucinous</w:t>
            </w:r>
          </w:p>
        </w:tc>
        <w:tc>
          <w:tcPr>
            <w:tcW w:w="2610" w:type="dxa"/>
          </w:tcPr>
          <w:p w14:paraId="7EA90CB7" w14:textId="77777777" w:rsidR="002205F1" w:rsidRPr="007D2740" w:rsidRDefault="002205F1" w:rsidP="00572FA4">
            <w:pPr>
              <w:rPr>
                <w:color w:val="000000" w:themeColor="text1"/>
                <w:sz w:val="22"/>
                <w:szCs w:val="22"/>
              </w:rPr>
            </w:pPr>
            <w:r w:rsidRPr="007D2740">
              <w:rPr>
                <w:color w:val="000000" w:themeColor="text1"/>
                <w:sz w:val="22"/>
                <w:szCs w:val="22"/>
              </w:rPr>
              <w:t>4 (3.7%)</w:t>
            </w:r>
          </w:p>
        </w:tc>
      </w:tr>
      <w:tr w:rsidR="002D5D3F" w:rsidRPr="007D2740" w14:paraId="68A931EE" w14:textId="77777777" w:rsidTr="00D12E9D">
        <w:trPr>
          <w:jc w:val="center"/>
        </w:trPr>
        <w:tc>
          <w:tcPr>
            <w:tcW w:w="4968" w:type="dxa"/>
          </w:tcPr>
          <w:p w14:paraId="2ABFF291" w14:textId="77777777" w:rsidR="002205F1" w:rsidRPr="007D2740" w:rsidRDefault="002205F1" w:rsidP="00572FA4">
            <w:pPr>
              <w:rPr>
                <w:color w:val="000000" w:themeColor="text1"/>
                <w:sz w:val="22"/>
                <w:szCs w:val="22"/>
              </w:rPr>
            </w:pPr>
            <w:r w:rsidRPr="007D2740">
              <w:rPr>
                <w:color w:val="000000" w:themeColor="text1"/>
                <w:sz w:val="22"/>
                <w:szCs w:val="22"/>
              </w:rPr>
              <w:t>   Endometrioid</w:t>
            </w:r>
          </w:p>
        </w:tc>
        <w:tc>
          <w:tcPr>
            <w:tcW w:w="2610" w:type="dxa"/>
          </w:tcPr>
          <w:p w14:paraId="20C9615F" w14:textId="77777777" w:rsidR="002205F1" w:rsidRPr="007D2740" w:rsidRDefault="002205F1" w:rsidP="00572FA4">
            <w:pPr>
              <w:rPr>
                <w:color w:val="000000" w:themeColor="text1"/>
                <w:sz w:val="22"/>
                <w:szCs w:val="22"/>
              </w:rPr>
            </w:pPr>
            <w:r w:rsidRPr="007D2740">
              <w:rPr>
                <w:color w:val="000000" w:themeColor="text1"/>
                <w:sz w:val="22"/>
                <w:szCs w:val="22"/>
              </w:rPr>
              <w:t>8 (7.5%)</w:t>
            </w:r>
          </w:p>
        </w:tc>
      </w:tr>
      <w:tr w:rsidR="002D5D3F" w:rsidRPr="007D2740" w14:paraId="56D471EC" w14:textId="77777777" w:rsidTr="00D12E9D">
        <w:trPr>
          <w:jc w:val="center"/>
        </w:trPr>
        <w:tc>
          <w:tcPr>
            <w:tcW w:w="4968" w:type="dxa"/>
          </w:tcPr>
          <w:p w14:paraId="3DED6F0C" w14:textId="77777777" w:rsidR="002205F1" w:rsidRPr="007D2740" w:rsidRDefault="002205F1" w:rsidP="00572FA4">
            <w:pPr>
              <w:rPr>
                <w:color w:val="000000" w:themeColor="text1"/>
                <w:sz w:val="22"/>
                <w:szCs w:val="22"/>
              </w:rPr>
            </w:pPr>
            <w:r w:rsidRPr="007D2740">
              <w:rPr>
                <w:color w:val="000000" w:themeColor="text1"/>
                <w:sz w:val="22"/>
                <w:szCs w:val="22"/>
              </w:rPr>
              <w:t>   Clear Cell</w:t>
            </w:r>
          </w:p>
        </w:tc>
        <w:tc>
          <w:tcPr>
            <w:tcW w:w="2610" w:type="dxa"/>
          </w:tcPr>
          <w:p w14:paraId="58C9F54D" w14:textId="77777777" w:rsidR="002205F1" w:rsidRPr="007D2740" w:rsidRDefault="002205F1" w:rsidP="00572FA4">
            <w:pPr>
              <w:rPr>
                <w:color w:val="000000" w:themeColor="text1"/>
                <w:sz w:val="22"/>
                <w:szCs w:val="22"/>
              </w:rPr>
            </w:pPr>
            <w:r w:rsidRPr="007D2740">
              <w:rPr>
                <w:color w:val="000000" w:themeColor="text1"/>
                <w:sz w:val="22"/>
                <w:szCs w:val="22"/>
              </w:rPr>
              <w:t>3 (2.8%)</w:t>
            </w:r>
          </w:p>
        </w:tc>
      </w:tr>
      <w:tr w:rsidR="002D5D3F" w:rsidRPr="007D2740" w14:paraId="0FB08726" w14:textId="77777777" w:rsidTr="00D12E9D">
        <w:trPr>
          <w:jc w:val="center"/>
        </w:trPr>
        <w:tc>
          <w:tcPr>
            <w:tcW w:w="4968" w:type="dxa"/>
          </w:tcPr>
          <w:p w14:paraId="2F235A9B" w14:textId="77777777" w:rsidR="002205F1" w:rsidRPr="007D2740" w:rsidRDefault="002205F1" w:rsidP="00572FA4">
            <w:pPr>
              <w:rPr>
                <w:color w:val="000000" w:themeColor="text1"/>
                <w:sz w:val="22"/>
                <w:szCs w:val="22"/>
              </w:rPr>
            </w:pPr>
            <w:r w:rsidRPr="007D2740">
              <w:rPr>
                <w:color w:val="000000" w:themeColor="text1"/>
                <w:sz w:val="22"/>
                <w:szCs w:val="22"/>
              </w:rPr>
              <w:t>Stage</w:t>
            </w:r>
          </w:p>
        </w:tc>
        <w:tc>
          <w:tcPr>
            <w:tcW w:w="2610" w:type="dxa"/>
          </w:tcPr>
          <w:p w14:paraId="7A57A70D" w14:textId="77777777" w:rsidR="002205F1" w:rsidRPr="007D2740" w:rsidRDefault="002205F1" w:rsidP="00572FA4">
            <w:pPr>
              <w:rPr>
                <w:color w:val="000000" w:themeColor="text1"/>
                <w:sz w:val="22"/>
                <w:szCs w:val="22"/>
              </w:rPr>
            </w:pPr>
          </w:p>
        </w:tc>
      </w:tr>
      <w:tr w:rsidR="002D5D3F" w:rsidRPr="007D2740" w14:paraId="69FFA57B" w14:textId="77777777" w:rsidTr="00D12E9D">
        <w:trPr>
          <w:jc w:val="center"/>
        </w:trPr>
        <w:tc>
          <w:tcPr>
            <w:tcW w:w="4968" w:type="dxa"/>
          </w:tcPr>
          <w:p w14:paraId="023D862A" w14:textId="77777777" w:rsidR="002205F1" w:rsidRPr="007D2740" w:rsidRDefault="002205F1" w:rsidP="00572FA4">
            <w:pPr>
              <w:rPr>
                <w:color w:val="000000" w:themeColor="text1"/>
                <w:sz w:val="22"/>
                <w:szCs w:val="22"/>
              </w:rPr>
            </w:pPr>
            <w:r w:rsidRPr="007D2740">
              <w:rPr>
                <w:color w:val="000000" w:themeColor="text1"/>
                <w:sz w:val="22"/>
                <w:szCs w:val="22"/>
              </w:rPr>
              <w:t>   1</w:t>
            </w:r>
          </w:p>
        </w:tc>
        <w:tc>
          <w:tcPr>
            <w:tcW w:w="2610" w:type="dxa"/>
          </w:tcPr>
          <w:p w14:paraId="0D50A611" w14:textId="77777777" w:rsidR="002205F1" w:rsidRPr="007D2740" w:rsidRDefault="002205F1" w:rsidP="00572FA4">
            <w:pPr>
              <w:rPr>
                <w:color w:val="000000" w:themeColor="text1"/>
                <w:sz w:val="22"/>
                <w:szCs w:val="22"/>
              </w:rPr>
            </w:pPr>
            <w:r w:rsidRPr="007D2740">
              <w:rPr>
                <w:color w:val="000000" w:themeColor="text1"/>
                <w:sz w:val="22"/>
                <w:szCs w:val="22"/>
              </w:rPr>
              <w:t>12 (11.2%)</w:t>
            </w:r>
          </w:p>
        </w:tc>
      </w:tr>
      <w:tr w:rsidR="002D5D3F" w:rsidRPr="007D2740" w14:paraId="6CED3396" w14:textId="77777777" w:rsidTr="00D12E9D">
        <w:trPr>
          <w:jc w:val="center"/>
        </w:trPr>
        <w:tc>
          <w:tcPr>
            <w:tcW w:w="4968" w:type="dxa"/>
          </w:tcPr>
          <w:p w14:paraId="0F7C3F36" w14:textId="77777777" w:rsidR="002205F1" w:rsidRPr="007D2740" w:rsidRDefault="002205F1" w:rsidP="00572FA4">
            <w:pPr>
              <w:rPr>
                <w:color w:val="000000" w:themeColor="text1"/>
                <w:sz w:val="22"/>
                <w:szCs w:val="22"/>
              </w:rPr>
            </w:pPr>
            <w:r w:rsidRPr="007D2740">
              <w:rPr>
                <w:color w:val="000000" w:themeColor="text1"/>
                <w:sz w:val="22"/>
                <w:szCs w:val="22"/>
              </w:rPr>
              <w:t>   2</w:t>
            </w:r>
          </w:p>
        </w:tc>
        <w:tc>
          <w:tcPr>
            <w:tcW w:w="2610" w:type="dxa"/>
          </w:tcPr>
          <w:p w14:paraId="2C91B583" w14:textId="77777777" w:rsidR="002205F1" w:rsidRPr="007D2740" w:rsidRDefault="002205F1" w:rsidP="00572FA4">
            <w:pPr>
              <w:rPr>
                <w:color w:val="000000" w:themeColor="text1"/>
                <w:sz w:val="22"/>
                <w:szCs w:val="22"/>
              </w:rPr>
            </w:pPr>
            <w:r w:rsidRPr="007D2740">
              <w:rPr>
                <w:color w:val="000000" w:themeColor="text1"/>
                <w:sz w:val="22"/>
                <w:szCs w:val="22"/>
              </w:rPr>
              <w:t>5 (4.7%)</w:t>
            </w:r>
          </w:p>
        </w:tc>
      </w:tr>
      <w:tr w:rsidR="002D5D3F" w:rsidRPr="007D2740" w14:paraId="3F8261D3" w14:textId="77777777" w:rsidTr="00D12E9D">
        <w:trPr>
          <w:jc w:val="center"/>
        </w:trPr>
        <w:tc>
          <w:tcPr>
            <w:tcW w:w="4968" w:type="dxa"/>
          </w:tcPr>
          <w:p w14:paraId="62E0E8E4" w14:textId="77777777" w:rsidR="002205F1" w:rsidRPr="007D2740" w:rsidRDefault="002205F1" w:rsidP="00572FA4">
            <w:pPr>
              <w:rPr>
                <w:color w:val="000000" w:themeColor="text1"/>
                <w:sz w:val="22"/>
                <w:szCs w:val="22"/>
              </w:rPr>
            </w:pPr>
            <w:r w:rsidRPr="007D2740">
              <w:rPr>
                <w:color w:val="000000" w:themeColor="text1"/>
                <w:sz w:val="22"/>
                <w:szCs w:val="22"/>
              </w:rPr>
              <w:t>   3</w:t>
            </w:r>
          </w:p>
        </w:tc>
        <w:tc>
          <w:tcPr>
            <w:tcW w:w="2610" w:type="dxa"/>
          </w:tcPr>
          <w:p w14:paraId="69536624" w14:textId="77777777" w:rsidR="002205F1" w:rsidRPr="007D2740" w:rsidRDefault="002205F1" w:rsidP="00572FA4">
            <w:pPr>
              <w:rPr>
                <w:color w:val="000000" w:themeColor="text1"/>
                <w:sz w:val="22"/>
                <w:szCs w:val="22"/>
              </w:rPr>
            </w:pPr>
            <w:r w:rsidRPr="007D2740">
              <w:rPr>
                <w:color w:val="000000" w:themeColor="text1"/>
                <w:sz w:val="22"/>
                <w:szCs w:val="22"/>
              </w:rPr>
              <w:t>68 (63.6%)</w:t>
            </w:r>
          </w:p>
        </w:tc>
      </w:tr>
      <w:tr w:rsidR="002D5D3F" w:rsidRPr="007D2740" w14:paraId="61ACBCC3" w14:textId="77777777" w:rsidTr="00D12E9D">
        <w:trPr>
          <w:jc w:val="center"/>
        </w:trPr>
        <w:tc>
          <w:tcPr>
            <w:tcW w:w="4968" w:type="dxa"/>
          </w:tcPr>
          <w:p w14:paraId="07EFA0F7" w14:textId="77777777" w:rsidR="002205F1" w:rsidRPr="007D2740" w:rsidRDefault="002205F1" w:rsidP="00572FA4">
            <w:pPr>
              <w:rPr>
                <w:color w:val="000000" w:themeColor="text1"/>
                <w:sz w:val="22"/>
                <w:szCs w:val="22"/>
              </w:rPr>
            </w:pPr>
            <w:r w:rsidRPr="007D2740">
              <w:rPr>
                <w:color w:val="000000" w:themeColor="text1"/>
                <w:sz w:val="22"/>
                <w:szCs w:val="22"/>
              </w:rPr>
              <w:t>   4</w:t>
            </w:r>
          </w:p>
        </w:tc>
        <w:tc>
          <w:tcPr>
            <w:tcW w:w="2610" w:type="dxa"/>
          </w:tcPr>
          <w:p w14:paraId="0EFED7E2" w14:textId="77777777" w:rsidR="002205F1" w:rsidRPr="007D2740" w:rsidRDefault="002205F1" w:rsidP="00572FA4">
            <w:pPr>
              <w:rPr>
                <w:color w:val="000000" w:themeColor="text1"/>
                <w:sz w:val="22"/>
                <w:szCs w:val="22"/>
              </w:rPr>
            </w:pPr>
            <w:r w:rsidRPr="007D2740">
              <w:rPr>
                <w:color w:val="000000" w:themeColor="text1"/>
                <w:sz w:val="22"/>
                <w:szCs w:val="22"/>
              </w:rPr>
              <w:t>22 (20.6%)</w:t>
            </w:r>
          </w:p>
        </w:tc>
      </w:tr>
      <w:tr w:rsidR="002D5D3F" w:rsidRPr="007D2740" w14:paraId="1BBFE64A" w14:textId="77777777" w:rsidTr="00D12E9D">
        <w:trPr>
          <w:jc w:val="center"/>
        </w:trPr>
        <w:tc>
          <w:tcPr>
            <w:tcW w:w="4968" w:type="dxa"/>
          </w:tcPr>
          <w:p w14:paraId="3AD25F81" w14:textId="77777777" w:rsidR="002205F1" w:rsidRPr="007D2740" w:rsidRDefault="002205F1" w:rsidP="00572FA4">
            <w:pPr>
              <w:rPr>
                <w:color w:val="000000" w:themeColor="text1"/>
                <w:sz w:val="22"/>
                <w:szCs w:val="22"/>
              </w:rPr>
            </w:pPr>
            <w:r w:rsidRPr="007D2740">
              <w:rPr>
                <w:color w:val="000000" w:themeColor="text1"/>
                <w:sz w:val="22"/>
                <w:szCs w:val="22"/>
              </w:rPr>
              <w:t>Grade</w:t>
            </w:r>
          </w:p>
        </w:tc>
        <w:tc>
          <w:tcPr>
            <w:tcW w:w="2610" w:type="dxa"/>
          </w:tcPr>
          <w:p w14:paraId="33A6A976" w14:textId="77777777" w:rsidR="002205F1" w:rsidRPr="007D2740" w:rsidRDefault="002205F1" w:rsidP="00572FA4">
            <w:pPr>
              <w:rPr>
                <w:color w:val="000000" w:themeColor="text1"/>
                <w:sz w:val="22"/>
                <w:szCs w:val="22"/>
              </w:rPr>
            </w:pPr>
          </w:p>
        </w:tc>
      </w:tr>
      <w:tr w:rsidR="002D5D3F" w:rsidRPr="007D2740" w14:paraId="744E440F" w14:textId="77777777" w:rsidTr="00D12E9D">
        <w:trPr>
          <w:jc w:val="center"/>
        </w:trPr>
        <w:tc>
          <w:tcPr>
            <w:tcW w:w="4968" w:type="dxa"/>
          </w:tcPr>
          <w:p w14:paraId="2BF2773B" w14:textId="77777777" w:rsidR="002205F1" w:rsidRPr="007D2740" w:rsidRDefault="002205F1" w:rsidP="00572FA4">
            <w:pPr>
              <w:rPr>
                <w:color w:val="000000" w:themeColor="text1"/>
                <w:sz w:val="22"/>
                <w:szCs w:val="22"/>
              </w:rPr>
            </w:pPr>
            <w:r w:rsidRPr="007D2740">
              <w:rPr>
                <w:color w:val="000000" w:themeColor="text1"/>
                <w:sz w:val="22"/>
                <w:szCs w:val="22"/>
              </w:rPr>
              <w:t>   1</w:t>
            </w:r>
          </w:p>
        </w:tc>
        <w:tc>
          <w:tcPr>
            <w:tcW w:w="2610" w:type="dxa"/>
          </w:tcPr>
          <w:p w14:paraId="0FD4DDD1" w14:textId="77777777" w:rsidR="002205F1" w:rsidRPr="007D2740" w:rsidRDefault="002205F1" w:rsidP="00572FA4">
            <w:pPr>
              <w:rPr>
                <w:color w:val="000000" w:themeColor="text1"/>
                <w:sz w:val="22"/>
                <w:szCs w:val="22"/>
              </w:rPr>
            </w:pPr>
            <w:r w:rsidRPr="007D2740">
              <w:rPr>
                <w:color w:val="000000" w:themeColor="text1"/>
                <w:sz w:val="22"/>
                <w:szCs w:val="22"/>
              </w:rPr>
              <w:t>4 (3.7%)</w:t>
            </w:r>
          </w:p>
        </w:tc>
      </w:tr>
      <w:tr w:rsidR="002D5D3F" w:rsidRPr="007D2740" w14:paraId="74B6FFB4" w14:textId="77777777" w:rsidTr="00D12E9D">
        <w:trPr>
          <w:jc w:val="center"/>
        </w:trPr>
        <w:tc>
          <w:tcPr>
            <w:tcW w:w="4968" w:type="dxa"/>
          </w:tcPr>
          <w:p w14:paraId="7995E8EF" w14:textId="77777777" w:rsidR="002205F1" w:rsidRPr="007D2740" w:rsidRDefault="002205F1" w:rsidP="00572FA4">
            <w:pPr>
              <w:rPr>
                <w:color w:val="000000" w:themeColor="text1"/>
                <w:sz w:val="22"/>
                <w:szCs w:val="22"/>
              </w:rPr>
            </w:pPr>
            <w:r w:rsidRPr="007D2740">
              <w:rPr>
                <w:color w:val="000000" w:themeColor="text1"/>
                <w:sz w:val="22"/>
                <w:szCs w:val="22"/>
              </w:rPr>
              <w:t>   2</w:t>
            </w:r>
          </w:p>
        </w:tc>
        <w:tc>
          <w:tcPr>
            <w:tcW w:w="2610" w:type="dxa"/>
          </w:tcPr>
          <w:p w14:paraId="071611D6" w14:textId="77777777" w:rsidR="002205F1" w:rsidRPr="007D2740" w:rsidRDefault="002205F1" w:rsidP="00572FA4">
            <w:pPr>
              <w:rPr>
                <w:color w:val="000000" w:themeColor="text1"/>
                <w:sz w:val="22"/>
                <w:szCs w:val="22"/>
              </w:rPr>
            </w:pPr>
            <w:r w:rsidRPr="007D2740">
              <w:rPr>
                <w:color w:val="000000" w:themeColor="text1"/>
                <w:sz w:val="22"/>
                <w:szCs w:val="22"/>
              </w:rPr>
              <w:t>11 (10.3%)</w:t>
            </w:r>
          </w:p>
        </w:tc>
      </w:tr>
      <w:tr w:rsidR="002D5D3F" w:rsidRPr="007D2740" w14:paraId="20D1DAEF" w14:textId="77777777" w:rsidTr="00D12E9D">
        <w:trPr>
          <w:jc w:val="center"/>
        </w:trPr>
        <w:tc>
          <w:tcPr>
            <w:tcW w:w="4968" w:type="dxa"/>
          </w:tcPr>
          <w:p w14:paraId="2B7C88BD" w14:textId="77777777" w:rsidR="002205F1" w:rsidRPr="007D2740" w:rsidRDefault="002205F1" w:rsidP="00572FA4">
            <w:pPr>
              <w:rPr>
                <w:color w:val="000000" w:themeColor="text1"/>
                <w:sz w:val="22"/>
                <w:szCs w:val="22"/>
              </w:rPr>
            </w:pPr>
            <w:r w:rsidRPr="007D2740">
              <w:rPr>
                <w:color w:val="000000" w:themeColor="text1"/>
                <w:sz w:val="22"/>
                <w:szCs w:val="22"/>
              </w:rPr>
              <w:t>   3</w:t>
            </w:r>
          </w:p>
        </w:tc>
        <w:tc>
          <w:tcPr>
            <w:tcW w:w="2610" w:type="dxa"/>
          </w:tcPr>
          <w:p w14:paraId="6396874F" w14:textId="77777777" w:rsidR="002205F1" w:rsidRPr="007D2740" w:rsidRDefault="002205F1" w:rsidP="00572FA4">
            <w:pPr>
              <w:rPr>
                <w:color w:val="000000" w:themeColor="text1"/>
                <w:sz w:val="22"/>
                <w:szCs w:val="22"/>
              </w:rPr>
            </w:pPr>
            <w:r w:rsidRPr="007D2740">
              <w:rPr>
                <w:color w:val="000000" w:themeColor="text1"/>
                <w:sz w:val="22"/>
                <w:szCs w:val="22"/>
              </w:rPr>
              <w:t>92 (86.0%)</w:t>
            </w:r>
          </w:p>
        </w:tc>
      </w:tr>
      <w:tr w:rsidR="002D5D3F" w:rsidRPr="007D2740" w14:paraId="456EFA41" w14:textId="77777777" w:rsidTr="00D12E9D">
        <w:trPr>
          <w:jc w:val="center"/>
        </w:trPr>
        <w:tc>
          <w:tcPr>
            <w:tcW w:w="4968" w:type="dxa"/>
          </w:tcPr>
          <w:p w14:paraId="2DC8D89E" w14:textId="77777777" w:rsidR="002205F1" w:rsidRPr="007D2740" w:rsidRDefault="002205F1" w:rsidP="00572FA4">
            <w:pPr>
              <w:rPr>
                <w:color w:val="000000" w:themeColor="text1"/>
                <w:sz w:val="22"/>
                <w:szCs w:val="22"/>
              </w:rPr>
            </w:pPr>
            <w:r w:rsidRPr="007D2740">
              <w:rPr>
                <w:color w:val="000000" w:themeColor="text1"/>
                <w:sz w:val="22"/>
                <w:szCs w:val="22"/>
              </w:rPr>
              <w:t>Platinum Chemo?</w:t>
            </w:r>
          </w:p>
        </w:tc>
        <w:tc>
          <w:tcPr>
            <w:tcW w:w="2610" w:type="dxa"/>
          </w:tcPr>
          <w:p w14:paraId="0D2AFE6B" w14:textId="77777777" w:rsidR="002205F1" w:rsidRPr="007D2740" w:rsidRDefault="002205F1" w:rsidP="00572FA4">
            <w:pPr>
              <w:rPr>
                <w:color w:val="000000" w:themeColor="text1"/>
                <w:sz w:val="22"/>
                <w:szCs w:val="22"/>
              </w:rPr>
            </w:pPr>
          </w:p>
        </w:tc>
      </w:tr>
      <w:tr w:rsidR="002D5D3F" w:rsidRPr="007D2740" w14:paraId="2256F971" w14:textId="77777777" w:rsidTr="00D12E9D">
        <w:trPr>
          <w:jc w:val="center"/>
        </w:trPr>
        <w:tc>
          <w:tcPr>
            <w:tcW w:w="4968" w:type="dxa"/>
          </w:tcPr>
          <w:p w14:paraId="4D836FF8" w14:textId="77777777" w:rsidR="002205F1" w:rsidRPr="007D2740" w:rsidRDefault="002205F1" w:rsidP="00572FA4">
            <w:pPr>
              <w:rPr>
                <w:color w:val="000000" w:themeColor="text1"/>
                <w:sz w:val="22"/>
                <w:szCs w:val="22"/>
              </w:rPr>
            </w:pPr>
            <w:r w:rsidRPr="007D2740">
              <w:rPr>
                <w:color w:val="000000" w:themeColor="text1"/>
                <w:sz w:val="22"/>
                <w:szCs w:val="22"/>
              </w:rPr>
              <w:t>   N-Miss</w:t>
            </w:r>
          </w:p>
        </w:tc>
        <w:tc>
          <w:tcPr>
            <w:tcW w:w="2610" w:type="dxa"/>
          </w:tcPr>
          <w:p w14:paraId="466B6D90" w14:textId="77777777" w:rsidR="002205F1" w:rsidRPr="007D2740" w:rsidRDefault="002205F1" w:rsidP="00572FA4">
            <w:pPr>
              <w:rPr>
                <w:color w:val="000000" w:themeColor="text1"/>
                <w:sz w:val="22"/>
                <w:szCs w:val="22"/>
              </w:rPr>
            </w:pPr>
            <w:r w:rsidRPr="007D2740">
              <w:rPr>
                <w:color w:val="000000" w:themeColor="text1"/>
                <w:sz w:val="22"/>
                <w:szCs w:val="22"/>
              </w:rPr>
              <w:t>17</w:t>
            </w:r>
          </w:p>
        </w:tc>
      </w:tr>
      <w:tr w:rsidR="002D5D3F" w:rsidRPr="007D2740" w14:paraId="5D0E8267" w14:textId="77777777" w:rsidTr="00D12E9D">
        <w:trPr>
          <w:jc w:val="center"/>
        </w:trPr>
        <w:tc>
          <w:tcPr>
            <w:tcW w:w="4968" w:type="dxa"/>
          </w:tcPr>
          <w:p w14:paraId="7DAC2C81" w14:textId="77777777" w:rsidR="002205F1" w:rsidRPr="007D2740" w:rsidRDefault="002205F1" w:rsidP="00572FA4">
            <w:pPr>
              <w:rPr>
                <w:color w:val="000000" w:themeColor="text1"/>
                <w:sz w:val="22"/>
                <w:szCs w:val="22"/>
              </w:rPr>
            </w:pPr>
            <w:r w:rsidRPr="007D2740">
              <w:rPr>
                <w:color w:val="000000" w:themeColor="text1"/>
                <w:sz w:val="22"/>
                <w:szCs w:val="22"/>
              </w:rPr>
              <w:t>   yes</w:t>
            </w:r>
          </w:p>
        </w:tc>
        <w:tc>
          <w:tcPr>
            <w:tcW w:w="2610" w:type="dxa"/>
          </w:tcPr>
          <w:p w14:paraId="51344381" w14:textId="77777777" w:rsidR="002205F1" w:rsidRPr="007D2740" w:rsidRDefault="002205F1" w:rsidP="00572FA4">
            <w:pPr>
              <w:rPr>
                <w:color w:val="000000" w:themeColor="text1"/>
                <w:sz w:val="22"/>
                <w:szCs w:val="22"/>
              </w:rPr>
            </w:pPr>
            <w:r w:rsidRPr="007D2740">
              <w:rPr>
                <w:color w:val="000000" w:themeColor="text1"/>
                <w:sz w:val="22"/>
                <w:szCs w:val="22"/>
              </w:rPr>
              <w:t>90 (100.0%)</w:t>
            </w:r>
          </w:p>
        </w:tc>
      </w:tr>
      <w:tr w:rsidR="002D5D3F" w:rsidRPr="007D2740" w14:paraId="1228AF32" w14:textId="77777777" w:rsidTr="00D12E9D">
        <w:trPr>
          <w:jc w:val="center"/>
        </w:trPr>
        <w:tc>
          <w:tcPr>
            <w:tcW w:w="4968" w:type="dxa"/>
          </w:tcPr>
          <w:p w14:paraId="10ADA1C2" w14:textId="77777777" w:rsidR="002205F1" w:rsidRPr="007D2740" w:rsidRDefault="002205F1" w:rsidP="00572FA4">
            <w:pPr>
              <w:rPr>
                <w:color w:val="000000" w:themeColor="text1"/>
                <w:sz w:val="22"/>
                <w:szCs w:val="22"/>
              </w:rPr>
            </w:pPr>
            <w:proofErr w:type="spellStart"/>
            <w:r w:rsidRPr="007D2740">
              <w:rPr>
                <w:color w:val="000000" w:themeColor="text1"/>
                <w:sz w:val="22"/>
                <w:szCs w:val="22"/>
              </w:rPr>
              <w:t>Taxane</w:t>
            </w:r>
            <w:proofErr w:type="spellEnd"/>
            <w:r w:rsidRPr="007D2740">
              <w:rPr>
                <w:color w:val="000000" w:themeColor="text1"/>
                <w:sz w:val="22"/>
                <w:szCs w:val="22"/>
              </w:rPr>
              <w:t xml:space="preserve"> Chemo?</w:t>
            </w:r>
          </w:p>
        </w:tc>
        <w:tc>
          <w:tcPr>
            <w:tcW w:w="2610" w:type="dxa"/>
          </w:tcPr>
          <w:p w14:paraId="70233803" w14:textId="77777777" w:rsidR="002205F1" w:rsidRPr="007D2740" w:rsidRDefault="002205F1" w:rsidP="00572FA4">
            <w:pPr>
              <w:rPr>
                <w:color w:val="000000" w:themeColor="text1"/>
                <w:sz w:val="22"/>
                <w:szCs w:val="22"/>
              </w:rPr>
            </w:pPr>
          </w:p>
        </w:tc>
      </w:tr>
      <w:tr w:rsidR="002D5D3F" w:rsidRPr="007D2740" w14:paraId="4DD35007" w14:textId="77777777" w:rsidTr="00D12E9D">
        <w:trPr>
          <w:jc w:val="center"/>
        </w:trPr>
        <w:tc>
          <w:tcPr>
            <w:tcW w:w="4968" w:type="dxa"/>
          </w:tcPr>
          <w:p w14:paraId="3DD5DE6A" w14:textId="77777777" w:rsidR="002205F1" w:rsidRPr="007D2740" w:rsidRDefault="002205F1" w:rsidP="00572FA4">
            <w:pPr>
              <w:rPr>
                <w:color w:val="000000" w:themeColor="text1"/>
                <w:sz w:val="22"/>
                <w:szCs w:val="22"/>
              </w:rPr>
            </w:pPr>
            <w:r w:rsidRPr="007D2740">
              <w:rPr>
                <w:color w:val="000000" w:themeColor="text1"/>
                <w:sz w:val="22"/>
                <w:szCs w:val="22"/>
              </w:rPr>
              <w:t>   N-Miss</w:t>
            </w:r>
          </w:p>
        </w:tc>
        <w:tc>
          <w:tcPr>
            <w:tcW w:w="2610" w:type="dxa"/>
          </w:tcPr>
          <w:p w14:paraId="50C26CC3" w14:textId="77777777" w:rsidR="002205F1" w:rsidRPr="007D2740" w:rsidRDefault="002205F1" w:rsidP="00572FA4">
            <w:pPr>
              <w:rPr>
                <w:color w:val="000000" w:themeColor="text1"/>
                <w:sz w:val="22"/>
                <w:szCs w:val="22"/>
              </w:rPr>
            </w:pPr>
            <w:r w:rsidRPr="007D2740">
              <w:rPr>
                <w:color w:val="000000" w:themeColor="text1"/>
                <w:sz w:val="22"/>
                <w:szCs w:val="22"/>
              </w:rPr>
              <w:t>17</w:t>
            </w:r>
          </w:p>
        </w:tc>
      </w:tr>
      <w:tr w:rsidR="002D5D3F" w:rsidRPr="007D2740" w14:paraId="2D8D58A6" w14:textId="77777777" w:rsidTr="00D12E9D">
        <w:trPr>
          <w:jc w:val="center"/>
        </w:trPr>
        <w:tc>
          <w:tcPr>
            <w:tcW w:w="4968" w:type="dxa"/>
          </w:tcPr>
          <w:p w14:paraId="3EB1F88E" w14:textId="77777777" w:rsidR="002205F1" w:rsidRPr="007D2740" w:rsidRDefault="002205F1" w:rsidP="00572FA4">
            <w:pPr>
              <w:rPr>
                <w:color w:val="000000" w:themeColor="text1"/>
                <w:sz w:val="22"/>
                <w:szCs w:val="22"/>
              </w:rPr>
            </w:pPr>
            <w:r w:rsidRPr="007D2740">
              <w:rPr>
                <w:color w:val="000000" w:themeColor="text1"/>
                <w:sz w:val="22"/>
                <w:szCs w:val="22"/>
              </w:rPr>
              <w:lastRenderedPageBreak/>
              <w:t>   no</w:t>
            </w:r>
          </w:p>
        </w:tc>
        <w:tc>
          <w:tcPr>
            <w:tcW w:w="2610" w:type="dxa"/>
          </w:tcPr>
          <w:p w14:paraId="4C993B86" w14:textId="77777777" w:rsidR="002205F1" w:rsidRPr="007D2740" w:rsidRDefault="002205F1" w:rsidP="00572FA4">
            <w:pPr>
              <w:rPr>
                <w:color w:val="000000" w:themeColor="text1"/>
                <w:sz w:val="22"/>
                <w:szCs w:val="22"/>
              </w:rPr>
            </w:pPr>
            <w:r w:rsidRPr="007D2740">
              <w:rPr>
                <w:color w:val="000000" w:themeColor="text1"/>
                <w:sz w:val="22"/>
                <w:szCs w:val="22"/>
              </w:rPr>
              <w:t>2 (2.2%)</w:t>
            </w:r>
          </w:p>
        </w:tc>
      </w:tr>
      <w:tr w:rsidR="002D5D3F" w:rsidRPr="007D2740" w14:paraId="253E9A05" w14:textId="77777777" w:rsidTr="00D12E9D">
        <w:trPr>
          <w:jc w:val="center"/>
        </w:trPr>
        <w:tc>
          <w:tcPr>
            <w:tcW w:w="4968" w:type="dxa"/>
          </w:tcPr>
          <w:p w14:paraId="228EB166" w14:textId="77777777" w:rsidR="002205F1" w:rsidRPr="007D2740" w:rsidRDefault="002205F1" w:rsidP="00572FA4">
            <w:pPr>
              <w:rPr>
                <w:color w:val="000000" w:themeColor="text1"/>
                <w:sz w:val="22"/>
                <w:szCs w:val="22"/>
              </w:rPr>
            </w:pPr>
            <w:r w:rsidRPr="007D2740">
              <w:rPr>
                <w:color w:val="000000" w:themeColor="text1"/>
                <w:sz w:val="22"/>
                <w:szCs w:val="22"/>
              </w:rPr>
              <w:t>   yes</w:t>
            </w:r>
          </w:p>
        </w:tc>
        <w:tc>
          <w:tcPr>
            <w:tcW w:w="2610" w:type="dxa"/>
          </w:tcPr>
          <w:p w14:paraId="57384868" w14:textId="77777777" w:rsidR="002205F1" w:rsidRPr="007D2740" w:rsidRDefault="002205F1" w:rsidP="00572FA4">
            <w:pPr>
              <w:rPr>
                <w:color w:val="000000" w:themeColor="text1"/>
                <w:sz w:val="22"/>
                <w:szCs w:val="22"/>
              </w:rPr>
            </w:pPr>
            <w:r w:rsidRPr="007D2740">
              <w:rPr>
                <w:color w:val="000000" w:themeColor="text1"/>
                <w:sz w:val="22"/>
                <w:szCs w:val="22"/>
              </w:rPr>
              <w:t>88 (97.8%)</w:t>
            </w:r>
          </w:p>
        </w:tc>
      </w:tr>
      <w:tr w:rsidR="002D5D3F" w:rsidRPr="007D2740" w14:paraId="4C717045" w14:textId="77777777" w:rsidTr="00D12E9D">
        <w:trPr>
          <w:jc w:val="center"/>
        </w:trPr>
        <w:tc>
          <w:tcPr>
            <w:tcW w:w="4968" w:type="dxa"/>
          </w:tcPr>
          <w:p w14:paraId="6DA77C4B" w14:textId="77777777" w:rsidR="002205F1" w:rsidRPr="007D2740" w:rsidRDefault="002205F1" w:rsidP="00572FA4">
            <w:pPr>
              <w:rPr>
                <w:color w:val="000000" w:themeColor="text1"/>
                <w:sz w:val="22"/>
                <w:szCs w:val="22"/>
              </w:rPr>
            </w:pPr>
            <w:r w:rsidRPr="007D2740">
              <w:rPr>
                <w:color w:val="000000" w:themeColor="text1"/>
                <w:sz w:val="22"/>
                <w:szCs w:val="22"/>
              </w:rPr>
              <w:t xml:space="preserve">Surgery </w:t>
            </w:r>
            <w:proofErr w:type="spellStart"/>
            <w:r w:rsidRPr="007D2740">
              <w:rPr>
                <w:color w:val="000000" w:themeColor="text1"/>
                <w:sz w:val="22"/>
                <w:szCs w:val="22"/>
              </w:rPr>
              <w:t>Occurence</w:t>
            </w:r>
            <w:proofErr w:type="spellEnd"/>
          </w:p>
        </w:tc>
        <w:tc>
          <w:tcPr>
            <w:tcW w:w="2610" w:type="dxa"/>
          </w:tcPr>
          <w:p w14:paraId="4D583837" w14:textId="77777777" w:rsidR="002205F1" w:rsidRPr="007D2740" w:rsidRDefault="002205F1" w:rsidP="00572FA4">
            <w:pPr>
              <w:rPr>
                <w:color w:val="000000" w:themeColor="text1"/>
                <w:sz w:val="22"/>
                <w:szCs w:val="22"/>
              </w:rPr>
            </w:pPr>
          </w:p>
        </w:tc>
      </w:tr>
      <w:tr w:rsidR="002D5D3F" w:rsidRPr="007D2740" w14:paraId="09A05BEC" w14:textId="77777777" w:rsidTr="00D12E9D">
        <w:trPr>
          <w:jc w:val="center"/>
        </w:trPr>
        <w:tc>
          <w:tcPr>
            <w:tcW w:w="4968" w:type="dxa"/>
          </w:tcPr>
          <w:p w14:paraId="36ECDC30" w14:textId="77777777" w:rsidR="002205F1" w:rsidRPr="007D2740" w:rsidRDefault="002205F1" w:rsidP="00572FA4">
            <w:pPr>
              <w:rPr>
                <w:color w:val="000000" w:themeColor="text1"/>
                <w:sz w:val="22"/>
                <w:szCs w:val="22"/>
              </w:rPr>
            </w:pPr>
            <w:r w:rsidRPr="007D2740">
              <w:rPr>
                <w:color w:val="000000" w:themeColor="text1"/>
                <w:sz w:val="22"/>
                <w:szCs w:val="22"/>
              </w:rPr>
              <w:t>   Primary debulking</w:t>
            </w:r>
          </w:p>
        </w:tc>
        <w:tc>
          <w:tcPr>
            <w:tcW w:w="2610" w:type="dxa"/>
          </w:tcPr>
          <w:p w14:paraId="37C7DE1A" w14:textId="77777777" w:rsidR="002205F1" w:rsidRPr="007D2740" w:rsidRDefault="002205F1" w:rsidP="00572FA4">
            <w:pPr>
              <w:rPr>
                <w:color w:val="000000" w:themeColor="text1"/>
                <w:sz w:val="22"/>
                <w:szCs w:val="22"/>
              </w:rPr>
            </w:pPr>
            <w:r w:rsidRPr="007D2740">
              <w:rPr>
                <w:color w:val="000000" w:themeColor="text1"/>
                <w:sz w:val="22"/>
                <w:szCs w:val="22"/>
              </w:rPr>
              <w:t>102 (95.3%)</w:t>
            </w:r>
          </w:p>
        </w:tc>
      </w:tr>
      <w:tr w:rsidR="002D5D3F" w:rsidRPr="007D2740" w14:paraId="205814AF" w14:textId="77777777" w:rsidTr="00D12E9D">
        <w:trPr>
          <w:jc w:val="center"/>
        </w:trPr>
        <w:tc>
          <w:tcPr>
            <w:tcW w:w="4968" w:type="dxa"/>
          </w:tcPr>
          <w:p w14:paraId="67F3235B" w14:textId="77777777" w:rsidR="002205F1" w:rsidRPr="007D2740" w:rsidRDefault="002205F1" w:rsidP="00572FA4">
            <w:pPr>
              <w:rPr>
                <w:color w:val="000000" w:themeColor="text1"/>
                <w:sz w:val="22"/>
                <w:szCs w:val="22"/>
              </w:rPr>
            </w:pPr>
            <w:r w:rsidRPr="007D2740">
              <w:rPr>
                <w:color w:val="000000" w:themeColor="text1"/>
                <w:sz w:val="22"/>
                <w:szCs w:val="22"/>
              </w:rPr>
              <w:t>   Interval debulking</w:t>
            </w:r>
          </w:p>
        </w:tc>
        <w:tc>
          <w:tcPr>
            <w:tcW w:w="2610" w:type="dxa"/>
          </w:tcPr>
          <w:p w14:paraId="75A043DB" w14:textId="77777777" w:rsidR="002205F1" w:rsidRPr="007D2740" w:rsidRDefault="002205F1" w:rsidP="00572FA4">
            <w:pPr>
              <w:rPr>
                <w:color w:val="000000" w:themeColor="text1"/>
                <w:sz w:val="22"/>
                <w:szCs w:val="22"/>
              </w:rPr>
            </w:pPr>
            <w:r w:rsidRPr="007D2740">
              <w:rPr>
                <w:color w:val="000000" w:themeColor="text1"/>
                <w:sz w:val="22"/>
                <w:szCs w:val="22"/>
              </w:rPr>
              <w:t>2 (1.9%)</w:t>
            </w:r>
          </w:p>
        </w:tc>
      </w:tr>
      <w:tr w:rsidR="002D5D3F" w:rsidRPr="007D2740" w14:paraId="0ED9D31C" w14:textId="77777777" w:rsidTr="00D12E9D">
        <w:trPr>
          <w:jc w:val="center"/>
        </w:trPr>
        <w:tc>
          <w:tcPr>
            <w:tcW w:w="4968" w:type="dxa"/>
          </w:tcPr>
          <w:p w14:paraId="6E1E353E" w14:textId="77777777" w:rsidR="002205F1" w:rsidRPr="007D2740" w:rsidRDefault="002205F1" w:rsidP="00572FA4">
            <w:pPr>
              <w:rPr>
                <w:color w:val="000000" w:themeColor="text1"/>
                <w:sz w:val="22"/>
                <w:szCs w:val="22"/>
              </w:rPr>
            </w:pPr>
            <w:r w:rsidRPr="007D2740">
              <w:rPr>
                <w:color w:val="000000" w:themeColor="text1"/>
                <w:sz w:val="22"/>
                <w:szCs w:val="22"/>
              </w:rPr>
              <w:t>   Diagnostic procedure</w:t>
            </w:r>
          </w:p>
        </w:tc>
        <w:tc>
          <w:tcPr>
            <w:tcW w:w="2610" w:type="dxa"/>
          </w:tcPr>
          <w:p w14:paraId="17ED8A28" w14:textId="77777777" w:rsidR="002205F1" w:rsidRPr="007D2740" w:rsidRDefault="002205F1" w:rsidP="00572FA4">
            <w:pPr>
              <w:rPr>
                <w:color w:val="000000" w:themeColor="text1"/>
                <w:sz w:val="22"/>
                <w:szCs w:val="22"/>
              </w:rPr>
            </w:pPr>
            <w:r w:rsidRPr="007D2740">
              <w:rPr>
                <w:color w:val="000000" w:themeColor="text1"/>
                <w:sz w:val="22"/>
                <w:szCs w:val="22"/>
              </w:rPr>
              <w:t>3 (2.8%)</w:t>
            </w:r>
          </w:p>
        </w:tc>
      </w:tr>
      <w:tr w:rsidR="002D5D3F" w:rsidRPr="007D2740" w14:paraId="7C222D34" w14:textId="77777777" w:rsidTr="00D12E9D">
        <w:trPr>
          <w:jc w:val="center"/>
        </w:trPr>
        <w:tc>
          <w:tcPr>
            <w:tcW w:w="4968" w:type="dxa"/>
          </w:tcPr>
          <w:p w14:paraId="5584A3F3" w14:textId="77777777" w:rsidR="002205F1" w:rsidRPr="007D2740" w:rsidRDefault="002205F1" w:rsidP="00572FA4">
            <w:pPr>
              <w:rPr>
                <w:color w:val="000000" w:themeColor="text1"/>
                <w:sz w:val="22"/>
                <w:szCs w:val="22"/>
              </w:rPr>
            </w:pPr>
            <w:r w:rsidRPr="007D2740">
              <w:rPr>
                <w:color w:val="000000" w:themeColor="text1"/>
                <w:sz w:val="22"/>
                <w:szCs w:val="22"/>
              </w:rPr>
              <w:t>Debulking Status</w:t>
            </w:r>
          </w:p>
        </w:tc>
        <w:tc>
          <w:tcPr>
            <w:tcW w:w="2610" w:type="dxa"/>
          </w:tcPr>
          <w:p w14:paraId="5C9285C1" w14:textId="77777777" w:rsidR="002205F1" w:rsidRPr="007D2740" w:rsidRDefault="002205F1" w:rsidP="00572FA4">
            <w:pPr>
              <w:rPr>
                <w:color w:val="000000" w:themeColor="text1"/>
                <w:sz w:val="22"/>
                <w:szCs w:val="22"/>
              </w:rPr>
            </w:pPr>
          </w:p>
        </w:tc>
      </w:tr>
      <w:tr w:rsidR="002D5D3F" w:rsidRPr="007D2740" w14:paraId="136E3A76" w14:textId="77777777" w:rsidTr="00D12E9D">
        <w:trPr>
          <w:jc w:val="center"/>
        </w:trPr>
        <w:tc>
          <w:tcPr>
            <w:tcW w:w="4968" w:type="dxa"/>
          </w:tcPr>
          <w:p w14:paraId="462D19E7" w14:textId="77777777" w:rsidR="002205F1" w:rsidRPr="007D2740" w:rsidRDefault="002205F1" w:rsidP="00572FA4">
            <w:pPr>
              <w:rPr>
                <w:color w:val="000000" w:themeColor="text1"/>
                <w:sz w:val="22"/>
                <w:szCs w:val="22"/>
              </w:rPr>
            </w:pPr>
            <w:r w:rsidRPr="007D2740">
              <w:rPr>
                <w:color w:val="000000" w:themeColor="text1"/>
                <w:sz w:val="22"/>
                <w:szCs w:val="22"/>
              </w:rPr>
              <w:t>   Optimal; no macroscopic disease</w:t>
            </w:r>
          </w:p>
        </w:tc>
        <w:tc>
          <w:tcPr>
            <w:tcW w:w="2610" w:type="dxa"/>
          </w:tcPr>
          <w:p w14:paraId="4B47900E" w14:textId="77777777" w:rsidR="002205F1" w:rsidRPr="007D2740" w:rsidRDefault="002205F1" w:rsidP="00572FA4">
            <w:pPr>
              <w:rPr>
                <w:color w:val="000000" w:themeColor="text1"/>
                <w:sz w:val="22"/>
                <w:szCs w:val="22"/>
              </w:rPr>
            </w:pPr>
            <w:r w:rsidRPr="007D2740">
              <w:rPr>
                <w:color w:val="000000" w:themeColor="text1"/>
                <w:sz w:val="22"/>
                <w:szCs w:val="22"/>
              </w:rPr>
              <w:t>34 (31.8%)</w:t>
            </w:r>
          </w:p>
        </w:tc>
      </w:tr>
      <w:tr w:rsidR="002D5D3F" w:rsidRPr="007D2740" w14:paraId="2C454B51" w14:textId="77777777" w:rsidTr="00D12E9D">
        <w:trPr>
          <w:jc w:val="center"/>
        </w:trPr>
        <w:tc>
          <w:tcPr>
            <w:tcW w:w="4968" w:type="dxa"/>
          </w:tcPr>
          <w:p w14:paraId="06C57E63" w14:textId="77777777" w:rsidR="002205F1" w:rsidRPr="007D2740" w:rsidRDefault="002205F1" w:rsidP="00572FA4">
            <w:pPr>
              <w:rPr>
                <w:color w:val="000000" w:themeColor="text1"/>
                <w:sz w:val="22"/>
                <w:szCs w:val="22"/>
              </w:rPr>
            </w:pPr>
            <w:r w:rsidRPr="007D2740">
              <w:rPr>
                <w:color w:val="000000" w:themeColor="text1"/>
                <w:sz w:val="22"/>
                <w:szCs w:val="22"/>
              </w:rPr>
              <w:t>   Optimal; macroscopic disease &lt;1 cm</w:t>
            </w:r>
          </w:p>
        </w:tc>
        <w:tc>
          <w:tcPr>
            <w:tcW w:w="2610" w:type="dxa"/>
          </w:tcPr>
          <w:p w14:paraId="618E544F" w14:textId="77777777" w:rsidR="002205F1" w:rsidRPr="007D2740" w:rsidRDefault="002205F1" w:rsidP="00572FA4">
            <w:pPr>
              <w:rPr>
                <w:color w:val="000000" w:themeColor="text1"/>
                <w:sz w:val="22"/>
                <w:szCs w:val="22"/>
              </w:rPr>
            </w:pPr>
            <w:r w:rsidRPr="007D2740">
              <w:rPr>
                <w:color w:val="000000" w:themeColor="text1"/>
                <w:sz w:val="22"/>
                <w:szCs w:val="22"/>
              </w:rPr>
              <w:t>27 (25.2%)</w:t>
            </w:r>
          </w:p>
        </w:tc>
      </w:tr>
      <w:tr w:rsidR="002D5D3F" w:rsidRPr="007D2740" w14:paraId="74F05002" w14:textId="77777777" w:rsidTr="00D12E9D">
        <w:trPr>
          <w:jc w:val="center"/>
        </w:trPr>
        <w:tc>
          <w:tcPr>
            <w:tcW w:w="4968" w:type="dxa"/>
          </w:tcPr>
          <w:p w14:paraId="79673C7D" w14:textId="77777777" w:rsidR="002205F1" w:rsidRPr="007D2740" w:rsidRDefault="002205F1" w:rsidP="00572FA4">
            <w:pPr>
              <w:rPr>
                <w:color w:val="000000" w:themeColor="text1"/>
                <w:sz w:val="22"/>
                <w:szCs w:val="22"/>
              </w:rPr>
            </w:pPr>
            <w:r w:rsidRPr="007D2740">
              <w:rPr>
                <w:color w:val="000000" w:themeColor="text1"/>
                <w:sz w:val="22"/>
                <w:szCs w:val="22"/>
              </w:rPr>
              <w:t>   Optimal; macroscopic disease unknown</w:t>
            </w:r>
          </w:p>
        </w:tc>
        <w:tc>
          <w:tcPr>
            <w:tcW w:w="2610" w:type="dxa"/>
          </w:tcPr>
          <w:p w14:paraId="08886DFE" w14:textId="77777777" w:rsidR="002205F1" w:rsidRPr="007D2740" w:rsidRDefault="002205F1" w:rsidP="00572FA4">
            <w:pPr>
              <w:rPr>
                <w:color w:val="000000" w:themeColor="text1"/>
                <w:sz w:val="22"/>
                <w:szCs w:val="22"/>
              </w:rPr>
            </w:pPr>
            <w:r w:rsidRPr="007D2740">
              <w:rPr>
                <w:color w:val="000000" w:themeColor="text1"/>
                <w:sz w:val="22"/>
                <w:szCs w:val="22"/>
              </w:rPr>
              <w:t>20 (18.7%)</w:t>
            </w:r>
          </w:p>
        </w:tc>
      </w:tr>
      <w:tr w:rsidR="002D5D3F" w:rsidRPr="007D2740" w14:paraId="28E7C8E2" w14:textId="77777777" w:rsidTr="00D12E9D">
        <w:trPr>
          <w:jc w:val="center"/>
        </w:trPr>
        <w:tc>
          <w:tcPr>
            <w:tcW w:w="4968" w:type="dxa"/>
          </w:tcPr>
          <w:p w14:paraId="423A5968" w14:textId="77777777" w:rsidR="002205F1" w:rsidRPr="007D2740" w:rsidRDefault="002205F1" w:rsidP="00572FA4">
            <w:pPr>
              <w:rPr>
                <w:color w:val="000000" w:themeColor="text1"/>
                <w:sz w:val="22"/>
                <w:szCs w:val="22"/>
              </w:rPr>
            </w:pPr>
            <w:r w:rsidRPr="007D2740">
              <w:rPr>
                <w:color w:val="000000" w:themeColor="text1"/>
                <w:sz w:val="22"/>
                <w:szCs w:val="22"/>
              </w:rPr>
              <w:t>   Sub-optimal</w:t>
            </w:r>
          </w:p>
        </w:tc>
        <w:tc>
          <w:tcPr>
            <w:tcW w:w="2610" w:type="dxa"/>
          </w:tcPr>
          <w:p w14:paraId="5384CE36" w14:textId="77777777" w:rsidR="002205F1" w:rsidRPr="007D2740" w:rsidRDefault="002205F1" w:rsidP="00572FA4">
            <w:pPr>
              <w:rPr>
                <w:color w:val="000000" w:themeColor="text1"/>
                <w:sz w:val="22"/>
                <w:szCs w:val="22"/>
              </w:rPr>
            </w:pPr>
            <w:r w:rsidRPr="007D2740">
              <w:rPr>
                <w:color w:val="000000" w:themeColor="text1"/>
                <w:sz w:val="22"/>
                <w:szCs w:val="22"/>
              </w:rPr>
              <w:t>23 (21.5%)</w:t>
            </w:r>
          </w:p>
        </w:tc>
      </w:tr>
      <w:tr w:rsidR="002D5D3F" w:rsidRPr="007D2740" w14:paraId="56A07CBD" w14:textId="77777777" w:rsidTr="00D12E9D">
        <w:trPr>
          <w:jc w:val="center"/>
        </w:trPr>
        <w:tc>
          <w:tcPr>
            <w:tcW w:w="4968" w:type="dxa"/>
          </w:tcPr>
          <w:p w14:paraId="5F1242B8" w14:textId="77777777" w:rsidR="002205F1" w:rsidRPr="007D2740" w:rsidRDefault="002205F1" w:rsidP="00572FA4">
            <w:pPr>
              <w:rPr>
                <w:color w:val="000000" w:themeColor="text1"/>
                <w:sz w:val="22"/>
                <w:szCs w:val="22"/>
              </w:rPr>
            </w:pPr>
            <w:r w:rsidRPr="007D2740">
              <w:rPr>
                <w:color w:val="000000" w:themeColor="text1"/>
                <w:sz w:val="22"/>
                <w:szCs w:val="22"/>
              </w:rPr>
              <w:t>   Missing</w:t>
            </w:r>
          </w:p>
        </w:tc>
        <w:tc>
          <w:tcPr>
            <w:tcW w:w="2610" w:type="dxa"/>
          </w:tcPr>
          <w:p w14:paraId="5A9664A9" w14:textId="77777777" w:rsidR="002205F1" w:rsidRPr="007D2740" w:rsidRDefault="002205F1" w:rsidP="00572FA4">
            <w:pPr>
              <w:rPr>
                <w:color w:val="000000" w:themeColor="text1"/>
                <w:sz w:val="22"/>
                <w:szCs w:val="22"/>
              </w:rPr>
            </w:pPr>
            <w:r w:rsidRPr="007D2740">
              <w:rPr>
                <w:color w:val="000000" w:themeColor="text1"/>
                <w:sz w:val="22"/>
                <w:szCs w:val="22"/>
              </w:rPr>
              <w:t>3 (2.8%)</w:t>
            </w:r>
          </w:p>
        </w:tc>
      </w:tr>
      <w:bookmarkEnd w:id="1"/>
    </w:tbl>
    <w:p w14:paraId="65DE343A" w14:textId="77777777" w:rsidR="002205F1" w:rsidRPr="007D2740" w:rsidRDefault="002205F1" w:rsidP="00572FA4">
      <w:pPr>
        <w:rPr>
          <w:color w:val="000000" w:themeColor="text1"/>
        </w:rPr>
      </w:pPr>
    </w:p>
    <w:p w14:paraId="18867F8C" w14:textId="77777777" w:rsidR="002205F1" w:rsidRPr="007D2740" w:rsidRDefault="002205F1" w:rsidP="00572FA4">
      <w:pPr>
        <w:rPr>
          <w:color w:val="000000" w:themeColor="text1"/>
        </w:rPr>
      </w:pPr>
    </w:p>
    <w:p w14:paraId="53DC2436" w14:textId="77777777" w:rsidR="00E20E7F" w:rsidRPr="007D2740" w:rsidRDefault="00E20E7F" w:rsidP="00572FA4">
      <w:pPr>
        <w:rPr>
          <w:color w:val="000000" w:themeColor="text1"/>
        </w:rPr>
      </w:pPr>
    </w:p>
    <w:p w14:paraId="7AD7D59A" w14:textId="0B443CC6" w:rsidR="002205F1" w:rsidRPr="007D2740" w:rsidRDefault="002205F1" w:rsidP="00572FA4">
      <w:pPr>
        <w:rPr>
          <w:b/>
          <w:bCs/>
          <w:color w:val="000000" w:themeColor="text1"/>
        </w:rPr>
      </w:pPr>
      <w:r w:rsidRPr="007D2740">
        <w:rPr>
          <w:b/>
          <w:bCs/>
          <w:color w:val="000000" w:themeColor="text1"/>
        </w:rPr>
        <w:t>Supplementary Table 3. TTLL8 and POTEE antigens vs Histology of OC patients</w:t>
      </w:r>
    </w:p>
    <w:bookmarkEnd w:id="0"/>
    <w:tbl>
      <w:tblPr>
        <w:tblW w:w="8102" w:type="dxa"/>
        <w:tblLook w:val="04A0" w:firstRow="1" w:lastRow="0" w:firstColumn="1" w:lastColumn="0" w:noHBand="0" w:noVBand="1"/>
      </w:tblPr>
      <w:tblGrid>
        <w:gridCol w:w="1080"/>
        <w:gridCol w:w="1082"/>
        <w:gridCol w:w="1890"/>
        <w:gridCol w:w="2070"/>
        <w:gridCol w:w="1980"/>
      </w:tblGrid>
      <w:tr w:rsidR="007D2740" w:rsidRPr="007D2740" w14:paraId="3CE9F9D1" w14:textId="77777777" w:rsidTr="00A10A2B">
        <w:trPr>
          <w:trHeight w:val="300"/>
        </w:trPr>
        <w:tc>
          <w:tcPr>
            <w:tcW w:w="1080" w:type="dxa"/>
            <w:tcBorders>
              <w:top w:val="nil"/>
              <w:left w:val="nil"/>
              <w:bottom w:val="nil"/>
              <w:right w:val="nil"/>
            </w:tcBorders>
            <w:shd w:val="clear" w:color="auto" w:fill="auto"/>
            <w:noWrap/>
            <w:vAlign w:val="bottom"/>
            <w:hideMark/>
          </w:tcPr>
          <w:p w14:paraId="452A7A8B" w14:textId="77777777" w:rsidR="002205F1" w:rsidRPr="007D2740" w:rsidRDefault="002205F1" w:rsidP="00572FA4">
            <w:pPr>
              <w:rPr>
                <w:color w:val="000000" w:themeColor="text1"/>
              </w:rPr>
            </w:pPr>
          </w:p>
        </w:tc>
        <w:tc>
          <w:tcPr>
            <w:tcW w:w="1082" w:type="dxa"/>
            <w:tcBorders>
              <w:top w:val="nil"/>
              <w:left w:val="nil"/>
              <w:bottom w:val="nil"/>
              <w:right w:val="nil"/>
            </w:tcBorders>
            <w:shd w:val="clear" w:color="auto" w:fill="auto"/>
            <w:noWrap/>
            <w:vAlign w:val="bottom"/>
            <w:hideMark/>
          </w:tcPr>
          <w:p w14:paraId="09ABFB3E" w14:textId="77777777" w:rsidR="002205F1" w:rsidRPr="007D2740" w:rsidRDefault="002205F1" w:rsidP="00572FA4">
            <w:pPr>
              <w:rPr>
                <w:color w:val="000000" w:themeColor="text1"/>
              </w:rPr>
            </w:pPr>
          </w:p>
        </w:tc>
        <w:tc>
          <w:tcPr>
            <w:tcW w:w="1890" w:type="dxa"/>
            <w:tcBorders>
              <w:top w:val="nil"/>
              <w:left w:val="nil"/>
              <w:bottom w:val="nil"/>
              <w:right w:val="nil"/>
            </w:tcBorders>
            <w:shd w:val="clear" w:color="auto" w:fill="auto"/>
            <w:noWrap/>
            <w:vAlign w:val="center"/>
            <w:hideMark/>
          </w:tcPr>
          <w:p w14:paraId="25D23DB6" w14:textId="77777777" w:rsidR="002205F1" w:rsidRPr="007D2740" w:rsidRDefault="002205F1" w:rsidP="00572FA4">
            <w:pPr>
              <w:rPr>
                <w:color w:val="000000" w:themeColor="text1"/>
              </w:rPr>
            </w:pPr>
            <w:r w:rsidRPr="007D2740">
              <w:rPr>
                <w:color w:val="000000" w:themeColor="text1"/>
              </w:rPr>
              <w:t>Negative (N=45)</w:t>
            </w:r>
          </w:p>
        </w:tc>
        <w:tc>
          <w:tcPr>
            <w:tcW w:w="2070" w:type="dxa"/>
            <w:tcBorders>
              <w:top w:val="nil"/>
              <w:left w:val="nil"/>
              <w:bottom w:val="nil"/>
              <w:right w:val="nil"/>
            </w:tcBorders>
            <w:shd w:val="clear" w:color="auto" w:fill="auto"/>
            <w:noWrap/>
            <w:vAlign w:val="center"/>
            <w:hideMark/>
          </w:tcPr>
          <w:p w14:paraId="0D962DD6" w14:textId="77777777" w:rsidR="002205F1" w:rsidRPr="007D2740" w:rsidRDefault="002205F1" w:rsidP="00572FA4">
            <w:pPr>
              <w:rPr>
                <w:color w:val="000000" w:themeColor="text1"/>
              </w:rPr>
            </w:pPr>
            <w:r w:rsidRPr="007D2740">
              <w:rPr>
                <w:color w:val="000000" w:themeColor="text1"/>
              </w:rPr>
              <w:t>Positive (N=59)</w:t>
            </w:r>
          </w:p>
        </w:tc>
        <w:tc>
          <w:tcPr>
            <w:tcW w:w="1980" w:type="dxa"/>
            <w:tcBorders>
              <w:top w:val="nil"/>
              <w:left w:val="nil"/>
              <w:bottom w:val="nil"/>
              <w:right w:val="nil"/>
            </w:tcBorders>
            <w:shd w:val="clear" w:color="auto" w:fill="auto"/>
            <w:noWrap/>
            <w:vAlign w:val="center"/>
            <w:hideMark/>
          </w:tcPr>
          <w:p w14:paraId="55691F7E" w14:textId="77777777" w:rsidR="002205F1" w:rsidRPr="007D2740" w:rsidRDefault="002205F1" w:rsidP="00572FA4">
            <w:pPr>
              <w:rPr>
                <w:color w:val="000000" w:themeColor="text1"/>
              </w:rPr>
            </w:pPr>
            <w:r w:rsidRPr="007D2740">
              <w:rPr>
                <w:color w:val="000000" w:themeColor="text1"/>
              </w:rPr>
              <w:t>Total (N=104)</w:t>
            </w:r>
          </w:p>
        </w:tc>
      </w:tr>
      <w:tr w:rsidR="007D2740" w:rsidRPr="007D2740" w14:paraId="5F39BBE5" w14:textId="77777777" w:rsidTr="00A10A2B">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1A6FB" w14:textId="77777777" w:rsidR="002205F1" w:rsidRPr="007D2740" w:rsidRDefault="002205F1" w:rsidP="00572FA4">
            <w:pPr>
              <w:rPr>
                <w:color w:val="000000" w:themeColor="text1"/>
              </w:rPr>
            </w:pPr>
            <w:r w:rsidRPr="007D2740">
              <w:rPr>
                <w:color w:val="000000" w:themeColor="text1"/>
              </w:rPr>
              <w:t>TTLL8</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10FE624" w14:textId="77777777" w:rsidR="002205F1" w:rsidRPr="007D2740" w:rsidRDefault="002205F1" w:rsidP="00572FA4">
            <w:pPr>
              <w:rPr>
                <w:color w:val="000000" w:themeColor="text1"/>
              </w:rPr>
            </w:pPr>
            <w:r w:rsidRPr="007D2740">
              <w:rPr>
                <w:color w:val="000000" w:themeColor="text1"/>
              </w:rPr>
              <w:t>Non-HGS</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39FCCFC4" w14:textId="77777777" w:rsidR="002205F1" w:rsidRPr="007D2740" w:rsidRDefault="002205F1" w:rsidP="00572FA4">
            <w:pPr>
              <w:rPr>
                <w:color w:val="000000" w:themeColor="text1"/>
              </w:rPr>
            </w:pPr>
            <w:r w:rsidRPr="007D2740">
              <w:rPr>
                <w:color w:val="000000" w:themeColor="text1"/>
              </w:rPr>
              <w:t>10 (22.2%)</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14:paraId="32BB6021" w14:textId="77777777" w:rsidR="002205F1" w:rsidRPr="007D2740" w:rsidRDefault="002205F1" w:rsidP="00572FA4">
            <w:pPr>
              <w:rPr>
                <w:color w:val="000000" w:themeColor="text1"/>
              </w:rPr>
            </w:pPr>
            <w:r w:rsidRPr="007D2740">
              <w:rPr>
                <w:color w:val="000000" w:themeColor="text1"/>
              </w:rPr>
              <w:t>6 (10.2%)</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5963A83B" w14:textId="77777777" w:rsidR="002205F1" w:rsidRPr="007D2740" w:rsidRDefault="002205F1" w:rsidP="00572FA4">
            <w:pPr>
              <w:rPr>
                <w:color w:val="000000" w:themeColor="text1"/>
              </w:rPr>
            </w:pPr>
            <w:r w:rsidRPr="007D2740">
              <w:rPr>
                <w:color w:val="000000" w:themeColor="text1"/>
              </w:rPr>
              <w:t>16 (15.4%)</w:t>
            </w:r>
          </w:p>
        </w:tc>
      </w:tr>
      <w:tr w:rsidR="007D2740" w:rsidRPr="007D2740" w14:paraId="3C33457D" w14:textId="77777777" w:rsidTr="00A10A2B">
        <w:trPr>
          <w:trHeight w:val="300"/>
        </w:trPr>
        <w:tc>
          <w:tcPr>
            <w:tcW w:w="1080" w:type="dxa"/>
            <w:vMerge/>
            <w:vAlign w:val="center"/>
            <w:hideMark/>
          </w:tcPr>
          <w:p w14:paraId="44EA1F93" w14:textId="77777777" w:rsidR="002205F1" w:rsidRPr="007D2740" w:rsidRDefault="002205F1" w:rsidP="00572FA4">
            <w:pPr>
              <w:rPr>
                <w:color w:val="000000" w:themeColor="text1"/>
              </w:rPr>
            </w:pPr>
          </w:p>
        </w:tc>
        <w:tc>
          <w:tcPr>
            <w:tcW w:w="1082" w:type="dxa"/>
            <w:tcBorders>
              <w:top w:val="nil"/>
              <w:left w:val="nil"/>
              <w:bottom w:val="single" w:sz="4" w:space="0" w:color="auto"/>
              <w:right w:val="single" w:sz="4" w:space="0" w:color="auto"/>
            </w:tcBorders>
            <w:shd w:val="clear" w:color="auto" w:fill="auto"/>
            <w:vAlign w:val="center"/>
            <w:hideMark/>
          </w:tcPr>
          <w:p w14:paraId="64CA2D02" w14:textId="77777777" w:rsidR="002205F1" w:rsidRPr="007D2740" w:rsidRDefault="002205F1" w:rsidP="00572FA4">
            <w:pPr>
              <w:rPr>
                <w:color w:val="000000" w:themeColor="text1"/>
              </w:rPr>
            </w:pPr>
            <w:r w:rsidRPr="007D2740">
              <w:rPr>
                <w:color w:val="000000" w:themeColor="text1"/>
              </w:rPr>
              <w:t>HGS</w:t>
            </w:r>
          </w:p>
        </w:tc>
        <w:tc>
          <w:tcPr>
            <w:tcW w:w="1890" w:type="dxa"/>
            <w:tcBorders>
              <w:top w:val="nil"/>
              <w:left w:val="nil"/>
              <w:bottom w:val="single" w:sz="4" w:space="0" w:color="auto"/>
              <w:right w:val="single" w:sz="4" w:space="0" w:color="auto"/>
            </w:tcBorders>
            <w:shd w:val="clear" w:color="auto" w:fill="auto"/>
            <w:vAlign w:val="center"/>
            <w:hideMark/>
          </w:tcPr>
          <w:p w14:paraId="3B2D8111" w14:textId="77777777" w:rsidR="002205F1" w:rsidRPr="007D2740" w:rsidRDefault="002205F1" w:rsidP="00572FA4">
            <w:pPr>
              <w:rPr>
                <w:color w:val="000000" w:themeColor="text1"/>
              </w:rPr>
            </w:pPr>
            <w:r w:rsidRPr="007D2740">
              <w:rPr>
                <w:color w:val="000000" w:themeColor="text1"/>
              </w:rPr>
              <w:t>35 (77.8%)</w:t>
            </w:r>
          </w:p>
        </w:tc>
        <w:tc>
          <w:tcPr>
            <w:tcW w:w="2070" w:type="dxa"/>
            <w:tcBorders>
              <w:top w:val="nil"/>
              <w:left w:val="nil"/>
              <w:bottom w:val="single" w:sz="4" w:space="0" w:color="auto"/>
              <w:right w:val="single" w:sz="4" w:space="0" w:color="auto"/>
            </w:tcBorders>
            <w:shd w:val="clear" w:color="auto" w:fill="auto"/>
            <w:vAlign w:val="center"/>
            <w:hideMark/>
          </w:tcPr>
          <w:p w14:paraId="5BBD2CC2" w14:textId="77777777" w:rsidR="002205F1" w:rsidRPr="007D2740" w:rsidRDefault="002205F1" w:rsidP="00572FA4">
            <w:pPr>
              <w:rPr>
                <w:color w:val="000000" w:themeColor="text1"/>
              </w:rPr>
            </w:pPr>
            <w:r w:rsidRPr="007D2740">
              <w:rPr>
                <w:color w:val="000000" w:themeColor="text1"/>
              </w:rPr>
              <w:t>53 (89.8%)</w:t>
            </w:r>
          </w:p>
        </w:tc>
        <w:tc>
          <w:tcPr>
            <w:tcW w:w="1980" w:type="dxa"/>
            <w:tcBorders>
              <w:top w:val="nil"/>
              <w:left w:val="nil"/>
              <w:bottom w:val="single" w:sz="4" w:space="0" w:color="auto"/>
              <w:right w:val="single" w:sz="4" w:space="0" w:color="auto"/>
            </w:tcBorders>
            <w:shd w:val="clear" w:color="auto" w:fill="auto"/>
            <w:vAlign w:val="center"/>
            <w:hideMark/>
          </w:tcPr>
          <w:p w14:paraId="036B088A" w14:textId="77777777" w:rsidR="002205F1" w:rsidRPr="007D2740" w:rsidRDefault="002205F1" w:rsidP="00572FA4">
            <w:pPr>
              <w:rPr>
                <w:color w:val="000000" w:themeColor="text1"/>
              </w:rPr>
            </w:pPr>
            <w:r w:rsidRPr="007D2740">
              <w:rPr>
                <w:color w:val="000000" w:themeColor="text1"/>
              </w:rPr>
              <w:t>88 (84.6%)</w:t>
            </w:r>
          </w:p>
        </w:tc>
      </w:tr>
      <w:tr w:rsidR="007D2740" w:rsidRPr="007D2740" w14:paraId="553AAFFC" w14:textId="77777777" w:rsidTr="00A10A2B">
        <w:trPr>
          <w:trHeight w:val="300"/>
        </w:trPr>
        <w:tc>
          <w:tcPr>
            <w:tcW w:w="1080" w:type="dxa"/>
            <w:tcBorders>
              <w:top w:val="nil"/>
              <w:left w:val="nil"/>
              <w:bottom w:val="nil"/>
              <w:right w:val="nil"/>
            </w:tcBorders>
            <w:shd w:val="clear" w:color="auto" w:fill="auto"/>
            <w:noWrap/>
            <w:vAlign w:val="bottom"/>
            <w:hideMark/>
          </w:tcPr>
          <w:p w14:paraId="15FD9E76" w14:textId="77777777" w:rsidR="002205F1" w:rsidRPr="007D2740" w:rsidRDefault="002205F1" w:rsidP="00572FA4">
            <w:pPr>
              <w:rPr>
                <w:color w:val="000000" w:themeColor="text1"/>
              </w:rPr>
            </w:pPr>
          </w:p>
        </w:tc>
        <w:tc>
          <w:tcPr>
            <w:tcW w:w="1082" w:type="dxa"/>
            <w:tcBorders>
              <w:top w:val="nil"/>
              <w:left w:val="nil"/>
              <w:bottom w:val="nil"/>
              <w:right w:val="nil"/>
            </w:tcBorders>
            <w:shd w:val="clear" w:color="auto" w:fill="auto"/>
            <w:noWrap/>
            <w:vAlign w:val="bottom"/>
            <w:hideMark/>
          </w:tcPr>
          <w:p w14:paraId="3DB4C45F" w14:textId="77777777" w:rsidR="002205F1" w:rsidRPr="007D2740" w:rsidRDefault="002205F1" w:rsidP="00572FA4">
            <w:pPr>
              <w:rPr>
                <w:color w:val="000000" w:themeColor="text1"/>
              </w:rPr>
            </w:pPr>
          </w:p>
        </w:tc>
        <w:tc>
          <w:tcPr>
            <w:tcW w:w="1890" w:type="dxa"/>
            <w:tcBorders>
              <w:top w:val="nil"/>
              <w:left w:val="nil"/>
              <w:bottom w:val="nil"/>
              <w:right w:val="nil"/>
            </w:tcBorders>
            <w:shd w:val="clear" w:color="auto" w:fill="auto"/>
            <w:noWrap/>
            <w:vAlign w:val="bottom"/>
            <w:hideMark/>
          </w:tcPr>
          <w:p w14:paraId="5ADE507E" w14:textId="77777777" w:rsidR="002205F1" w:rsidRPr="007D2740" w:rsidRDefault="002205F1" w:rsidP="00572FA4">
            <w:pPr>
              <w:rPr>
                <w:color w:val="000000" w:themeColor="text1"/>
              </w:rPr>
            </w:pPr>
            <w:r w:rsidRPr="007D2740">
              <w:rPr>
                <w:color w:val="000000" w:themeColor="text1"/>
              </w:rPr>
              <w:t>Little (N=51)</w:t>
            </w:r>
          </w:p>
        </w:tc>
        <w:tc>
          <w:tcPr>
            <w:tcW w:w="2070" w:type="dxa"/>
            <w:tcBorders>
              <w:top w:val="nil"/>
              <w:left w:val="nil"/>
              <w:bottom w:val="nil"/>
              <w:right w:val="nil"/>
            </w:tcBorders>
            <w:shd w:val="clear" w:color="auto" w:fill="auto"/>
            <w:noWrap/>
            <w:vAlign w:val="bottom"/>
            <w:hideMark/>
          </w:tcPr>
          <w:p w14:paraId="1DC2E5C4" w14:textId="77777777" w:rsidR="002205F1" w:rsidRPr="007D2740" w:rsidRDefault="002205F1" w:rsidP="00572FA4">
            <w:pPr>
              <w:rPr>
                <w:color w:val="000000" w:themeColor="text1"/>
              </w:rPr>
            </w:pPr>
            <w:r w:rsidRPr="007D2740">
              <w:rPr>
                <w:color w:val="000000" w:themeColor="text1"/>
              </w:rPr>
              <w:t>A Lot (N=55)</w:t>
            </w:r>
          </w:p>
        </w:tc>
        <w:tc>
          <w:tcPr>
            <w:tcW w:w="1980" w:type="dxa"/>
            <w:tcBorders>
              <w:top w:val="nil"/>
              <w:left w:val="nil"/>
              <w:bottom w:val="nil"/>
              <w:right w:val="nil"/>
            </w:tcBorders>
            <w:shd w:val="clear" w:color="auto" w:fill="auto"/>
            <w:noWrap/>
            <w:vAlign w:val="bottom"/>
            <w:hideMark/>
          </w:tcPr>
          <w:p w14:paraId="58F54A92" w14:textId="77777777" w:rsidR="002205F1" w:rsidRPr="007D2740" w:rsidRDefault="002205F1" w:rsidP="00572FA4">
            <w:pPr>
              <w:rPr>
                <w:color w:val="000000" w:themeColor="text1"/>
              </w:rPr>
            </w:pPr>
            <w:r w:rsidRPr="007D2740">
              <w:rPr>
                <w:color w:val="000000" w:themeColor="text1"/>
              </w:rPr>
              <w:t>Total (N=106)</w:t>
            </w:r>
          </w:p>
        </w:tc>
      </w:tr>
      <w:tr w:rsidR="007D2740" w:rsidRPr="007D2740" w14:paraId="0499515A" w14:textId="77777777" w:rsidTr="00A10A2B">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E346F" w14:textId="77777777" w:rsidR="002205F1" w:rsidRPr="007D2740" w:rsidRDefault="002205F1" w:rsidP="00572FA4">
            <w:pPr>
              <w:rPr>
                <w:color w:val="000000" w:themeColor="text1"/>
              </w:rPr>
            </w:pPr>
            <w:r w:rsidRPr="007D2740">
              <w:rPr>
                <w:color w:val="000000" w:themeColor="text1"/>
              </w:rPr>
              <w:t>POTEE</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4FAE50A7" w14:textId="77777777" w:rsidR="002205F1" w:rsidRPr="007D2740" w:rsidRDefault="002205F1" w:rsidP="00572FA4">
            <w:pPr>
              <w:rPr>
                <w:color w:val="000000" w:themeColor="text1"/>
              </w:rPr>
            </w:pPr>
            <w:r w:rsidRPr="007D2740">
              <w:rPr>
                <w:color w:val="000000" w:themeColor="text1"/>
              </w:rPr>
              <w:t>Non-HGS</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6D58F7B3" w14:textId="77777777" w:rsidR="002205F1" w:rsidRPr="007D2740" w:rsidRDefault="002205F1" w:rsidP="00572FA4">
            <w:pPr>
              <w:rPr>
                <w:color w:val="000000" w:themeColor="text1"/>
              </w:rPr>
            </w:pPr>
            <w:r w:rsidRPr="007D2740">
              <w:rPr>
                <w:color w:val="000000" w:themeColor="text1"/>
              </w:rPr>
              <w:t>7 (13.7%)</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14:paraId="0923707D" w14:textId="77777777" w:rsidR="002205F1" w:rsidRPr="007D2740" w:rsidRDefault="002205F1" w:rsidP="00572FA4">
            <w:pPr>
              <w:rPr>
                <w:color w:val="000000" w:themeColor="text1"/>
              </w:rPr>
            </w:pPr>
            <w:r w:rsidRPr="007D2740">
              <w:rPr>
                <w:color w:val="000000" w:themeColor="text1"/>
              </w:rPr>
              <w:t>9 (16.4%)</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2F9F1299" w14:textId="77777777" w:rsidR="002205F1" w:rsidRPr="007D2740" w:rsidRDefault="002205F1" w:rsidP="00572FA4">
            <w:pPr>
              <w:rPr>
                <w:color w:val="000000" w:themeColor="text1"/>
              </w:rPr>
            </w:pPr>
            <w:r w:rsidRPr="007D2740">
              <w:rPr>
                <w:color w:val="000000" w:themeColor="text1"/>
              </w:rPr>
              <w:t>16 (15.1%)</w:t>
            </w:r>
          </w:p>
        </w:tc>
      </w:tr>
      <w:tr w:rsidR="007D2740" w:rsidRPr="007D2740" w14:paraId="12FAFBA4" w14:textId="77777777" w:rsidTr="00A10A2B">
        <w:trPr>
          <w:trHeight w:val="300"/>
        </w:trPr>
        <w:tc>
          <w:tcPr>
            <w:tcW w:w="1080" w:type="dxa"/>
            <w:vMerge/>
            <w:vAlign w:val="center"/>
            <w:hideMark/>
          </w:tcPr>
          <w:p w14:paraId="08D28E0A" w14:textId="77777777" w:rsidR="002205F1" w:rsidRPr="007D2740" w:rsidRDefault="002205F1" w:rsidP="00572FA4">
            <w:pPr>
              <w:rPr>
                <w:color w:val="000000" w:themeColor="text1"/>
              </w:rPr>
            </w:pPr>
          </w:p>
        </w:tc>
        <w:tc>
          <w:tcPr>
            <w:tcW w:w="1082" w:type="dxa"/>
            <w:tcBorders>
              <w:top w:val="nil"/>
              <w:left w:val="nil"/>
              <w:bottom w:val="single" w:sz="4" w:space="0" w:color="auto"/>
              <w:right w:val="single" w:sz="4" w:space="0" w:color="auto"/>
            </w:tcBorders>
            <w:shd w:val="clear" w:color="auto" w:fill="auto"/>
            <w:vAlign w:val="center"/>
            <w:hideMark/>
          </w:tcPr>
          <w:p w14:paraId="109FCCC9" w14:textId="77777777" w:rsidR="002205F1" w:rsidRPr="007D2740" w:rsidRDefault="002205F1" w:rsidP="00572FA4">
            <w:pPr>
              <w:rPr>
                <w:color w:val="000000" w:themeColor="text1"/>
              </w:rPr>
            </w:pPr>
            <w:r w:rsidRPr="007D2740">
              <w:rPr>
                <w:color w:val="000000" w:themeColor="text1"/>
              </w:rPr>
              <w:t>HGS</w:t>
            </w:r>
          </w:p>
        </w:tc>
        <w:tc>
          <w:tcPr>
            <w:tcW w:w="1890" w:type="dxa"/>
            <w:tcBorders>
              <w:top w:val="nil"/>
              <w:left w:val="nil"/>
              <w:bottom w:val="single" w:sz="4" w:space="0" w:color="auto"/>
              <w:right w:val="single" w:sz="4" w:space="0" w:color="auto"/>
            </w:tcBorders>
            <w:shd w:val="clear" w:color="auto" w:fill="auto"/>
            <w:vAlign w:val="center"/>
            <w:hideMark/>
          </w:tcPr>
          <w:p w14:paraId="5D7FE281" w14:textId="77777777" w:rsidR="002205F1" w:rsidRPr="007D2740" w:rsidRDefault="002205F1" w:rsidP="00572FA4">
            <w:pPr>
              <w:rPr>
                <w:color w:val="000000" w:themeColor="text1"/>
              </w:rPr>
            </w:pPr>
            <w:r w:rsidRPr="007D2740">
              <w:rPr>
                <w:color w:val="000000" w:themeColor="text1"/>
              </w:rPr>
              <w:t>44 (86.3%)</w:t>
            </w:r>
          </w:p>
        </w:tc>
        <w:tc>
          <w:tcPr>
            <w:tcW w:w="2070" w:type="dxa"/>
            <w:tcBorders>
              <w:top w:val="nil"/>
              <w:left w:val="nil"/>
              <w:bottom w:val="single" w:sz="4" w:space="0" w:color="auto"/>
              <w:right w:val="single" w:sz="4" w:space="0" w:color="auto"/>
            </w:tcBorders>
            <w:shd w:val="clear" w:color="auto" w:fill="auto"/>
            <w:vAlign w:val="center"/>
            <w:hideMark/>
          </w:tcPr>
          <w:p w14:paraId="0E216481" w14:textId="77777777" w:rsidR="002205F1" w:rsidRPr="007D2740" w:rsidRDefault="002205F1" w:rsidP="00572FA4">
            <w:pPr>
              <w:rPr>
                <w:color w:val="000000" w:themeColor="text1"/>
              </w:rPr>
            </w:pPr>
            <w:r w:rsidRPr="007D2740">
              <w:rPr>
                <w:color w:val="000000" w:themeColor="text1"/>
              </w:rPr>
              <w:t>46 (83.6%)</w:t>
            </w:r>
          </w:p>
        </w:tc>
        <w:tc>
          <w:tcPr>
            <w:tcW w:w="1980" w:type="dxa"/>
            <w:tcBorders>
              <w:top w:val="nil"/>
              <w:left w:val="nil"/>
              <w:bottom w:val="single" w:sz="4" w:space="0" w:color="auto"/>
              <w:right w:val="single" w:sz="4" w:space="0" w:color="auto"/>
            </w:tcBorders>
            <w:shd w:val="clear" w:color="auto" w:fill="auto"/>
            <w:vAlign w:val="center"/>
            <w:hideMark/>
          </w:tcPr>
          <w:p w14:paraId="32196315" w14:textId="77777777" w:rsidR="002205F1" w:rsidRPr="007D2740" w:rsidRDefault="002205F1" w:rsidP="00572FA4">
            <w:pPr>
              <w:rPr>
                <w:color w:val="000000" w:themeColor="text1"/>
              </w:rPr>
            </w:pPr>
            <w:r w:rsidRPr="007D2740">
              <w:rPr>
                <w:color w:val="000000" w:themeColor="text1"/>
              </w:rPr>
              <w:t>90 (84.9%)</w:t>
            </w:r>
          </w:p>
        </w:tc>
      </w:tr>
    </w:tbl>
    <w:p w14:paraId="41948258" w14:textId="77777777" w:rsidR="002205F1" w:rsidRPr="007D2740" w:rsidRDefault="002205F1" w:rsidP="00572FA4">
      <w:pPr>
        <w:rPr>
          <w:color w:val="000000" w:themeColor="text1"/>
        </w:rPr>
      </w:pPr>
      <w:r w:rsidRPr="007D2740">
        <w:rPr>
          <w:color w:val="000000" w:themeColor="text1"/>
        </w:rPr>
        <w:t>P values for count data of TTLL8 and POTEE are 0.107 and 0.79 respectively according to Fisher's Exact Test.</w:t>
      </w:r>
    </w:p>
    <w:p w14:paraId="7959338C" w14:textId="786FA079" w:rsidR="00B619D6" w:rsidRPr="007D2740" w:rsidRDefault="00B619D6">
      <w:pPr>
        <w:spacing w:after="200" w:line="276" w:lineRule="auto"/>
        <w:jc w:val="left"/>
        <w:rPr>
          <w:color w:val="000000" w:themeColor="text1"/>
        </w:rPr>
      </w:pPr>
      <w:r w:rsidRPr="007D2740">
        <w:rPr>
          <w:color w:val="000000" w:themeColor="text1"/>
        </w:rPr>
        <w:br w:type="page"/>
      </w:r>
    </w:p>
    <w:p w14:paraId="6D6C3B43" w14:textId="77777777" w:rsidR="002205F1" w:rsidRPr="007D2740" w:rsidRDefault="002205F1" w:rsidP="00572FA4">
      <w:pPr>
        <w:rPr>
          <w:color w:val="000000" w:themeColor="text1"/>
        </w:rPr>
      </w:pPr>
    </w:p>
    <w:p w14:paraId="6E1B69EF" w14:textId="77777777" w:rsidR="002205F1" w:rsidRPr="007D2740" w:rsidRDefault="002205F1" w:rsidP="00572FA4">
      <w:pPr>
        <w:rPr>
          <w:b/>
          <w:bCs/>
          <w:color w:val="000000" w:themeColor="text1"/>
        </w:rPr>
      </w:pPr>
      <w:r w:rsidRPr="007D2740">
        <w:rPr>
          <w:b/>
          <w:bCs/>
          <w:color w:val="000000" w:themeColor="text1"/>
        </w:rPr>
        <w:t>Supplementary Table 4. TTLL8 and POTEE antigens vs stage of OC patients</w:t>
      </w:r>
    </w:p>
    <w:tbl>
      <w:tblPr>
        <w:tblW w:w="8102" w:type="dxa"/>
        <w:tblLook w:val="04A0" w:firstRow="1" w:lastRow="0" w:firstColumn="1" w:lastColumn="0" w:noHBand="0" w:noVBand="1"/>
      </w:tblPr>
      <w:tblGrid>
        <w:gridCol w:w="1005"/>
        <w:gridCol w:w="1427"/>
        <w:gridCol w:w="1800"/>
        <w:gridCol w:w="1800"/>
        <w:gridCol w:w="2070"/>
      </w:tblGrid>
      <w:tr w:rsidR="007D2740" w:rsidRPr="007D2740" w14:paraId="176D2480" w14:textId="77777777" w:rsidTr="00A10A2B">
        <w:trPr>
          <w:trHeight w:val="300"/>
        </w:trPr>
        <w:tc>
          <w:tcPr>
            <w:tcW w:w="1005" w:type="dxa"/>
            <w:tcBorders>
              <w:top w:val="nil"/>
              <w:left w:val="nil"/>
              <w:bottom w:val="nil"/>
              <w:right w:val="nil"/>
            </w:tcBorders>
            <w:shd w:val="clear" w:color="auto" w:fill="auto"/>
            <w:noWrap/>
            <w:vAlign w:val="bottom"/>
            <w:hideMark/>
          </w:tcPr>
          <w:p w14:paraId="2CBBDB34" w14:textId="77777777" w:rsidR="002205F1" w:rsidRPr="007D2740" w:rsidRDefault="002205F1" w:rsidP="00572FA4">
            <w:pPr>
              <w:rPr>
                <w:color w:val="000000" w:themeColor="text1"/>
              </w:rPr>
            </w:pPr>
          </w:p>
        </w:tc>
        <w:tc>
          <w:tcPr>
            <w:tcW w:w="1427" w:type="dxa"/>
            <w:tcBorders>
              <w:top w:val="nil"/>
              <w:left w:val="nil"/>
              <w:bottom w:val="nil"/>
              <w:right w:val="nil"/>
            </w:tcBorders>
            <w:shd w:val="clear" w:color="auto" w:fill="auto"/>
            <w:noWrap/>
            <w:vAlign w:val="center"/>
            <w:hideMark/>
          </w:tcPr>
          <w:p w14:paraId="3DD52A97" w14:textId="77777777" w:rsidR="002205F1" w:rsidRPr="007D2740" w:rsidRDefault="002205F1" w:rsidP="00572FA4">
            <w:pPr>
              <w:rPr>
                <w:color w:val="000000" w:themeColor="text1"/>
              </w:rPr>
            </w:pPr>
          </w:p>
        </w:tc>
        <w:tc>
          <w:tcPr>
            <w:tcW w:w="1800" w:type="dxa"/>
            <w:tcBorders>
              <w:top w:val="nil"/>
              <w:left w:val="nil"/>
              <w:bottom w:val="nil"/>
              <w:right w:val="nil"/>
            </w:tcBorders>
            <w:shd w:val="clear" w:color="auto" w:fill="auto"/>
            <w:noWrap/>
            <w:vAlign w:val="center"/>
            <w:hideMark/>
          </w:tcPr>
          <w:p w14:paraId="35CFAE62" w14:textId="77777777" w:rsidR="002205F1" w:rsidRPr="007D2740" w:rsidRDefault="002205F1" w:rsidP="00572FA4">
            <w:pPr>
              <w:rPr>
                <w:color w:val="000000" w:themeColor="text1"/>
              </w:rPr>
            </w:pPr>
            <w:r w:rsidRPr="007D2740">
              <w:rPr>
                <w:color w:val="000000" w:themeColor="text1"/>
              </w:rPr>
              <w:t>Negative (N=45)</w:t>
            </w:r>
          </w:p>
        </w:tc>
        <w:tc>
          <w:tcPr>
            <w:tcW w:w="1800" w:type="dxa"/>
            <w:tcBorders>
              <w:top w:val="nil"/>
              <w:left w:val="nil"/>
              <w:bottom w:val="nil"/>
              <w:right w:val="nil"/>
            </w:tcBorders>
            <w:shd w:val="clear" w:color="auto" w:fill="auto"/>
            <w:noWrap/>
            <w:vAlign w:val="center"/>
            <w:hideMark/>
          </w:tcPr>
          <w:p w14:paraId="7B61C309" w14:textId="77777777" w:rsidR="002205F1" w:rsidRPr="007D2740" w:rsidRDefault="002205F1" w:rsidP="00572FA4">
            <w:pPr>
              <w:rPr>
                <w:color w:val="000000" w:themeColor="text1"/>
              </w:rPr>
            </w:pPr>
            <w:r w:rsidRPr="007D2740">
              <w:rPr>
                <w:color w:val="000000" w:themeColor="text1"/>
              </w:rPr>
              <w:t>Positive (N=59)</w:t>
            </w:r>
          </w:p>
        </w:tc>
        <w:tc>
          <w:tcPr>
            <w:tcW w:w="2070" w:type="dxa"/>
            <w:tcBorders>
              <w:top w:val="nil"/>
              <w:left w:val="nil"/>
              <w:bottom w:val="nil"/>
              <w:right w:val="nil"/>
            </w:tcBorders>
            <w:shd w:val="clear" w:color="auto" w:fill="auto"/>
            <w:noWrap/>
            <w:vAlign w:val="center"/>
            <w:hideMark/>
          </w:tcPr>
          <w:p w14:paraId="70841D83" w14:textId="77777777" w:rsidR="002205F1" w:rsidRPr="007D2740" w:rsidRDefault="002205F1" w:rsidP="00572FA4">
            <w:pPr>
              <w:rPr>
                <w:color w:val="000000" w:themeColor="text1"/>
              </w:rPr>
            </w:pPr>
            <w:r w:rsidRPr="007D2740">
              <w:rPr>
                <w:color w:val="000000" w:themeColor="text1"/>
              </w:rPr>
              <w:t>Total (N=104)</w:t>
            </w:r>
          </w:p>
        </w:tc>
      </w:tr>
      <w:tr w:rsidR="007D2740" w:rsidRPr="007D2740" w14:paraId="0D4F5C01" w14:textId="77777777" w:rsidTr="00A10A2B">
        <w:trPr>
          <w:trHeight w:val="300"/>
        </w:trPr>
        <w:tc>
          <w:tcPr>
            <w:tcW w:w="10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E0A5B" w14:textId="77777777" w:rsidR="002205F1" w:rsidRPr="007D2740" w:rsidRDefault="002205F1" w:rsidP="00572FA4">
            <w:pPr>
              <w:rPr>
                <w:color w:val="000000" w:themeColor="text1"/>
              </w:rPr>
            </w:pPr>
            <w:r w:rsidRPr="007D2740">
              <w:rPr>
                <w:color w:val="000000" w:themeColor="text1"/>
              </w:rPr>
              <w:t>TTLL8</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14:paraId="08802652" w14:textId="77777777" w:rsidR="002205F1" w:rsidRPr="007D2740" w:rsidRDefault="002205F1" w:rsidP="00572FA4">
            <w:pPr>
              <w:rPr>
                <w:color w:val="000000" w:themeColor="text1"/>
              </w:rPr>
            </w:pPr>
            <w:r w:rsidRPr="007D2740">
              <w:rPr>
                <w:color w:val="000000" w:themeColor="text1"/>
              </w:rPr>
              <w:t>Early (1 &amp; 2)</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74AC26D" w14:textId="77777777" w:rsidR="002205F1" w:rsidRPr="007D2740" w:rsidRDefault="002205F1" w:rsidP="00572FA4">
            <w:pPr>
              <w:rPr>
                <w:color w:val="000000" w:themeColor="text1"/>
              </w:rPr>
            </w:pPr>
            <w:r w:rsidRPr="007D2740">
              <w:rPr>
                <w:color w:val="000000" w:themeColor="text1"/>
              </w:rPr>
              <w:t>12 (26.7%)</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A1190A3" w14:textId="77777777" w:rsidR="002205F1" w:rsidRPr="007D2740" w:rsidRDefault="002205F1" w:rsidP="00572FA4">
            <w:pPr>
              <w:rPr>
                <w:color w:val="000000" w:themeColor="text1"/>
              </w:rPr>
            </w:pPr>
            <w:r w:rsidRPr="007D2740">
              <w:rPr>
                <w:color w:val="000000" w:themeColor="text1"/>
              </w:rPr>
              <w:t>5 (8.5%)</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14:paraId="1EE68A2B" w14:textId="77777777" w:rsidR="002205F1" w:rsidRPr="007D2740" w:rsidRDefault="002205F1" w:rsidP="00572FA4">
            <w:pPr>
              <w:rPr>
                <w:color w:val="000000" w:themeColor="text1"/>
              </w:rPr>
            </w:pPr>
            <w:r w:rsidRPr="007D2740">
              <w:rPr>
                <w:color w:val="000000" w:themeColor="text1"/>
              </w:rPr>
              <w:t>17 (16.3%)</w:t>
            </w:r>
          </w:p>
        </w:tc>
      </w:tr>
      <w:tr w:rsidR="007D2740" w:rsidRPr="007D2740" w14:paraId="61EFB4C7" w14:textId="77777777" w:rsidTr="00A10A2B">
        <w:trPr>
          <w:trHeight w:val="300"/>
        </w:trPr>
        <w:tc>
          <w:tcPr>
            <w:tcW w:w="1005" w:type="dxa"/>
            <w:vMerge/>
            <w:vAlign w:val="center"/>
            <w:hideMark/>
          </w:tcPr>
          <w:p w14:paraId="388957AC" w14:textId="77777777" w:rsidR="002205F1" w:rsidRPr="007D2740" w:rsidRDefault="002205F1" w:rsidP="00572FA4">
            <w:pPr>
              <w:rPr>
                <w:color w:val="000000" w:themeColor="text1"/>
              </w:rPr>
            </w:pPr>
          </w:p>
        </w:tc>
        <w:tc>
          <w:tcPr>
            <w:tcW w:w="1427" w:type="dxa"/>
            <w:tcBorders>
              <w:top w:val="nil"/>
              <w:left w:val="nil"/>
              <w:bottom w:val="single" w:sz="4" w:space="0" w:color="auto"/>
              <w:right w:val="single" w:sz="4" w:space="0" w:color="auto"/>
            </w:tcBorders>
            <w:shd w:val="clear" w:color="auto" w:fill="auto"/>
            <w:vAlign w:val="center"/>
            <w:hideMark/>
          </w:tcPr>
          <w:p w14:paraId="07F53C00" w14:textId="77777777" w:rsidR="002205F1" w:rsidRPr="007D2740" w:rsidRDefault="002205F1" w:rsidP="00572FA4">
            <w:pPr>
              <w:rPr>
                <w:color w:val="000000" w:themeColor="text1"/>
              </w:rPr>
            </w:pPr>
            <w:r w:rsidRPr="007D2740">
              <w:rPr>
                <w:color w:val="000000" w:themeColor="text1"/>
              </w:rPr>
              <w:t>Advanced (3 &amp; 4)</w:t>
            </w:r>
          </w:p>
        </w:tc>
        <w:tc>
          <w:tcPr>
            <w:tcW w:w="1800" w:type="dxa"/>
            <w:tcBorders>
              <w:top w:val="nil"/>
              <w:left w:val="nil"/>
              <w:bottom w:val="single" w:sz="4" w:space="0" w:color="auto"/>
              <w:right w:val="single" w:sz="4" w:space="0" w:color="auto"/>
            </w:tcBorders>
            <w:shd w:val="clear" w:color="auto" w:fill="auto"/>
            <w:vAlign w:val="center"/>
            <w:hideMark/>
          </w:tcPr>
          <w:p w14:paraId="660B8FA9" w14:textId="77777777" w:rsidR="002205F1" w:rsidRPr="007D2740" w:rsidRDefault="002205F1" w:rsidP="00572FA4">
            <w:pPr>
              <w:rPr>
                <w:color w:val="000000" w:themeColor="text1"/>
              </w:rPr>
            </w:pPr>
            <w:r w:rsidRPr="007D2740">
              <w:rPr>
                <w:color w:val="000000" w:themeColor="text1"/>
              </w:rPr>
              <w:t>33 (73.3%)</w:t>
            </w:r>
          </w:p>
        </w:tc>
        <w:tc>
          <w:tcPr>
            <w:tcW w:w="1800" w:type="dxa"/>
            <w:tcBorders>
              <w:top w:val="nil"/>
              <w:left w:val="nil"/>
              <w:bottom w:val="single" w:sz="4" w:space="0" w:color="auto"/>
              <w:right w:val="single" w:sz="4" w:space="0" w:color="auto"/>
            </w:tcBorders>
            <w:shd w:val="clear" w:color="auto" w:fill="auto"/>
            <w:vAlign w:val="center"/>
            <w:hideMark/>
          </w:tcPr>
          <w:p w14:paraId="6493210E" w14:textId="77777777" w:rsidR="002205F1" w:rsidRPr="007D2740" w:rsidRDefault="002205F1" w:rsidP="00572FA4">
            <w:pPr>
              <w:rPr>
                <w:color w:val="000000" w:themeColor="text1"/>
              </w:rPr>
            </w:pPr>
            <w:r w:rsidRPr="007D2740">
              <w:rPr>
                <w:color w:val="000000" w:themeColor="text1"/>
              </w:rPr>
              <w:t>54 (91.5%)</w:t>
            </w:r>
          </w:p>
        </w:tc>
        <w:tc>
          <w:tcPr>
            <w:tcW w:w="2070" w:type="dxa"/>
            <w:tcBorders>
              <w:top w:val="nil"/>
              <w:left w:val="nil"/>
              <w:bottom w:val="single" w:sz="4" w:space="0" w:color="auto"/>
              <w:right w:val="single" w:sz="4" w:space="0" w:color="auto"/>
            </w:tcBorders>
            <w:shd w:val="clear" w:color="auto" w:fill="auto"/>
            <w:vAlign w:val="center"/>
            <w:hideMark/>
          </w:tcPr>
          <w:p w14:paraId="7B680E0B" w14:textId="77777777" w:rsidR="002205F1" w:rsidRPr="007D2740" w:rsidRDefault="002205F1" w:rsidP="00572FA4">
            <w:pPr>
              <w:rPr>
                <w:color w:val="000000" w:themeColor="text1"/>
              </w:rPr>
            </w:pPr>
            <w:r w:rsidRPr="007D2740">
              <w:rPr>
                <w:color w:val="000000" w:themeColor="text1"/>
              </w:rPr>
              <w:t>87 (83.7%)</w:t>
            </w:r>
          </w:p>
        </w:tc>
      </w:tr>
      <w:tr w:rsidR="007D2740" w:rsidRPr="007D2740" w14:paraId="44E4F3D3" w14:textId="77777777" w:rsidTr="00A10A2B">
        <w:trPr>
          <w:trHeight w:val="300"/>
        </w:trPr>
        <w:tc>
          <w:tcPr>
            <w:tcW w:w="1005" w:type="dxa"/>
            <w:tcBorders>
              <w:top w:val="nil"/>
              <w:left w:val="nil"/>
              <w:bottom w:val="nil"/>
              <w:right w:val="nil"/>
            </w:tcBorders>
            <w:shd w:val="clear" w:color="auto" w:fill="auto"/>
            <w:noWrap/>
            <w:vAlign w:val="bottom"/>
            <w:hideMark/>
          </w:tcPr>
          <w:p w14:paraId="43F72F01" w14:textId="77777777" w:rsidR="002205F1" w:rsidRPr="007D2740" w:rsidRDefault="002205F1" w:rsidP="00572FA4">
            <w:pPr>
              <w:rPr>
                <w:color w:val="000000" w:themeColor="text1"/>
              </w:rPr>
            </w:pPr>
          </w:p>
        </w:tc>
        <w:tc>
          <w:tcPr>
            <w:tcW w:w="1427" w:type="dxa"/>
            <w:tcBorders>
              <w:top w:val="nil"/>
              <w:left w:val="nil"/>
              <w:bottom w:val="nil"/>
              <w:right w:val="nil"/>
            </w:tcBorders>
            <w:shd w:val="clear" w:color="auto" w:fill="auto"/>
            <w:noWrap/>
            <w:vAlign w:val="center"/>
            <w:hideMark/>
          </w:tcPr>
          <w:p w14:paraId="7CD304BD" w14:textId="77777777" w:rsidR="002205F1" w:rsidRPr="007D2740" w:rsidRDefault="002205F1" w:rsidP="00572FA4">
            <w:pPr>
              <w:rPr>
                <w:color w:val="000000" w:themeColor="text1"/>
              </w:rPr>
            </w:pPr>
          </w:p>
        </w:tc>
        <w:tc>
          <w:tcPr>
            <w:tcW w:w="1800" w:type="dxa"/>
            <w:tcBorders>
              <w:top w:val="nil"/>
              <w:left w:val="nil"/>
              <w:bottom w:val="nil"/>
              <w:right w:val="nil"/>
            </w:tcBorders>
            <w:shd w:val="clear" w:color="auto" w:fill="auto"/>
            <w:noWrap/>
            <w:vAlign w:val="bottom"/>
            <w:hideMark/>
          </w:tcPr>
          <w:p w14:paraId="4669BC86" w14:textId="77777777" w:rsidR="002205F1" w:rsidRPr="007D2740" w:rsidRDefault="002205F1" w:rsidP="00572FA4">
            <w:pPr>
              <w:rPr>
                <w:color w:val="000000" w:themeColor="text1"/>
              </w:rPr>
            </w:pPr>
            <w:r w:rsidRPr="007D2740">
              <w:rPr>
                <w:color w:val="000000" w:themeColor="text1"/>
              </w:rPr>
              <w:t>Little (N=51)</w:t>
            </w:r>
          </w:p>
        </w:tc>
        <w:tc>
          <w:tcPr>
            <w:tcW w:w="1800" w:type="dxa"/>
            <w:tcBorders>
              <w:top w:val="nil"/>
              <w:left w:val="nil"/>
              <w:bottom w:val="nil"/>
              <w:right w:val="nil"/>
            </w:tcBorders>
            <w:shd w:val="clear" w:color="auto" w:fill="auto"/>
            <w:noWrap/>
            <w:vAlign w:val="bottom"/>
            <w:hideMark/>
          </w:tcPr>
          <w:p w14:paraId="61722FE1" w14:textId="77777777" w:rsidR="002205F1" w:rsidRPr="007D2740" w:rsidRDefault="002205F1" w:rsidP="00572FA4">
            <w:pPr>
              <w:rPr>
                <w:color w:val="000000" w:themeColor="text1"/>
              </w:rPr>
            </w:pPr>
            <w:r w:rsidRPr="007D2740">
              <w:rPr>
                <w:color w:val="000000" w:themeColor="text1"/>
              </w:rPr>
              <w:t>A Lot (N=55)</w:t>
            </w:r>
          </w:p>
        </w:tc>
        <w:tc>
          <w:tcPr>
            <w:tcW w:w="2070" w:type="dxa"/>
            <w:tcBorders>
              <w:top w:val="nil"/>
              <w:left w:val="nil"/>
              <w:bottom w:val="nil"/>
              <w:right w:val="nil"/>
            </w:tcBorders>
            <w:shd w:val="clear" w:color="auto" w:fill="auto"/>
            <w:noWrap/>
            <w:vAlign w:val="bottom"/>
            <w:hideMark/>
          </w:tcPr>
          <w:p w14:paraId="74A3A45A" w14:textId="77777777" w:rsidR="002205F1" w:rsidRPr="007D2740" w:rsidRDefault="002205F1" w:rsidP="00572FA4">
            <w:pPr>
              <w:rPr>
                <w:color w:val="000000" w:themeColor="text1"/>
              </w:rPr>
            </w:pPr>
            <w:r w:rsidRPr="007D2740">
              <w:rPr>
                <w:color w:val="000000" w:themeColor="text1"/>
              </w:rPr>
              <w:t>Total (N=106)</w:t>
            </w:r>
          </w:p>
        </w:tc>
      </w:tr>
      <w:tr w:rsidR="007D2740" w:rsidRPr="007D2740" w14:paraId="53D00DFB" w14:textId="77777777" w:rsidTr="00A10A2B">
        <w:trPr>
          <w:trHeight w:val="300"/>
        </w:trPr>
        <w:tc>
          <w:tcPr>
            <w:tcW w:w="10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ACB7B" w14:textId="77777777" w:rsidR="002205F1" w:rsidRPr="007D2740" w:rsidRDefault="002205F1" w:rsidP="00572FA4">
            <w:pPr>
              <w:rPr>
                <w:color w:val="000000" w:themeColor="text1"/>
              </w:rPr>
            </w:pPr>
            <w:r w:rsidRPr="007D2740">
              <w:rPr>
                <w:color w:val="000000" w:themeColor="text1"/>
              </w:rPr>
              <w:t>POTEE</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14:paraId="020D01C2" w14:textId="77777777" w:rsidR="002205F1" w:rsidRPr="007D2740" w:rsidRDefault="002205F1" w:rsidP="00572FA4">
            <w:pPr>
              <w:rPr>
                <w:color w:val="000000" w:themeColor="text1"/>
              </w:rPr>
            </w:pPr>
            <w:r w:rsidRPr="007D2740">
              <w:rPr>
                <w:color w:val="000000" w:themeColor="text1"/>
              </w:rPr>
              <w:t>Early (1 &amp; 2)</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8091B4F" w14:textId="77777777" w:rsidR="002205F1" w:rsidRPr="007D2740" w:rsidRDefault="002205F1" w:rsidP="00572FA4">
            <w:pPr>
              <w:rPr>
                <w:color w:val="000000" w:themeColor="text1"/>
              </w:rPr>
            </w:pPr>
            <w:r w:rsidRPr="007D2740">
              <w:rPr>
                <w:color w:val="000000" w:themeColor="text1"/>
              </w:rPr>
              <w:t>5 (9.8%)</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0698982" w14:textId="77777777" w:rsidR="002205F1" w:rsidRPr="007D2740" w:rsidRDefault="002205F1" w:rsidP="00572FA4">
            <w:pPr>
              <w:rPr>
                <w:color w:val="000000" w:themeColor="text1"/>
              </w:rPr>
            </w:pPr>
            <w:r w:rsidRPr="007D2740">
              <w:rPr>
                <w:color w:val="000000" w:themeColor="text1"/>
              </w:rPr>
              <w:t>12 (21.8%)</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14:paraId="0BCD089C" w14:textId="77777777" w:rsidR="002205F1" w:rsidRPr="007D2740" w:rsidRDefault="002205F1" w:rsidP="00572FA4">
            <w:pPr>
              <w:rPr>
                <w:color w:val="000000" w:themeColor="text1"/>
              </w:rPr>
            </w:pPr>
            <w:r w:rsidRPr="007D2740">
              <w:rPr>
                <w:color w:val="000000" w:themeColor="text1"/>
              </w:rPr>
              <w:t>17 (16.0%)</w:t>
            </w:r>
          </w:p>
        </w:tc>
      </w:tr>
      <w:tr w:rsidR="007D2740" w:rsidRPr="007D2740" w14:paraId="10567CEC" w14:textId="77777777" w:rsidTr="00A10A2B">
        <w:trPr>
          <w:trHeight w:val="300"/>
        </w:trPr>
        <w:tc>
          <w:tcPr>
            <w:tcW w:w="1005" w:type="dxa"/>
            <w:vMerge/>
            <w:vAlign w:val="center"/>
            <w:hideMark/>
          </w:tcPr>
          <w:p w14:paraId="6FB530B2" w14:textId="77777777" w:rsidR="002205F1" w:rsidRPr="007D2740" w:rsidRDefault="002205F1" w:rsidP="00572FA4">
            <w:pPr>
              <w:rPr>
                <w:color w:val="000000" w:themeColor="text1"/>
              </w:rPr>
            </w:pPr>
          </w:p>
        </w:tc>
        <w:tc>
          <w:tcPr>
            <w:tcW w:w="1427" w:type="dxa"/>
            <w:tcBorders>
              <w:top w:val="nil"/>
              <w:left w:val="nil"/>
              <w:bottom w:val="single" w:sz="4" w:space="0" w:color="auto"/>
              <w:right w:val="single" w:sz="4" w:space="0" w:color="auto"/>
            </w:tcBorders>
            <w:shd w:val="clear" w:color="auto" w:fill="auto"/>
            <w:vAlign w:val="center"/>
            <w:hideMark/>
          </w:tcPr>
          <w:p w14:paraId="151A06B1" w14:textId="77777777" w:rsidR="002205F1" w:rsidRPr="007D2740" w:rsidRDefault="002205F1" w:rsidP="00572FA4">
            <w:pPr>
              <w:rPr>
                <w:color w:val="000000" w:themeColor="text1"/>
              </w:rPr>
            </w:pPr>
            <w:r w:rsidRPr="007D2740">
              <w:rPr>
                <w:color w:val="000000" w:themeColor="text1"/>
              </w:rPr>
              <w:t>Advanced (3 &amp; 4)</w:t>
            </w:r>
          </w:p>
        </w:tc>
        <w:tc>
          <w:tcPr>
            <w:tcW w:w="1800" w:type="dxa"/>
            <w:tcBorders>
              <w:top w:val="nil"/>
              <w:left w:val="nil"/>
              <w:bottom w:val="single" w:sz="4" w:space="0" w:color="auto"/>
              <w:right w:val="single" w:sz="4" w:space="0" w:color="auto"/>
            </w:tcBorders>
            <w:shd w:val="clear" w:color="auto" w:fill="auto"/>
            <w:vAlign w:val="center"/>
            <w:hideMark/>
          </w:tcPr>
          <w:p w14:paraId="227F68AE" w14:textId="77777777" w:rsidR="002205F1" w:rsidRPr="007D2740" w:rsidRDefault="002205F1" w:rsidP="00572FA4">
            <w:pPr>
              <w:rPr>
                <w:color w:val="000000" w:themeColor="text1"/>
              </w:rPr>
            </w:pPr>
            <w:r w:rsidRPr="007D2740">
              <w:rPr>
                <w:color w:val="000000" w:themeColor="text1"/>
              </w:rPr>
              <w:t>46 (90.2%)</w:t>
            </w:r>
          </w:p>
        </w:tc>
        <w:tc>
          <w:tcPr>
            <w:tcW w:w="1800" w:type="dxa"/>
            <w:tcBorders>
              <w:top w:val="nil"/>
              <w:left w:val="nil"/>
              <w:bottom w:val="single" w:sz="4" w:space="0" w:color="auto"/>
              <w:right w:val="single" w:sz="4" w:space="0" w:color="auto"/>
            </w:tcBorders>
            <w:shd w:val="clear" w:color="auto" w:fill="auto"/>
            <w:vAlign w:val="center"/>
            <w:hideMark/>
          </w:tcPr>
          <w:p w14:paraId="0CDF8D6B" w14:textId="77777777" w:rsidR="002205F1" w:rsidRPr="007D2740" w:rsidRDefault="002205F1" w:rsidP="00572FA4">
            <w:pPr>
              <w:rPr>
                <w:color w:val="000000" w:themeColor="text1"/>
              </w:rPr>
            </w:pPr>
            <w:r w:rsidRPr="007D2740">
              <w:rPr>
                <w:color w:val="000000" w:themeColor="text1"/>
              </w:rPr>
              <w:t>43 (78.2%)</w:t>
            </w:r>
          </w:p>
        </w:tc>
        <w:tc>
          <w:tcPr>
            <w:tcW w:w="2070" w:type="dxa"/>
            <w:tcBorders>
              <w:top w:val="nil"/>
              <w:left w:val="nil"/>
              <w:bottom w:val="single" w:sz="4" w:space="0" w:color="auto"/>
              <w:right w:val="single" w:sz="4" w:space="0" w:color="auto"/>
            </w:tcBorders>
            <w:shd w:val="clear" w:color="auto" w:fill="auto"/>
            <w:vAlign w:val="center"/>
            <w:hideMark/>
          </w:tcPr>
          <w:p w14:paraId="7740E9CE" w14:textId="77777777" w:rsidR="002205F1" w:rsidRPr="007D2740" w:rsidRDefault="002205F1" w:rsidP="00572FA4">
            <w:pPr>
              <w:rPr>
                <w:color w:val="000000" w:themeColor="text1"/>
              </w:rPr>
            </w:pPr>
            <w:r w:rsidRPr="007D2740">
              <w:rPr>
                <w:color w:val="000000" w:themeColor="text1"/>
              </w:rPr>
              <w:t>89 (84.0%)</w:t>
            </w:r>
          </w:p>
        </w:tc>
      </w:tr>
    </w:tbl>
    <w:p w14:paraId="61033197" w14:textId="77777777" w:rsidR="002205F1" w:rsidRPr="007D2740" w:rsidRDefault="002205F1" w:rsidP="00572FA4">
      <w:pPr>
        <w:rPr>
          <w:color w:val="000000" w:themeColor="text1"/>
        </w:rPr>
      </w:pPr>
      <w:r w:rsidRPr="007D2740">
        <w:rPr>
          <w:color w:val="000000" w:themeColor="text1"/>
        </w:rPr>
        <w:t>P values for count data of TTLL8 and POTEE are 0.017 and 0.115 respectively according to Fisher's Exact Test</w:t>
      </w:r>
    </w:p>
    <w:p w14:paraId="3ECF3724" w14:textId="52DEA40E" w:rsidR="001556E1" w:rsidRPr="007D2740" w:rsidRDefault="001556E1" w:rsidP="00572FA4">
      <w:pPr>
        <w:rPr>
          <w:color w:val="000000" w:themeColor="text1"/>
        </w:rPr>
      </w:pPr>
      <w:r w:rsidRPr="007D2740">
        <w:rPr>
          <w:color w:val="000000" w:themeColor="text1"/>
        </w:rPr>
        <w:br w:type="page"/>
      </w:r>
    </w:p>
    <w:p w14:paraId="2818A0AC" w14:textId="1F95DA64" w:rsidR="001556E1" w:rsidRPr="007D2740" w:rsidRDefault="001556E1" w:rsidP="00572FA4">
      <w:pPr>
        <w:pStyle w:val="Heading1"/>
        <w:rPr>
          <w:rFonts w:ascii="Arial" w:hAnsi="Arial" w:cs="Arial"/>
          <w:b/>
          <w:bCs/>
          <w:color w:val="000000" w:themeColor="text1"/>
          <w:sz w:val="22"/>
          <w:szCs w:val="22"/>
        </w:rPr>
      </w:pPr>
      <w:r w:rsidRPr="007D2740">
        <w:rPr>
          <w:rFonts w:ascii="Arial" w:hAnsi="Arial" w:cs="Arial"/>
          <w:b/>
          <w:bCs/>
          <w:color w:val="000000" w:themeColor="text1"/>
          <w:sz w:val="22"/>
          <w:szCs w:val="22"/>
        </w:rPr>
        <w:lastRenderedPageBreak/>
        <w:t>Supplementary Methods</w:t>
      </w:r>
    </w:p>
    <w:p w14:paraId="43FE6335" w14:textId="77777777" w:rsidR="0066673C" w:rsidRPr="007D2740" w:rsidRDefault="0066673C" w:rsidP="00572FA4">
      <w:pPr>
        <w:pStyle w:val="Heading2"/>
        <w:rPr>
          <w:color w:val="000000" w:themeColor="text1"/>
        </w:rPr>
      </w:pPr>
      <w:r w:rsidRPr="007D2740">
        <w:rPr>
          <w:color w:val="000000" w:themeColor="text1"/>
        </w:rPr>
        <w:t>Cell</w:t>
      </w:r>
      <w:r w:rsidRPr="007D2740">
        <w:rPr>
          <w:rStyle w:val="Heading2Char"/>
          <w:b/>
          <w:bCs/>
          <w:i/>
          <w:iCs/>
          <w:color w:val="000000" w:themeColor="text1"/>
        </w:rPr>
        <w:t xml:space="preserve"> Lines</w:t>
      </w:r>
      <w:r w:rsidRPr="007D2740">
        <w:rPr>
          <w:color w:val="000000" w:themeColor="text1"/>
        </w:rPr>
        <w:t xml:space="preserve"> </w:t>
      </w:r>
    </w:p>
    <w:p w14:paraId="1130CA30" w14:textId="77777777" w:rsidR="0066673C" w:rsidRPr="007D2740" w:rsidRDefault="0066673C" w:rsidP="00572FA4">
      <w:pPr>
        <w:rPr>
          <w:color w:val="000000" w:themeColor="text1"/>
        </w:rPr>
      </w:pPr>
      <w:r w:rsidRPr="007D2740">
        <w:rPr>
          <w:color w:val="000000" w:themeColor="text1"/>
        </w:rPr>
        <w:t>The OVCAR-5 cell line was obtained from the ​</w:t>
      </w:r>
      <w:r w:rsidRPr="007D2740">
        <w:rPr>
          <w:rStyle w:val="css-r6za39"/>
          <w:color w:val="000000" w:themeColor="text1"/>
        </w:rPr>
        <w:t>NCI-Frederick Cancer DCTD Tumor/Cell Line Repository</w:t>
      </w:r>
      <w:r w:rsidRPr="007D2740">
        <w:rPr>
          <w:color w:val="000000" w:themeColor="text1"/>
        </w:rPr>
        <w:t>. The cell line was tested for mycoplasma and authenticated using the commercial service (​</w:t>
      </w:r>
      <w:proofErr w:type="spellStart"/>
      <w:r w:rsidRPr="007D2740">
        <w:rPr>
          <w:rStyle w:val="css-r6za39"/>
          <w:color w:val="000000" w:themeColor="text1"/>
        </w:rPr>
        <w:t>CellCheck</w:t>
      </w:r>
      <w:proofErr w:type="spellEnd"/>
      <w:r w:rsidRPr="007D2740">
        <w:rPr>
          <w:color w:val="000000" w:themeColor="text1"/>
        </w:rPr>
        <w:t>, ​</w:t>
      </w:r>
      <w:r w:rsidRPr="007D2740">
        <w:rPr>
          <w:rStyle w:val="css-r6za39"/>
          <w:color w:val="000000" w:themeColor="text1"/>
        </w:rPr>
        <w:t>IDEXX Bioresearch)</w:t>
      </w:r>
      <w:r w:rsidRPr="007D2740">
        <w:rPr>
          <w:color w:val="000000" w:themeColor="text1"/>
        </w:rPr>
        <w:t>. OVCAR-5 cells were cultured in RPMI 1640 medium supplemented with 10% Fetal Bovine Serum (FBS) (M7201-127, Cardinal Healthcare). The OVCAR-5 cell line is of female origin.</w:t>
      </w:r>
    </w:p>
    <w:p w14:paraId="33305687" w14:textId="77777777" w:rsidR="0066673C" w:rsidRPr="007D2740" w:rsidRDefault="0066673C" w:rsidP="00572FA4">
      <w:pPr>
        <w:pStyle w:val="Heading2"/>
        <w:rPr>
          <w:color w:val="000000" w:themeColor="text1"/>
        </w:rPr>
      </w:pPr>
      <w:r w:rsidRPr="007D2740">
        <w:rPr>
          <w:color w:val="000000" w:themeColor="text1"/>
        </w:rPr>
        <w:t>Ovarian cancer tissue microarray – immunohistochemistry</w:t>
      </w:r>
    </w:p>
    <w:p w14:paraId="60745594" w14:textId="18ACE793" w:rsidR="0066673C" w:rsidRPr="007D2740" w:rsidRDefault="0066673C" w:rsidP="00572FA4">
      <w:pPr>
        <w:rPr>
          <w:color w:val="000000" w:themeColor="text1"/>
        </w:rPr>
      </w:pPr>
      <w:r w:rsidRPr="007D2740">
        <w:rPr>
          <w:color w:val="000000" w:themeColor="text1"/>
        </w:rPr>
        <w:t xml:space="preserve">Tissue microarrays (TMAs) were supplied from the Mayo Clinic Biospecimen Resource for Ovarian Cancer Research under IRB 20-001221 and stained with support from the Mayo Clinic Pathology Resource Core. TMAs were stained using the Roche Benchmark Ultra automated staining platform with TTLL8 antibody (1:250, Sigma, HPA016882) or POTEE (1:250, Sigma, HPA043260). </w:t>
      </w:r>
    </w:p>
    <w:p w14:paraId="34DF5E62" w14:textId="77777777" w:rsidR="0066673C" w:rsidRPr="007D2740" w:rsidRDefault="0066673C" w:rsidP="00572FA4">
      <w:pPr>
        <w:pStyle w:val="Heading2"/>
        <w:rPr>
          <w:color w:val="000000" w:themeColor="text1"/>
        </w:rPr>
      </w:pPr>
      <w:r w:rsidRPr="007D2740">
        <w:rPr>
          <w:color w:val="000000" w:themeColor="text1"/>
        </w:rPr>
        <w:t xml:space="preserve">Ovarian cancer tissue microarray – survival analysis </w:t>
      </w:r>
    </w:p>
    <w:p w14:paraId="7834B150" w14:textId="184C1FAB" w:rsidR="0066673C" w:rsidRPr="007D2740" w:rsidRDefault="0066673C" w:rsidP="69E60EDC">
      <w:pPr>
        <w:rPr>
          <w:color w:val="000000" w:themeColor="text1"/>
        </w:rPr>
      </w:pPr>
      <w:r w:rsidRPr="007D2740">
        <w:rPr>
          <w:color w:val="000000" w:themeColor="text1"/>
        </w:rPr>
        <w:t xml:space="preserve">The stained TMAs were scored by a gynecologic pathologist on a scale from 0-3, reflecting staining intensity for </w:t>
      </w:r>
      <w:r w:rsidR="59180941" w:rsidRPr="007D2740">
        <w:rPr>
          <w:rFonts w:eastAsia="Arial"/>
          <w:color w:val="000000" w:themeColor="text1"/>
        </w:rPr>
        <w:t>106 patients for POTEE and 104 patients for TTLL8</w:t>
      </w:r>
      <w:r w:rsidRPr="007D2740">
        <w:rPr>
          <w:color w:val="000000" w:themeColor="text1"/>
        </w:rPr>
        <w:t xml:space="preserve"> in triplicate. Intensity was reported as 0=Negative, 1=Weak, 2=Intermediate, or 3=Strong. Associations between staining and categorical variables were assessed via Fisher’s Exact test. The association with overall survival and time to progression was assessed via Kaplan Meier plots and log-rank tests. Cox regression models were used to adjust </w:t>
      </w:r>
      <w:bookmarkStart w:id="2" w:name="_Int_O6FvhaDh"/>
      <w:r w:rsidRPr="007D2740">
        <w:rPr>
          <w:color w:val="000000" w:themeColor="text1"/>
        </w:rPr>
        <w:t xml:space="preserve">these </w:t>
      </w:r>
      <w:bookmarkEnd w:id="2"/>
      <w:r w:rsidRPr="007D2740">
        <w:rPr>
          <w:color w:val="000000" w:themeColor="text1"/>
        </w:rPr>
        <w:t>time-to-event analyses for stage and debulking status. Overall survival was defined as the time from diagnosis to death. Progression-free survival was defined as the time from diagnosis to the first recurrence, persistent disease, or death. Data acquisition and analysis were blinded.</w:t>
      </w:r>
    </w:p>
    <w:p w14:paraId="5B2B97BB" w14:textId="70854460" w:rsidR="0066673C" w:rsidRPr="007D2740" w:rsidRDefault="0066673C" w:rsidP="00572FA4">
      <w:pPr>
        <w:pStyle w:val="Heading2"/>
        <w:rPr>
          <w:color w:val="000000" w:themeColor="text1"/>
        </w:rPr>
      </w:pPr>
      <w:r w:rsidRPr="007D2740">
        <w:rPr>
          <w:color w:val="000000" w:themeColor="text1"/>
        </w:rPr>
        <w:t xml:space="preserve">Antibodies </w:t>
      </w:r>
    </w:p>
    <w:p w14:paraId="3268D61F" w14:textId="77777777" w:rsidR="0066673C" w:rsidRPr="007D2740" w:rsidRDefault="0066673C" w:rsidP="00572FA4">
      <w:pPr>
        <w:rPr>
          <w:color w:val="000000" w:themeColor="text1"/>
        </w:rPr>
      </w:pPr>
      <w:r w:rsidRPr="007D2740">
        <w:rPr>
          <w:color w:val="000000" w:themeColor="text1"/>
        </w:rPr>
        <w:t xml:space="preserve">The following antibodies were used in this study: CD3-violetFlour 500 (#85-0038, </w:t>
      </w:r>
      <w:proofErr w:type="spellStart"/>
      <w:r w:rsidRPr="007D2740">
        <w:rPr>
          <w:color w:val="000000" w:themeColor="text1"/>
        </w:rPr>
        <w:t>Tonbo</w:t>
      </w:r>
      <w:proofErr w:type="spellEnd"/>
      <w:r w:rsidRPr="007D2740">
        <w:rPr>
          <w:color w:val="000000" w:themeColor="text1"/>
        </w:rPr>
        <w:t xml:space="preserve"> Biosciences), CD4-PerCP-Cy5.5 (#65-0048, </w:t>
      </w:r>
      <w:proofErr w:type="spellStart"/>
      <w:r w:rsidRPr="007D2740">
        <w:rPr>
          <w:color w:val="000000" w:themeColor="text1"/>
        </w:rPr>
        <w:t>Tonbo</w:t>
      </w:r>
      <w:proofErr w:type="spellEnd"/>
      <w:r w:rsidRPr="007D2740">
        <w:rPr>
          <w:color w:val="000000" w:themeColor="text1"/>
        </w:rPr>
        <w:t xml:space="preserve"> Biosciences), CD8-Alexa Fluor 700 (#344724, </w:t>
      </w:r>
      <w:proofErr w:type="spellStart"/>
      <w:r w:rsidRPr="007D2740">
        <w:rPr>
          <w:color w:val="000000" w:themeColor="text1"/>
        </w:rPr>
        <w:t>BioLegend</w:t>
      </w:r>
      <w:proofErr w:type="spellEnd"/>
      <w:r w:rsidRPr="007D2740">
        <w:rPr>
          <w:color w:val="000000" w:themeColor="text1"/>
        </w:rPr>
        <w:t xml:space="preserve">), PD-1-APC (#329908, </w:t>
      </w:r>
      <w:proofErr w:type="spellStart"/>
      <w:r w:rsidRPr="007D2740">
        <w:rPr>
          <w:color w:val="000000" w:themeColor="text1"/>
        </w:rPr>
        <w:t>BioLegend</w:t>
      </w:r>
      <w:proofErr w:type="spellEnd"/>
      <w:r w:rsidRPr="007D2740">
        <w:rPr>
          <w:color w:val="000000" w:themeColor="text1"/>
        </w:rPr>
        <w:t xml:space="preserve">), TNF-α-BV421 (#502932, </w:t>
      </w:r>
      <w:proofErr w:type="spellStart"/>
      <w:r w:rsidRPr="007D2740">
        <w:rPr>
          <w:color w:val="000000" w:themeColor="text1"/>
        </w:rPr>
        <w:t>BioLegend</w:t>
      </w:r>
      <w:proofErr w:type="spellEnd"/>
      <w:r w:rsidRPr="007D2740">
        <w:rPr>
          <w:color w:val="000000" w:themeColor="text1"/>
        </w:rPr>
        <w:t xml:space="preserve">), IFN-γ-PE (#502509, </w:t>
      </w:r>
      <w:proofErr w:type="spellStart"/>
      <w:r w:rsidRPr="007D2740">
        <w:rPr>
          <w:color w:val="000000" w:themeColor="text1"/>
        </w:rPr>
        <w:t>BioLegend</w:t>
      </w:r>
      <w:proofErr w:type="spellEnd"/>
      <w:r w:rsidRPr="007D2740">
        <w:rPr>
          <w:color w:val="000000" w:themeColor="text1"/>
        </w:rPr>
        <w:t xml:space="preserve">), W6/32 (# 311428, </w:t>
      </w:r>
      <w:proofErr w:type="spellStart"/>
      <w:r w:rsidRPr="007D2740">
        <w:rPr>
          <w:color w:val="000000" w:themeColor="text1"/>
        </w:rPr>
        <w:t>Biolegend</w:t>
      </w:r>
      <w:proofErr w:type="spellEnd"/>
      <w:r w:rsidRPr="007D2740">
        <w:rPr>
          <w:color w:val="000000" w:themeColor="text1"/>
        </w:rPr>
        <w:t xml:space="preserve">), and IgG (#400166, </w:t>
      </w:r>
      <w:proofErr w:type="spellStart"/>
      <w:r w:rsidRPr="007D2740">
        <w:rPr>
          <w:color w:val="000000" w:themeColor="text1"/>
        </w:rPr>
        <w:t>Biolegend</w:t>
      </w:r>
      <w:proofErr w:type="spellEnd"/>
      <w:r w:rsidRPr="007D2740">
        <w:rPr>
          <w:color w:val="000000" w:themeColor="text1"/>
        </w:rPr>
        <w:t>).</w:t>
      </w:r>
    </w:p>
    <w:p w14:paraId="080B4CF5" w14:textId="1DCC1AAF" w:rsidR="001556E1" w:rsidRPr="007D2740" w:rsidRDefault="001556E1" w:rsidP="00572FA4">
      <w:pPr>
        <w:pStyle w:val="Heading2"/>
        <w:rPr>
          <w:color w:val="000000" w:themeColor="text1"/>
        </w:rPr>
      </w:pPr>
      <w:r w:rsidRPr="007D2740">
        <w:rPr>
          <w:color w:val="000000" w:themeColor="text1"/>
        </w:rPr>
        <w:t>mRNA expression analysis</w:t>
      </w:r>
    </w:p>
    <w:p w14:paraId="349419F6" w14:textId="436D6D93" w:rsidR="001556E1" w:rsidRPr="007D2740" w:rsidRDefault="001556E1" w:rsidP="00572FA4">
      <w:pPr>
        <w:rPr>
          <w:color w:val="000000" w:themeColor="text1"/>
        </w:rPr>
      </w:pPr>
      <w:r w:rsidRPr="007D2740">
        <w:rPr>
          <w:color w:val="000000" w:themeColor="text1"/>
        </w:rPr>
        <w:t xml:space="preserve">OVCAR-5 cells were treated with 5-aza-2′-deoxycytidine (DAC) (Sigma, MO) for 7 days with DAC. Total RNA was extracted using the phenol-chloroform method. Reverse transcription of 2 </w:t>
      </w:r>
      <w:proofErr w:type="spellStart"/>
      <w:r w:rsidRPr="007D2740">
        <w:rPr>
          <w:color w:val="000000" w:themeColor="text1"/>
        </w:rPr>
        <w:t>μg</w:t>
      </w:r>
      <w:proofErr w:type="spellEnd"/>
      <w:r w:rsidRPr="007D2740">
        <w:rPr>
          <w:color w:val="000000" w:themeColor="text1"/>
        </w:rPr>
        <w:t xml:space="preserve"> total RNA was carried out using the </w:t>
      </w:r>
      <w:proofErr w:type="gramStart"/>
      <w:r w:rsidRPr="007D2740">
        <w:rPr>
          <w:color w:val="000000" w:themeColor="text1"/>
        </w:rPr>
        <w:t>High Capacity</w:t>
      </w:r>
      <w:proofErr w:type="gramEnd"/>
      <w:r w:rsidRPr="007D2740">
        <w:rPr>
          <w:color w:val="000000" w:themeColor="text1"/>
        </w:rPr>
        <w:t xml:space="preserve"> cDNA Reverse Transcription Kit (</w:t>
      </w:r>
      <w:proofErr w:type="spellStart"/>
      <w:r w:rsidRPr="007D2740">
        <w:rPr>
          <w:color w:val="000000" w:themeColor="text1"/>
        </w:rPr>
        <w:t>ThermoFisher</w:t>
      </w:r>
      <w:proofErr w:type="spellEnd"/>
      <w:r w:rsidRPr="007D2740">
        <w:rPr>
          <w:color w:val="000000" w:themeColor="text1"/>
        </w:rPr>
        <w:t xml:space="preserve"> Scientific). qPCR was performed with human TaqMan probes and </w:t>
      </w:r>
      <w:proofErr w:type="spellStart"/>
      <w:r w:rsidRPr="007D2740">
        <w:rPr>
          <w:color w:val="000000" w:themeColor="text1"/>
        </w:rPr>
        <w:t>FastPROBE</w:t>
      </w:r>
      <w:proofErr w:type="spellEnd"/>
      <w:r w:rsidRPr="007D2740">
        <w:rPr>
          <w:color w:val="000000" w:themeColor="text1"/>
        </w:rPr>
        <w:t xml:space="preserve"> qPCR No-ROX Master Mix (Cytek Biosciences) on a Roche LightCycler 480 Real-Time PCR System. </w:t>
      </w:r>
    </w:p>
    <w:p w14:paraId="1AB7F458" w14:textId="77777777" w:rsidR="0066673C" w:rsidRPr="007D2740" w:rsidRDefault="0066673C" w:rsidP="00572FA4">
      <w:pPr>
        <w:pStyle w:val="Heading2"/>
        <w:rPr>
          <w:color w:val="000000" w:themeColor="text1"/>
        </w:rPr>
      </w:pPr>
      <w:r w:rsidRPr="007D2740">
        <w:rPr>
          <w:color w:val="000000" w:themeColor="text1"/>
        </w:rPr>
        <w:lastRenderedPageBreak/>
        <w:t xml:space="preserve">Statistics </w:t>
      </w:r>
    </w:p>
    <w:p w14:paraId="1E259802" w14:textId="77777777" w:rsidR="0066673C" w:rsidRPr="007D2740" w:rsidRDefault="0066673C" w:rsidP="00572FA4">
      <w:pPr>
        <w:rPr>
          <w:color w:val="000000" w:themeColor="text1"/>
        </w:rPr>
      </w:pPr>
      <w:r w:rsidRPr="007D2740">
        <w:rPr>
          <w:color w:val="000000" w:themeColor="text1"/>
        </w:rPr>
        <w:t>All statistical analyses were performed using GraphPad Prism (GraphPad, La Jolla, CA). Sample sizes were determined based on previous experience with the individual experiment. The mean and the standard error of the mean (</w:t>
      </w:r>
      <w:proofErr w:type="spellStart"/>
      <w:r w:rsidRPr="007D2740">
        <w:rPr>
          <w:color w:val="000000" w:themeColor="text1"/>
        </w:rPr>
        <w:t>s.e.m</w:t>
      </w:r>
      <w:proofErr w:type="spellEnd"/>
      <w:r w:rsidRPr="007D2740">
        <w:rPr>
          <w:color w:val="000000" w:themeColor="text1"/>
        </w:rPr>
        <w:t>) indicating variance are reported for all graphs. For experiments making one comparison, data was analyzed using a two-tailed Mann-Whitney U test to account for the non-normal distribution of the data. For experiments with more than one comparison, one-way ANOVA with Tukey’s multiple comparisons post-test was used. A log2 transformation was applied to the data before analysis, where the standard deviations were significantly different. Differences were considered significant if p&lt; 0.05.</w:t>
      </w:r>
    </w:p>
    <w:p w14:paraId="11A69A6C" w14:textId="77777777" w:rsidR="0066673C" w:rsidRPr="007D2740" w:rsidRDefault="0066673C" w:rsidP="00572FA4">
      <w:pPr>
        <w:pStyle w:val="p"/>
        <w:rPr>
          <w:color w:val="000000" w:themeColor="text1"/>
        </w:rPr>
      </w:pPr>
    </w:p>
    <w:p w14:paraId="4248874D" w14:textId="77777777" w:rsidR="002205F1" w:rsidRPr="007D2740" w:rsidRDefault="002205F1" w:rsidP="00572FA4">
      <w:pPr>
        <w:rPr>
          <w:color w:val="000000" w:themeColor="text1"/>
        </w:rPr>
      </w:pPr>
    </w:p>
    <w:sectPr w:rsidR="002205F1" w:rsidRPr="007D2740" w:rsidSect="00B619D6">
      <w:pgSz w:w="12240" w:h="15840"/>
      <w:pgMar w:top="1440" w:right="1080" w:bottom="1440" w:left="108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5F1"/>
    <w:rsid w:val="00023484"/>
    <w:rsid w:val="0006025D"/>
    <w:rsid w:val="00087FA3"/>
    <w:rsid w:val="0009265C"/>
    <w:rsid w:val="00095CC7"/>
    <w:rsid w:val="000D62DE"/>
    <w:rsid w:val="000E37F8"/>
    <w:rsid w:val="000F6A96"/>
    <w:rsid w:val="00105861"/>
    <w:rsid w:val="001526A7"/>
    <w:rsid w:val="001556E1"/>
    <w:rsid w:val="00166907"/>
    <w:rsid w:val="00192C83"/>
    <w:rsid w:val="001A22DF"/>
    <w:rsid w:val="001E03D2"/>
    <w:rsid w:val="001F01FF"/>
    <w:rsid w:val="00215000"/>
    <w:rsid w:val="002205F1"/>
    <w:rsid w:val="002615B9"/>
    <w:rsid w:val="002D55F3"/>
    <w:rsid w:val="002D5D3F"/>
    <w:rsid w:val="003152B4"/>
    <w:rsid w:val="00340F87"/>
    <w:rsid w:val="00351B95"/>
    <w:rsid w:val="0035303C"/>
    <w:rsid w:val="003627CE"/>
    <w:rsid w:val="003A7128"/>
    <w:rsid w:val="004027AF"/>
    <w:rsid w:val="00416906"/>
    <w:rsid w:val="004910AF"/>
    <w:rsid w:val="004B54FA"/>
    <w:rsid w:val="004C7D26"/>
    <w:rsid w:val="004F5184"/>
    <w:rsid w:val="005200DA"/>
    <w:rsid w:val="00546C02"/>
    <w:rsid w:val="00560D42"/>
    <w:rsid w:val="005625EA"/>
    <w:rsid w:val="00572FA4"/>
    <w:rsid w:val="005806EB"/>
    <w:rsid w:val="005C1A22"/>
    <w:rsid w:val="005E3022"/>
    <w:rsid w:val="005E64E2"/>
    <w:rsid w:val="00654A3B"/>
    <w:rsid w:val="0066673C"/>
    <w:rsid w:val="0067712D"/>
    <w:rsid w:val="006B2EF0"/>
    <w:rsid w:val="006C6BE1"/>
    <w:rsid w:val="006E0BDB"/>
    <w:rsid w:val="006E18C2"/>
    <w:rsid w:val="007003FF"/>
    <w:rsid w:val="00727AED"/>
    <w:rsid w:val="00742D69"/>
    <w:rsid w:val="00764AF1"/>
    <w:rsid w:val="007A203E"/>
    <w:rsid w:val="007D2740"/>
    <w:rsid w:val="00817241"/>
    <w:rsid w:val="008215E6"/>
    <w:rsid w:val="00865684"/>
    <w:rsid w:val="00897732"/>
    <w:rsid w:val="008A6E9D"/>
    <w:rsid w:val="008C6F79"/>
    <w:rsid w:val="008E492C"/>
    <w:rsid w:val="00954593"/>
    <w:rsid w:val="00977656"/>
    <w:rsid w:val="009A4FD6"/>
    <w:rsid w:val="00A10A2B"/>
    <w:rsid w:val="00A207A2"/>
    <w:rsid w:val="00A93AE2"/>
    <w:rsid w:val="00AD5D99"/>
    <w:rsid w:val="00AF4A79"/>
    <w:rsid w:val="00B233DE"/>
    <w:rsid w:val="00B26C9C"/>
    <w:rsid w:val="00B34F1C"/>
    <w:rsid w:val="00B402C3"/>
    <w:rsid w:val="00B619D6"/>
    <w:rsid w:val="00B83809"/>
    <w:rsid w:val="00BF2771"/>
    <w:rsid w:val="00C82684"/>
    <w:rsid w:val="00D122C8"/>
    <w:rsid w:val="00D20F88"/>
    <w:rsid w:val="00D46C53"/>
    <w:rsid w:val="00DC1A7F"/>
    <w:rsid w:val="00DE4239"/>
    <w:rsid w:val="00E20E7F"/>
    <w:rsid w:val="00E345B9"/>
    <w:rsid w:val="00E80B37"/>
    <w:rsid w:val="00E85247"/>
    <w:rsid w:val="00E87031"/>
    <w:rsid w:val="00EC10E9"/>
    <w:rsid w:val="00EC5A39"/>
    <w:rsid w:val="00EC7FA1"/>
    <w:rsid w:val="00F40A30"/>
    <w:rsid w:val="00F52D3A"/>
    <w:rsid w:val="00F840DA"/>
    <w:rsid w:val="00FB038F"/>
    <w:rsid w:val="00FC0EA0"/>
    <w:rsid w:val="00FC5EE0"/>
    <w:rsid w:val="1035F0AA"/>
    <w:rsid w:val="17E87EE3"/>
    <w:rsid w:val="1BE393BD"/>
    <w:rsid w:val="3DADB191"/>
    <w:rsid w:val="444D1F6E"/>
    <w:rsid w:val="560114EB"/>
    <w:rsid w:val="59180941"/>
    <w:rsid w:val="6415D294"/>
    <w:rsid w:val="69E60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7639D"/>
  <w15:chartTrackingRefBased/>
  <w15:docId w15:val="{7011521B-FDF5-4450-8CD9-B54E09B5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FA4"/>
    <w:pPr>
      <w:spacing w:after="0" w:line="360" w:lineRule="auto"/>
      <w:jc w:val="both"/>
    </w:pPr>
    <w:rPr>
      <w:rFonts w:ascii="Arial" w:hAnsi="Arial" w:cs="Arial"/>
    </w:rPr>
  </w:style>
  <w:style w:type="paragraph" w:styleId="Heading1">
    <w:name w:val="heading 1"/>
    <w:basedOn w:val="Normal"/>
    <w:next w:val="Normal"/>
    <w:link w:val="Heading1Char"/>
    <w:uiPriority w:val="9"/>
    <w:qFormat/>
    <w:rsid w:val="002205F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unhideWhenUsed/>
    <w:qFormat/>
    <w:rsid w:val="00572FA4"/>
    <w:pPr>
      <w:keepNext/>
      <w:keepLines/>
      <w:spacing w:before="160" w:after="80"/>
      <w:outlineLvl w:val="1"/>
    </w:pPr>
    <w:rPr>
      <w:rFonts w:eastAsiaTheme="majorEastAsia"/>
      <w:b/>
      <w:bCs/>
      <w:i/>
      <w:iCs/>
    </w:rPr>
  </w:style>
  <w:style w:type="paragraph" w:styleId="Heading3">
    <w:name w:val="heading 3"/>
    <w:basedOn w:val="Normal"/>
    <w:next w:val="Normal"/>
    <w:link w:val="Heading3Char"/>
    <w:uiPriority w:val="9"/>
    <w:semiHidden/>
    <w:unhideWhenUsed/>
    <w:qFormat/>
    <w:rsid w:val="002205F1"/>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205F1"/>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2205F1"/>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2205F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05F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05F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05F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5F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rsid w:val="00572FA4"/>
    <w:rPr>
      <w:rFonts w:ascii="Arial" w:eastAsiaTheme="majorEastAsia" w:hAnsi="Arial" w:cs="Arial"/>
      <w:b/>
      <w:bCs/>
      <w:i/>
      <w:iCs/>
    </w:rPr>
  </w:style>
  <w:style w:type="character" w:customStyle="1" w:styleId="Heading3Char">
    <w:name w:val="Heading 3 Char"/>
    <w:basedOn w:val="DefaultParagraphFont"/>
    <w:link w:val="Heading3"/>
    <w:uiPriority w:val="9"/>
    <w:semiHidden/>
    <w:rsid w:val="002205F1"/>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205F1"/>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2205F1"/>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2205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05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05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05F1"/>
    <w:rPr>
      <w:rFonts w:eastAsiaTheme="majorEastAsia" w:cstheme="majorBidi"/>
      <w:color w:val="272727" w:themeColor="text1" w:themeTint="D8"/>
    </w:rPr>
  </w:style>
  <w:style w:type="paragraph" w:styleId="Title">
    <w:name w:val="Title"/>
    <w:basedOn w:val="Normal"/>
    <w:next w:val="Normal"/>
    <w:link w:val="TitleChar"/>
    <w:uiPriority w:val="10"/>
    <w:qFormat/>
    <w:rsid w:val="002205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05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05F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05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05F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205F1"/>
    <w:rPr>
      <w:i/>
      <w:iCs/>
      <w:color w:val="404040" w:themeColor="text1" w:themeTint="BF"/>
    </w:rPr>
  </w:style>
  <w:style w:type="paragraph" w:styleId="ListParagraph">
    <w:name w:val="List Paragraph"/>
    <w:basedOn w:val="Normal"/>
    <w:uiPriority w:val="34"/>
    <w:qFormat/>
    <w:rsid w:val="002205F1"/>
    <w:pPr>
      <w:ind w:left="720"/>
      <w:contextualSpacing/>
    </w:pPr>
  </w:style>
  <w:style w:type="character" w:styleId="IntenseEmphasis">
    <w:name w:val="Intense Emphasis"/>
    <w:basedOn w:val="DefaultParagraphFont"/>
    <w:uiPriority w:val="21"/>
    <w:qFormat/>
    <w:rsid w:val="002205F1"/>
    <w:rPr>
      <w:i/>
      <w:iCs/>
      <w:color w:val="365F91" w:themeColor="accent1" w:themeShade="BF"/>
    </w:rPr>
  </w:style>
  <w:style w:type="paragraph" w:styleId="IntenseQuote">
    <w:name w:val="Intense Quote"/>
    <w:basedOn w:val="Normal"/>
    <w:next w:val="Normal"/>
    <w:link w:val="IntenseQuoteChar"/>
    <w:uiPriority w:val="30"/>
    <w:qFormat/>
    <w:rsid w:val="002205F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205F1"/>
    <w:rPr>
      <w:i/>
      <w:iCs/>
      <w:color w:val="365F91" w:themeColor="accent1" w:themeShade="BF"/>
    </w:rPr>
  </w:style>
  <w:style w:type="character" w:styleId="IntenseReference">
    <w:name w:val="Intense Reference"/>
    <w:basedOn w:val="DefaultParagraphFont"/>
    <w:uiPriority w:val="32"/>
    <w:qFormat/>
    <w:rsid w:val="002205F1"/>
    <w:rPr>
      <w:b/>
      <w:bCs/>
      <w:smallCaps/>
      <w:color w:val="365F91" w:themeColor="accent1" w:themeShade="BF"/>
      <w:spacing w:val="5"/>
    </w:rPr>
  </w:style>
  <w:style w:type="paragraph" w:customStyle="1" w:styleId="paragraph">
    <w:name w:val="paragraph"/>
    <w:basedOn w:val="Normal"/>
    <w:rsid w:val="002205F1"/>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ompact">
    <w:name w:val="Compact"/>
    <w:basedOn w:val="BodyText"/>
    <w:qFormat/>
    <w:rsid w:val="002205F1"/>
    <w:pPr>
      <w:spacing w:before="36" w:after="36" w:line="240" w:lineRule="auto"/>
    </w:pPr>
    <w:rPr>
      <w:kern w:val="0"/>
      <w:sz w:val="24"/>
      <w:szCs w:val="24"/>
    </w:rPr>
  </w:style>
  <w:style w:type="table" w:customStyle="1" w:styleId="Table">
    <w:name w:val="Table"/>
    <w:semiHidden/>
    <w:unhideWhenUsed/>
    <w:qFormat/>
    <w:rsid w:val="002205F1"/>
    <w:pPr>
      <w:spacing w:line="240" w:lineRule="auto"/>
    </w:pPr>
    <w:rPr>
      <w:kern w:val="0"/>
      <w:sz w:val="24"/>
      <w:szCs w:val="24"/>
      <w14:ligatures w14:val="none"/>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BodyText">
    <w:name w:val="Body Text"/>
    <w:basedOn w:val="Normal"/>
    <w:link w:val="BodyTextChar"/>
    <w:uiPriority w:val="99"/>
    <w:semiHidden/>
    <w:unhideWhenUsed/>
    <w:rsid w:val="002205F1"/>
    <w:pPr>
      <w:spacing w:after="120"/>
    </w:pPr>
  </w:style>
  <w:style w:type="character" w:customStyle="1" w:styleId="BodyTextChar">
    <w:name w:val="Body Text Char"/>
    <w:basedOn w:val="DefaultParagraphFont"/>
    <w:link w:val="BodyText"/>
    <w:uiPriority w:val="99"/>
    <w:semiHidden/>
    <w:rsid w:val="002205F1"/>
  </w:style>
  <w:style w:type="character" w:customStyle="1" w:styleId="css-r6za39">
    <w:name w:val="css-r6za39"/>
    <w:basedOn w:val="DefaultParagraphFont"/>
    <w:rsid w:val="0066673C"/>
  </w:style>
  <w:style w:type="paragraph" w:customStyle="1" w:styleId="p">
    <w:name w:val="p"/>
    <w:basedOn w:val="Normal"/>
    <w:rsid w:val="0066673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LineNumber">
    <w:name w:val="line number"/>
    <w:basedOn w:val="DefaultParagraphFont"/>
    <w:uiPriority w:val="99"/>
    <w:semiHidden/>
    <w:unhideWhenUsed/>
    <w:rsid w:val="00B619D6"/>
  </w:style>
  <w:style w:type="paragraph" w:styleId="Revision">
    <w:name w:val="Revision"/>
    <w:hidden/>
    <w:uiPriority w:val="99"/>
    <w:semiHidden/>
    <w:rsid w:val="003152B4"/>
    <w:pPr>
      <w:spacing w:after="0" w:line="240" w:lineRule="auto"/>
    </w:pPr>
    <w:rPr>
      <w:rFonts w:ascii="Arial" w:hAnsi="Arial" w:cs="Arial"/>
    </w:rPr>
  </w:style>
  <w:style w:type="character" w:styleId="Strong">
    <w:name w:val="Strong"/>
    <w:basedOn w:val="DefaultParagraphFont"/>
    <w:uiPriority w:val="22"/>
    <w:qFormat/>
    <w:rsid w:val="003152B4"/>
    <w:rPr>
      <w:b/>
      <w:bCs/>
    </w:rPr>
  </w:style>
  <w:style w:type="character" w:styleId="CommentReference">
    <w:name w:val="annotation reference"/>
    <w:basedOn w:val="DefaultParagraphFont"/>
    <w:uiPriority w:val="99"/>
    <w:semiHidden/>
    <w:unhideWhenUsed/>
    <w:rsid w:val="003152B4"/>
    <w:rPr>
      <w:sz w:val="16"/>
      <w:szCs w:val="16"/>
    </w:rPr>
  </w:style>
  <w:style w:type="paragraph" w:styleId="CommentText">
    <w:name w:val="annotation text"/>
    <w:basedOn w:val="Normal"/>
    <w:link w:val="CommentTextChar"/>
    <w:uiPriority w:val="99"/>
    <w:unhideWhenUsed/>
    <w:rsid w:val="003152B4"/>
    <w:pPr>
      <w:spacing w:line="240" w:lineRule="auto"/>
    </w:pPr>
    <w:rPr>
      <w:sz w:val="20"/>
      <w:szCs w:val="20"/>
    </w:rPr>
  </w:style>
  <w:style w:type="character" w:customStyle="1" w:styleId="CommentTextChar">
    <w:name w:val="Comment Text Char"/>
    <w:basedOn w:val="DefaultParagraphFont"/>
    <w:link w:val="CommentText"/>
    <w:uiPriority w:val="99"/>
    <w:rsid w:val="003152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152B4"/>
    <w:rPr>
      <w:b/>
      <w:bCs/>
    </w:rPr>
  </w:style>
  <w:style w:type="character" w:customStyle="1" w:styleId="CommentSubjectChar">
    <w:name w:val="Comment Subject Char"/>
    <w:basedOn w:val="CommentTextChar"/>
    <w:link w:val="CommentSubject"/>
    <w:uiPriority w:val="99"/>
    <w:semiHidden/>
    <w:rsid w:val="003152B4"/>
    <w:rPr>
      <w:rFonts w:ascii="Arial" w:hAnsi="Arial" w:cs="Arial"/>
      <w:b/>
      <w:bCs/>
      <w:sz w:val="20"/>
      <w:szCs w:val="20"/>
    </w:rPr>
  </w:style>
  <w:style w:type="paragraph" w:customStyle="1" w:styleId="whitespace-pre-wrap">
    <w:name w:val="whitespace-pre-wrap"/>
    <w:basedOn w:val="Normal"/>
    <w:rsid w:val="002615B9"/>
    <w:pPr>
      <w:spacing w:before="100" w:beforeAutospacing="1" w:after="100" w:afterAutospacing="1" w:line="240" w:lineRule="auto"/>
      <w:jc w:val="left"/>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6308949">
      <w:bodyDiv w:val="1"/>
      <w:marLeft w:val="0"/>
      <w:marRight w:val="0"/>
      <w:marTop w:val="0"/>
      <w:marBottom w:val="0"/>
      <w:divBdr>
        <w:top w:val="none" w:sz="0" w:space="0" w:color="auto"/>
        <w:left w:val="none" w:sz="0" w:space="0" w:color="auto"/>
        <w:bottom w:val="none" w:sz="0" w:space="0" w:color="auto"/>
        <w:right w:val="none" w:sz="0" w:space="0" w:color="auto"/>
      </w:divBdr>
    </w:div>
    <w:div w:id="171403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717B0B4F55C489EAD72389B06E309" ma:contentTypeVersion="15" ma:contentTypeDescription="Create a new document." ma:contentTypeScope="" ma:versionID="25360dfee3b0ab9ac2b8aca532ec9b07">
  <xsd:schema xmlns:xsd="http://www.w3.org/2001/XMLSchema" xmlns:xs="http://www.w3.org/2001/XMLSchema" xmlns:p="http://schemas.microsoft.com/office/2006/metadata/properties" xmlns:ns2="a67e4060-4ce7-4877-9c00-96ac5b7cd535" xmlns:ns3="1b6e512b-3ac6-4978-89e1-f6d9995aebb3" targetNamespace="http://schemas.microsoft.com/office/2006/metadata/properties" ma:root="true" ma:fieldsID="b0b0f25b9efd84675e9f6cf68b07dd22" ns2:_="" ns3:_="">
    <xsd:import namespace="a67e4060-4ce7-4877-9c00-96ac5b7cd535"/>
    <xsd:import namespace="1b6e512b-3ac6-4978-89e1-f6d9995aeb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e4060-4ce7-4877-9c00-96ac5b7cd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c5d3906-26d2-4840-9c74-966ccfe297a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6e512b-3ac6-4978-89e1-f6d9995aeb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031b114-9460-4f52-a304-ec0518a6ab5f}" ma:internalName="TaxCatchAll" ma:showField="CatchAllData" ma:web="1b6e512b-3ac6-4978-89e1-f6d9995aeb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b6e512b-3ac6-4978-89e1-f6d9995aebb3" xsi:nil="true"/>
    <lcf76f155ced4ddcb4097134ff3c332f xmlns="a67e4060-4ce7-4877-9c00-96ac5b7cd53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771926-1FDF-42CC-AE51-E0F790F48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e4060-4ce7-4877-9c00-96ac5b7cd535"/>
    <ds:schemaRef ds:uri="1b6e512b-3ac6-4978-89e1-f6d9995aeb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8A2C6F-C9E3-490D-BCB5-29B69CB9B754}">
  <ds:schemaRefs>
    <ds:schemaRef ds:uri="http://schemas.microsoft.com/office/2006/metadata/properties"/>
    <ds:schemaRef ds:uri="http://schemas.microsoft.com/office/infopath/2007/PartnerControls"/>
    <ds:schemaRef ds:uri="1b6e512b-3ac6-4978-89e1-f6d9995aebb3"/>
    <ds:schemaRef ds:uri="a67e4060-4ce7-4877-9c00-96ac5b7cd535"/>
  </ds:schemaRefs>
</ds:datastoreItem>
</file>

<file path=customXml/itemProps3.xml><?xml version="1.0" encoding="utf-8"?>
<ds:datastoreItem xmlns:ds="http://schemas.openxmlformats.org/officeDocument/2006/customXml" ds:itemID="{EA49FBB9-5C5C-4EAB-8FCB-C2FFE5220F75}">
  <ds:schemaRefs>
    <ds:schemaRef ds:uri="http://schemas.microsoft.com/sharepoint/v3/contenttype/forms"/>
  </ds:schemaRefs>
</ds:datastoreItem>
</file>

<file path=docMetadata/LabelInfo.xml><?xml version="1.0" encoding="utf-8"?>
<clbl:labelList xmlns:clbl="http://schemas.microsoft.com/office/2020/mipLabelMetadata">
  <clbl:label id="{11372f5f-8e19-4efb-8afe-8eac20a980c4}" enabled="1" method="Standard" siteId="{a25fff9c-3f63-4fb2-9a8a-d9bdd0321f9a}"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9</Pages>
  <Words>1194</Words>
  <Characters>6794</Characters>
  <Application>Microsoft Office Word</Application>
  <DocSecurity>0</DocSecurity>
  <Lines>271</Lines>
  <Paragraphs>181</Paragraphs>
  <ScaleCrop>false</ScaleCrop>
  <Company>Mayo Clinic</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Marion R., Ph.D.</dc:creator>
  <cp:keywords/>
  <dc:description/>
  <cp:lastModifiedBy>Sheena Teves</cp:lastModifiedBy>
  <cp:revision>3</cp:revision>
  <dcterms:created xsi:type="dcterms:W3CDTF">2025-01-27T04:17:00Z</dcterms:created>
  <dcterms:modified xsi:type="dcterms:W3CDTF">2025-01-27T04:20:00Z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f7ebe3fc-79aa-4977-85a8-e69cf501ebbd</vt:lpwstr>
  </property>
  <property fmtid="{D5CDD505-2E9C-101B-9397-08002B2CF9AE}" pid="3" name="ContentTypeId">
    <vt:lpwstr>0x010100D50717B0B4F55C489EAD72389B06E309</vt:lpwstr>
  </property>
  <property fmtid="{D5CDD505-2E9C-101B-9397-08002B2CF9AE}" pid="4" name="MediaServiceImageTags">
    <vt:lpwstr/>
  </property>
</Properties>
</file>