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836D" w14:textId="6D2128E3" w:rsidR="004B6C19" w:rsidRPr="00D358EE" w:rsidRDefault="00D358EE" w:rsidP="004B35D3">
      <w:pPr>
        <w:pStyle w:val="Text"/>
        <w:spacing w:line="480" w:lineRule="auto"/>
        <w:jc w:val="center"/>
        <w:rPr>
          <w:b/>
          <w:bCs/>
        </w:rPr>
      </w:pPr>
      <w:r w:rsidRPr="00D358EE">
        <w:rPr>
          <w:b/>
          <w:bCs/>
        </w:rPr>
        <w:t>SUPPLEMENTAL DATA</w:t>
      </w:r>
    </w:p>
    <w:p w14:paraId="0648D738" w14:textId="15E5391C" w:rsidR="004B6C19" w:rsidRPr="00D358EE" w:rsidRDefault="004B6C19" w:rsidP="004B6C19">
      <w:pPr>
        <w:pStyle w:val="EndNoteBibliography"/>
        <w:rPr>
          <w:sz w:val="20"/>
          <w:szCs w:val="20"/>
        </w:rPr>
      </w:pPr>
    </w:p>
    <w:p w14:paraId="32F4AAE9" w14:textId="77777777" w:rsidR="004B6C19" w:rsidRPr="00D358EE" w:rsidRDefault="004B6C19" w:rsidP="004B6C19">
      <w:pPr>
        <w:pStyle w:val="EndNoteBibliography"/>
        <w:rPr>
          <w:sz w:val="20"/>
          <w:szCs w:val="20"/>
        </w:rPr>
      </w:pPr>
    </w:p>
    <w:p w14:paraId="2C1A658B" w14:textId="3DA05F0A" w:rsidR="00D358EE" w:rsidRPr="00D358EE" w:rsidRDefault="00D358EE" w:rsidP="00D358EE">
      <w:pPr>
        <w:pStyle w:val="StandardWeb"/>
        <w:spacing w:before="0" w:after="0" w:line="480" w:lineRule="auto"/>
        <w:jc w:val="center"/>
        <w:rPr>
          <w:b/>
          <w:bCs/>
          <w:lang w:val="en-US"/>
        </w:rPr>
      </w:pPr>
      <w:r w:rsidRPr="004B7B5B">
        <w:rPr>
          <w:b/>
          <w:bCs/>
          <w:lang w:val="en-US"/>
        </w:rPr>
        <w:t xml:space="preserve">Early-Life Adversity Predicts </w:t>
      </w:r>
      <w:r w:rsidR="004B7B5B" w:rsidRPr="004B7B5B">
        <w:rPr>
          <w:b/>
          <w:bCs/>
          <w:lang w:val="en-US"/>
        </w:rPr>
        <w:t xml:space="preserve">Markers of </w:t>
      </w:r>
      <w:r w:rsidRPr="004B7B5B">
        <w:rPr>
          <w:b/>
          <w:bCs/>
          <w:lang w:val="en-US"/>
        </w:rPr>
        <w:t>Aging-Related</w:t>
      </w:r>
      <w:r w:rsidR="00CF1596">
        <w:rPr>
          <w:b/>
          <w:bCs/>
          <w:lang w:val="en-US"/>
        </w:rPr>
        <w:t xml:space="preserve"> Neuroinflammation,</w:t>
      </w:r>
      <w:r w:rsidRPr="004B7B5B">
        <w:rPr>
          <w:b/>
          <w:bCs/>
          <w:lang w:val="en-US"/>
        </w:rPr>
        <w:t xml:space="preserve"> Neurodegeneration</w:t>
      </w:r>
      <w:r w:rsidR="005C1835">
        <w:rPr>
          <w:b/>
          <w:bCs/>
          <w:lang w:val="en-US"/>
        </w:rPr>
        <w:t>,</w:t>
      </w:r>
      <w:r w:rsidRPr="004B7B5B">
        <w:rPr>
          <w:b/>
          <w:bCs/>
          <w:lang w:val="en-US"/>
        </w:rPr>
        <w:t xml:space="preserve"> and Cognitive </w:t>
      </w:r>
      <w:r w:rsidR="004B7B5B" w:rsidRPr="004B7B5B">
        <w:rPr>
          <w:b/>
          <w:bCs/>
          <w:lang w:val="en-US"/>
        </w:rPr>
        <w:t>Impairment</w:t>
      </w:r>
      <w:r w:rsidRPr="004B7B5B">
        <w:rPr>
          <w:b/>
          <w:bCs/>
          <w:lang w:val="en-US"/>
        </w:rPr>
        <w:t xml:space="preserve"> in Women</w:t>
      </w:r>
    </w:p>
    <w:p w14:paraId="0BB63E38" w14:textId="77777777" w:rsidR="00D358EE" w:rsidRPr="00D358EE" w:rsidRDefault="00D358EE" w:rsidP="00D358EE">
      <w:pPr>
        <w:pStyle w:val="StandardWeb"/>
        <w:spacing w:before="0" w:after="0" w:line="480" w:lineRule="auto"/>
        <w:jc w:val="center"/>
        <w:rPr>
          <w:bCs/>
          <w:lang w:val="en-US"/>
        </w:rPr>
      </w:pPr>
    </w:p>
    <w:p w14:paraId="27084698" w14:textId="526A5BF0" w:rsidR="004B35D3" w:rsidRPr="001D3DF3" w:rsidRDefault="004B35D3" w:rsidP="004B35D3">
      <w:pPr>
        <w:pStyle w:val="StandardWeb"/>
        <w:spacing w:before="0" w:after="0" w:line="480" w:lineRule="auto"/>
        <w:jc w:val="center"/>
        <w:rPr>
          <w:vertAlign w:val="superscript"/>
          <w:lang w:val="en-US"/>
        </w:rPr>
      </w:pPr>
      <w:r w:rsidRPr="001D3DF3">
        <w:rPr>
          <w:bCs/>
          <w:lang w:val="en-US"/>
        </w:rPr>
        <w:t>Lara Fleck</w:t>
      </w:r>
      <w:r>
        <w:rPr>
          <w:bCs/>
          <w:lang w:val="en-US"/>
        </w:rPr>
        <w:t>, MSc,</w:t>
      </w:r>
      <w:r w:rsidRPr="001D3DF3">
        <w:rPr>
          <w:bCs/>
          <w:vertAlign w:val="superscript"/>
          <w:lang w:val="en-US"/>
        </w:rPr>
        <w:t>1</w:t>
      </w:r>
      <w:r w:rsidRPr="001D3DF3">
        <w:rPr>
          <w:lang w:val="en-US"/>
        </w:rPr>
        <w:t xml:space="preserve"> Claudia Buss</w:t>
      </w:r>
      <w:r>
        <w:rPr>
          <w:lang w:val="en-US"/>
        </w:rPr>
        <w:t>, PhD,</w:t>
      </w:r>
      <w:r w:rsidRPr="001D3DF3">
        <w:rPr>
          <w:vertAlign w:val="superscript"/>
          <w:lang w:val="en-US"/>
        </w:rPr>
        <w:t>1-4</w:t>
      </w:r>
      <w:r w:rsidRPr="001D3DF3">
        <w:rPr>
          <w:lang w:val="en-US"/>
        </w:rPr>
        <w:t xml:space="preserve"> Martin Bauer</w:t>
      </w:r>
      <w:r>
        <w:rPr>
          <w:lang w:val="en-US"/>
        </w:rPr>
        <w:t>, MSc,</w:t>
      </w:r>
      <w:r w:rsidRPr="001D3DF3">
        <w:rPr>
          <w:vertAlign w:val="superscript"/>
          <w:lang w:val="en-US"/>
        </w:rPr>
        <w:t>1,5</w:t>
      </w:r>
      <w:r w:rsidRPr="001D3DF3">
        <w:rPr>
          <w:lang w:val="en-US"/>
        </w:rPr>
        <w:t xml:space="preserve"> Maike Stein</w:t>
      </w:r>
      <w:r>
        <w:rPr>
          <w:lang w:val="en-US"/>
        </w:rPr>
        <w:t>, MD,</w:t>
      </w:r>
      <w:r w:rsidRPr="001D3DF3">
        <w:rPr>
          <w:vertAlign w:val="superscript"/>
          <w:lang w:val="en-US"/>
        </w:rPr>
        <w:t>6-9</w:t>
      </w:r>
      <w:r w:rsidRPr="001D3DF3">
        <w:rPr>
          <w:lang w:val="en-US"/>
        </w:rPr>
        <w:t xml:space="preserve"> Ralf Mekle</w:t>
      </w:r>
      <w:r>
        <w:rPr>
          <w:lang w:val="en-US"/>
        </w:rPr>
        <w:t>, PhD,</w:t>
      </w:r>
      <w:r w:rsidRPr="001D3DF3">
        <w:rPr>
          <w:vertAlign w:val="superscript"/>
          <w:lang w:val="en-US"/>
        </w:rPr>
        <w:t>9</w:t>
      </w:r>
      <w:r w:rsidRPr="001D3DF3">
        <w:rPr>
          <w:lang w:val="en-US"/>
        </w:rPr>
        <w:t xml:space="preserve"> Lena Kock</w:t>
      </w:r>
      <w:r>
        <w:rPr>
          <w:lang w:val="en-US"/>
        </w:rPr>
        <w:t>, MSc,</w:t>
      </w:r>
      <w:r w:rsidRPr="001D3DF3">
        <w:rPr>
          <w:vertAlign w:val="superscript"/>
          <w:lang w:val="en-US"/>
        </w:rPr>
        <w:t>1</w:t>
      </w:r>
      <w:r w:rsidRPr="001D3DF3">
        <w:rPr>
          <w:lang w:val="en-US"/>
        </w:rPr>
        <w:t xml:space="preserve"> Heiko Klawitter</w:t>
      </w:r>
      <w:r>
        <w:rPr>
          <w:lang w:val="en-US"/>
        </w:rPr>
        <w:t>, MSc,</w:t>
      </w:r>
      <w:r w:rsidRPr="001D3DF3">
        <w:rPr>
          <w:vertAlign w:val="superscript"/>
          <w:lang w:val="en-US"/>
        </w:rPr>
        <w:t>1</w:t>
      </w:r>
      <w:r w:rsidRPr="001D3DF3">
        <w:rPr>
          <w:lang w:val="en-US"/>
        </w:rPr>
        <w:t xml:space="preserve"> Malvika Godara</w:t>
      </w:r>
      <w:r>
        <w:rPr>
          <w:lang w:val="en-US"/>
        </w:rPr>
        <w:t>, PhD,</w:t>
      </w:r>
      <w:r w:rsidRPr="001D3DF3">
        <w:rPr>
          <w:vertAlign w:val="superscript"/>
          <w:lang w:val="en-US"/>
        </w:rPr>
        <w:t>1</w:t>
      </w:r>
      <w:r w:rsidRPr="001D3DF3">
        <w:rPr>
          <w:lang w:val="en-US"/>
        </w:rPr>
        <w:t xml:space="preserve"> Judith Ramler</w:t>
      </w:r>
      <w:r>
        <w:rPr>
          <w:lang w:val="en-US"/>
        </w:rPr>
        <w:t>, MSc,</w:t>
      </w:r>
      <w:r w:rsidRPr="001D3DF3"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r w:rsidRPr="001D3DF3">
        <w:rPr>
          <w:lang w:val="en-US"/>
        </w:rPr>
        <w:t>Sonja Entringer</w:t>
      </w:r>
      <w:r>
        <w:rPr>
          <w:lang w:val="en-US"/>
        </w:rPr>
        <w:t>, PhD,</w:t>
      </w:r>
      <w:r w:rsidRPr="001D3DF3">
        <w:rPr>
          <w:vertAlign w:val="superscript"/>
          <w:lang w:val="en-US"/>
        </w:rPr>
        <w:t>1-4</w:t>
      </w:r>
      <w:r w:rsidRPr="001D3DF3">
        <w:rPr>
          <w:lang w:val="en-US"/>
        </w:rPr>
        <w:t xml:space="preserve"> Matthias Endres</w:t>
      </w:r>
      <w:r>
        <w:rPr>
          <w:lang w:val="en-US"/>
        </w:rPr>
        <w:t>, MD,</w:t>
      </w:r>
      <w:r w:rsidRPr="001D3DF3">
        <w:rPr>
          <w:vertAlign w:val="superscript"/>
          <w:lang w:val="en-US"/>
        </w:rPr>
        <w:t>3,6,9-12</w:t>
      </w:r>
      <w:r w:rsidRPr="001D3DF3">
        <w:rPr>
          <w:lang w:val="en-US"/>
        </w:rPr>
        <w:t xml:space="preserve"> &amp; Christine Heim</w:t>
      </w:r>
      <w:r>
        <w:rPr>
          <w:lang w:val="en-US"/>
        </w:rPr>
        <w:t>, PhD</w:t>
      </w:r>
      <w:r w:rsidRPr="001D3DF3">
        <w:rPr>
          <w:vertAlign w:val="superscript"/>
          <w:lang w:val="en-US"/>
        </w:rPr>
        <w:t>1,3,10</w:t>
      </w:r>
    </w:p>
    <w:p w14:paraId="15FF11BA" w14:textId="77777777" w:rsidR="00D358EE" w:rsidRPr="00D358EE" w:rsidRDefault="00D358EE" w:rsidP="00D358EE">
      <w:pPr>
        <w:pStyle w:val="StandardWeb"/>
        <w:spacing w:before="0" w:after="0" w:line="480" w:lineRule="auto"/>
        <w:jc w:val="center"/>
        <w:rPr>
          <w:lang w:val="en-US"/>
        </w:rPr>
      </w:pPr>
    </w:p>
    <w:p w14:paraId="7557CEA7" w14:textId="0DD676B4" w:rsidR="00D358EE" w:rsidRPr="00D358EE" w:rsidRDefault="00D358EE" w:rsidP="00D358EE">
      <w:pPr>
        <w:pStyle w:val="Kopfzeile"/>
        <w:tabs>
          <w:tab w:val="right" w:pos="9046"/>
        </w:tabs>
        <w:spacing w:line="480" w:lineRule="auto"/>
        <w:jc w:val="center"/>
        <w:rPr>
          <w:rFonts w:cs="Times New Roman"/>
          <w:lang w:val="en-US"/>
        </w:rPr>
      </w:pPr>
      <w:bookmarkStart w:id="0" w:name="_Hlk164692009"/>
      <w:r w:rsidRPr="00D358EE">
        <w:rPr>
          <w:rFonts w:cs="Times New Roman"/>
          <w:vertAlign w:val="superscript"/>
          <w:lang w:val="en-US"/>
        </w:rPr>
        <w:t>1</w:t>
      </w:r>
      <w:r w:rsidRPr="00D358EE">
        <w:rPr>
          <w:rFonts w:cs="Times New Roman"/>
          <w:lang w:val="en-US"/>
        </w:rPr>
        <w:t xml:space="preserve">Charité – Universitätsmedizin Berlin, corporate member of Freie Universität Berlin and Humboldt-Universität zu Berlin, Institute of Medical Psychology, Berlin, Germany; </w:t>
      </w:r>
      <w:bookmarkEnd w:id="0"/>
      <w:r w:rsidRPr="00D358EE">
        <w:rPr>
          <w:rFonts w:cs="Times New Roman"/>
          <w:vertAlign w:val="superscript"/>
          <w:lang w:val="en-US"/>
        </w:rPr>
        <w:t>2</w:t>
      </w:r>
      <w:r w:rsidRPr="00D358EE">
        <w:rPr>
          <w:rFonts w:cs="Times New Roman"/>
          <w:lang w:val="en-US"/>
        </w:rPr>
        <w:t>Development, Health, and Disease Research Program, University of California, Irvine, Orange, CA, USA;</w:t>
      </w:r>
      <w:r w:rsidRPr="00D358EE">
        <w:rPr>
          <w:rFonts w:cs="Times New Roman"/>
          <w:vertAlign w:val="superscript"/>
          <w:lang w:val="en-US"/>
        </w:rPr>
        <w:t xml:space="preserve"> 3</w:t>
      </w:r>
      <w:r w:rsidRPr="00D358EE">
        <w:rPr>
          <w:rFonts w:cs="Times New Roman"/>
          <w:lang w:val="en-US"/>
        </w:rPr>
        <w:t>German Center for Mental Health (DZPG), partner site Berlin Potsdam;</w:t>
      </w:r>
      <w:r w:rsidRPr="00D358EE">
        <w:rPr>
          <w:rFonts w:cs="Times New Roman"/>
          <w:vertAlign w:val="superscript"/>
          <w:lang w:val="en-US"/>
        </w:rPr>
        <w:t xml:space="preserve"> 4</w:t>
      </w:r>
      <w:r w:rsidRPr="00D358EE">
        <w:rPr>
          <w:rFonts w:cs="Times New Roman"/>
          <w:lang w:val="en-US"/>
        </w:rPr>
        <w:t xml:space="preserve">German Center for Child and Adolescent Health (DZKJ), partner site Berlin; </w:t>
      </w:r>
      <w:r w:rsidRPr="00D358EE">
        <w:rPr>
          <w:rFonts w:cs="Times New Roman"/>
          <w:vertAlign w:val="superscript"/>
          <w:lang w:val="en-US"/>
        </w:rPr>
        <w:t xml:space="preserve"> 5</w:t>
      </w:r>
      <w:r w:rsidRPr="00D358EE">
        <w:rPr>
          <w:rFonts w:cs="Times New Roman"/>
          <w:lang w:val="en-US"/>
        </w:rPr>
        <w:t xml:space="preserve">Charité – Universitätsmedizin Berlin, Corporate Member of Freie Universität Berlin and Humboldt-Universität zu Berlin, Experimental and Clinical Research Center, Berlin, Germany; </w:t>
      </w:r>
      <w:r w:rsidRPr="00D358EE">
        <w:rPr>
          <w:rFonts w:cs="Times New Roman"/>
          <w:vertAlign w:val="superscript"/>
          <w:lang w:val="en-US"/>
        </w:rPr>
        <w:t>6</w:t>
      </w:r>
      <w:r w:rsidRPr="00D358EE">
        <w:rPr>
          <w:rFonts w:cs="Times New Roman"/>
          <w:lang w:val="en-US"/>
        </w:rPr>
        <w:t>Charité – Universitätsmedizin Berlin, corporate member of Freie Universität Berlin and Humboldt-Universität zu Berlin, Department of Neurology with Experimental Neurology;</w:t>
      </w:r>
      <w:r w:rsidRPr="00D358EE">
        <w:rPr>
          <w:rFonts w:cs="Times New Roman"/>
          <w:vertAlign w:val="superscript"/>
          <w:lang w:val="en-US"/>
        </w:rPr>
        <w:t xml:space="preserve"> 7</w:t>
      </w:r>
      <w:r w:rsidRPr="00D358EE">
        <w:rPr>
          <w:rFonts w:cs="Times New Roman"/>
          <w:lang w:val="en-US"/>
        </w:rPr>
        <w:t xml:space="preserve">Department of Neurology, Beth Israel Deaconess Medical Center, Harvard Medical School, Boston, MA, USA; </w:t>
      </w:r>
      <w:r w:rsidRPr="00D358EE">
        <w:rPr>
          <w:rFonts w:cs="Times New Roman"/>
          <w:vertAlign w:val="superscript"/>
          <w:lang w:val="en-US"/>
        </w:rPr>
        <w:t>8</w:t>
      </w:r>
      <w:r w:rsidRPr="00D358EE">
        <w:rPr>
          <w:rFonts w:cs="Times New Roman"/>
          <w:lang w:val="en-US"/>
        </w:rPr>
        <w:t xml:space="preserve">Berlin Institute of Health at Charité – Universitätsmedizin Berlin, Digital Health Center, Berlin, Germany; </w:t>
      </w:r>
      <w:r w:rsidRPr="00D358EE">
        <w:rPr>
          <w:rFonts w:cs="Times New Roman"/>
          <w:vertAlign w:val="superscript"/>
          <w:lang w:val="en-US"/>
        </w:rPr>
        <w:t>9</w:t>
      </w:r>
      <w:r w:rsidRPr="00D358EE">
        <w:rPr>
          <w:rFonts w:cs="Times New Roman"/>
          <w:lang w:val="en-US"/>
        </w:rPr>
        <w:t xml:space="preserve">Charité – Universitätsmedizin Berlin, Center for Stroke Research Berlin, Berlin, Germany; </w:t>
      </w:r>
      <w:bookmarkStart w:id="1" w:name="_Hlk164691964"/>
      <w:r w:rsidRPr="00D358EE">
        <w:rPr>
          <w:rFonts w:cs="Times New Roman"/>
          <w:vertAlign w:val="superscript"/>
          <w:lang w:val="en-US"/>
        </w:rPr>
        <w:t>10</w:t>
      </w:r>
      <w:r w:rsidRPr="00D358EE">
        <w:rPr>
          <w:rFonts w:cs="Times New Roman"/>
          <w:lang w:val="en-US"/>
        </w:rPr>
        <w:t xml:space="preserve">Charité – Universitätsmedizin Berlin, corporate member of Freie Universität Berlin and Humboldt- Universität zu Berlin, NeuroCure Cluster of Excellence, Berlin, Germany; </w:t>
      </w:r>
      <w:r w:rsidRPr="00D358EE">
        <w:rPr>
          <w:rFonts w:cs="Times New Roman"/>
          <w:vertAlign w:val="superscript"/>
          <w:lang w:val="en-US"/>
        </w:rPr>
        <w:t>11</w:t>
      </w:r>
      <w:r w:rsidRPr="00D358EE">
        <w:rPr>
          <w:rFonts w:cs="Times New Roman"/>
          <w:lang w:val="en-US"/>
        </w:rPr>
        <w:t xml:space="preserve">German Center for Neurodegenerative Diseases (DZNE), partner site Berlin; </w:t>
      </w:r>
      <w:r w:rsidRPr="00D358EE">
        <w:rPr>
          <w:rFonts w:cs="Times New Roman"/>
          <w:vertAlign w:val="superscript"/>
          <w:lang w:val="en-US"/>
        </w:rPr>
        <w:t>12</w:t>
      </w:r>
      <w:r w:rsidRPr="00D358EE">
        <w:rPr>
          <w:rFonts w:cs="Times New Roman"/>
          <w:lang w:val="en-US"/>
        </w:rPr>
        <w:t>German Center for Cardiovascular Research (DZHK), partner site Berlin</w:t>
      </w:r>
    </w:p>
    <w:bookmarkEnd w:id="1"/>
    <w:p w14:paraId="1031813A" w14:textId="77777777" w:rsidR="004B35D3" w:rsidRPr="00D358EE" w:rsidRDefault="004B35D3" w:rsidP="004B35D3">
      <w:pPr>
        <w:pStyle w:val="Kopfzeile"/>
        <w:tabs>
          <w:tab w:val="clear" w:pos="9072"/>
          <w:tab w:val="right" w:pos="9046"/>
        </w:tabs>
        <w:spacing w:line="480" w:lineRule="auto"/>
        <w:rPr>
          <w:rFonts w:cs="Times New Roman"/>
          <w:lang w:val="en-US"/>
        </w:rPr>
      </w:pPr>
    </w:p>
    <w:p w14:paraId="6D127DBB" w14:textId="0DC750A9" w:rsidR="004B6C19" w:rsidRPr="00D358EE" w:rsidRDefault="004B6C19" w:rsidP="00F2028B">
      <w:pPr>
        <w:pStyle w:val="EndNoteBibliography"/>
        <w:tabs>
          <w:tab w:val="left" w:pos="1541"/>
        </w:tabs>
        <w:rPr>
          <w:sz w:val="20"/>
          <w:szCs w:val="20"/>
        </w:rPr>
      </w:pPr>
    </w:p>
    <w:p w14:paraId="7EADFDF4" w14:textId="77777777" w:rsidR="004B35D3" w:rsidRDefault="004B35D3" w:rsidP="004B35D3">
      <w:pPr>
        <w:pStyle w:val="Text"/>
        <w:spacing w:line="480" w:lineRule="auto"/>
        <w:rPr>
          <w:rStyle w:val="Hyperlink0"/>
          <w:rFonts w:cs="Times New Roman"/>
        </w:rPr>
      </w:pPr>
      <w:r w:rsidRPr="001D3DF3">
        <w:rPr>
          <w:rFonts w:cs="Times New Roman"/>
          <w:b/>
          <w:bCs/>
        </w:rPr>
        <w:t xml:space="preserve">Corresponding Author: </w:t>
      </w:r>
      <w:r w:rsidRPr="001D3DF3">
        <w:rPr>
          <w:rFonts w:cs="Times New Roman"/>
        </w:rPr>
        <w:t xml:space="preserve">Christine Heim, Ph.D., Professor &amp; Chair of the Institute of Medical Psychology, Charité – Universitätsmedizin Berlin, Luisenstr. 57, 10117 Berlin, Germany. Tel: +49 (0) 30 450 529 222; Fax: +49 (0) 30 450 529 990; Email: </w:t>
      </w:r>
      <w:hyperlink r:id="rId7" w:history="1">
        <w:r w:rsidRPr="001D3DF3">
          <w:rPr>
            <w:rStyle w:val="Hyperlink0"/>
          </w:rPr>
          <w:t>christine.heim@charite.de</w:t>
        </w:r>
      </w:hyperlink>
    </w:p>
    <w:p w14:paraId="0F69C7CC" w14:textId="77777777" w:rsidR="004B35D3" w:rsidRDefault="004B35D3" w:rsidP="004B35D3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5364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Acknowledgments</w:t>
      </w:r>
      <w:r w:rsidRPr="00453642">
        <w:rPr>
          <w:rFonts w:ascii="Times New Roman" w:eastAsia="Times New Roman" w:hAnsi="Times New Roman" w:cs="Times New Roman"/>
          <w:sz w:val="20"/>
          <w:szCs w:val="20"/>
          <w:lang w:val="en-US"/>
        </w:rPr>
        <w:t>: Supported by NeuroCure Cluster of Excellence (German Research Foundation – EXC 257) grant to CH and ME and the Neuroscience Clinical Research Center.</w:t>
      </w:r>
    </w:p>
    <w:p w14:paraId="0C1E4DB2" w14:textId="77777777" w:rsidR="004B7B5B" w:rsidRPr="00453642" w:rsidRDefault="004B7B5B" w:rsidP="004B35D3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3304620" w14:textId="77777777" w:rsidR="00831AD3" w:rsidRDefault="00486E53" w:rsidP="00831AD3">
      <w:pPr>
        <w:pStyle w:val="EndNoteBibliography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58EE">
        <w:rPr>
          <w:rFonts w:ascii="Times New Roman" w:hAnsi="Times New Roman" w:cs="Times New Roman"/>
          <w:b/>
          <w:bCs/>
          <w:sz w:val="20"/>
          <w:szCs w:val="20"/>
        </w:rPr>
        <w:lastRenderedPageBreak/>
        <w:t>Cambridge Neuropsychological Automated Test Battery (CANTAB) Tasks</w:t>
      </w:r>
    </w:p>
    <w:p w14:paraId="1860FB2B" w14:textId="77777777" w:rsidR="0008316C" w:rsidRDefault="0008316C" w:rsidP="00831AD3">
      <w:pPr>
        <w:pStyle w:val="EndNoteBibliography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66A4B9" w14:textId="37413677" w:rsidR="00831AD3" w:rsidRDefault="00B17D79" w:rsidP="00831AD3">
      <w:pPr>
        <w:pStyle w:val="Text"/>
        <w:spacing w:line="480" w:lineRule="auto"/>
        <w:ind w:firstLine="708"/>
      </w:pPr>
      <w:r>
        <w:t xml:space="preserve">Cognitive function was assessed using tasks from the prodromal Alzheimer’s disease and mild cognitive impairment test battery. The 3 tasks below were used for analyses </w:t>
      </w:r>
      <w:r w:rsidR="00831AD3" w:rsidRPr="00D358EE">
        <w:rPr>
          <w:b/>
          <w:bCs/>
        </w:rPr>
        <w:t>(</w:t>
      </w:r>
      <w:r>
        <w:t>i</w:t>
      </w:r>
      <w:r w:rsidR="00831AD3" w:rsidRPr="00D358EE">
        <w:t xml:space="preserve">nformation taken </w:t>
      </w:r>
      <w:r w:rsidR="00E079D0">
        <w:t xml:space="preserve">and summarized </w:t>
      </w:r>
      <w:r w:rsidR="00831AD3" w:rsidRPr="00D358EE">
        <w:t xml:space="preserve">from </w:t>
      </w:r>
      <w:hyperlink r:id="rId8" w:history="1">
        <w:r w:rsidR="00831AD3" w:rsidRPr="00D358EE">
          <w:rPr>
            <w:rStyle w:val="Hyperlink0"/>
          </w:rPr>
          <w:t>https://cambridgecognition.com</w:t>
        </w:r>
      </w:hyperlink>
      <w:r w:rsidR="00222415">
        <w:fldChar w:fldCharType="begin"/>
      </w:r>
      <w:r w:rsidR="00761859">
        <w:instrText xml:space="preserve"> ADDIN EN.CITE &lt;EndNote&gt;&lt;Cite&gt;&lt;Author&gt;CANTAB®&lt;/Author&gt;&lt;Year&gt;2016&lt;/Year&gt;&lt;RecNum&gt;171&lt;/RecNum&gt;&lt;DisplayText&gt;&lt;style face="superscript"&gt;1&lt;/style&gt;&lt;/DisplayText&gt;&lt;record&gt;&lt;rec-number&gt;171&lt;/rec-number&gt;&lt;foreign-keys&gt;&lt;key app="EN" db-id="sxv9r2f9lr0ra8e9x245ppa8wws2wfw0d9rt" timestamp="1720093240"&gt;171&lt;/key&gt;&lt;/foreign-keys&gt;&lt;ref-type name="Multimedia Application"&gt;68&lt;/ref-type&gt;&lt;contributors&gt;&lt;authors&gt;&lt;author&gt;CANTAB®&lt;/author&gt;&lt;/authors&gt;&lt;secondary-authors&gt;&lt;author&gt;Cambridge Cognition Ltd.&lt;/author&gt;&lt;/secondary-authors&gt;&lt;/contributors&gt;&lt;titles&gt;&lt;title&gt;Cambridge Neuropsychological Test Automated Battery (CANTAB®)&lt;/title&gt;&lt;/titles&gt;&lt;dates&gt;&lt;year&gt;2016&lt;/year&gt;&lt;/dates&gt;&lt;pub-location&gt;Cambridge, UK&lt;/pub-location&gt;&lt;urls&gt;&lt;/urls&gt;&lt;/record&gt;&lt;/Cite&gt;&lt;/EndNote&gt;</w:instrText>
      </w:r>
      <w:r w:rsidR="00222415">
        <w:fldChar w:fldCharType="separate"/>
      </w:r>
      <w:r w:rsidR="00761859" w:rsidRPr="00761859">
        <w:rPr>
          <w:noProof/>
          <w:vertAlign w:val="superscript"/>
        </w:rPr>
        <w:t>1</w:t>
      </w:r>
      <w:r w:rsidR="00222415">
        <w:fldChar w:fldCharType="end"/>
      </w:r>
      <w:r w:rsidR="00222415">
        <w:t>.</w:t>
      </w:r>
    </w:p>
    <w:p w14:paraId="4CFC7D7A" w14:textId="77777777" w:rsidR="0008316C" w:rsidRPr="0008316C" w:rsidRDefault="0008316C" w:rsidP="0008316C">
      <w:pPr>
        <w:pStyle w:val="EndNoteBibliography"/>
      </w:pPr>
    </w:p>
    <w:p w14:paraId="5C5B89C5" w14:textId="77777777" w:rsidR="00831AD3" w:rsidRPr="00831AD3" w:rsidRDefault="00831AD3" w:rsidP="00831AD3">
      <w:pPr>
        <w:pStyle w:val="EndNoteBibliography"/>
      </w:pPr>
    </w:p>
    <w:p w14:paraId="56322EE9" w14:textId="6A95D7EB" w:rsidR="002C0FB5" w:rsidRPr="002C0FB5" w:rsidRDefault="002C0FB5" w:rsidP="00831AD3">
      <w:pPr>
        <w:pStyle w:val="EndNoteBibliography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7066">
        <w:rPr>
          <w:rFonts w:ascii="Times New Roman" w:hAnsi="Times New Roman" w:cs="Arial Unicode MS"/>
          <w:sz w:val="20"/>
          <w:szCs w:val="20"/>
        </w:rPr>
        <w:t>Spatial Working Memory (SWM)</w:t>
      </w:r>
      <w:r w:rsidR="00831AD3">
        <w:rPr>
          <w:rFonts w:ascii="Times New Roman" w:hAnsi="Times New Roman" w:cs="Arial Unicode MS"/>
          <w:b/>
          <w:bCs/>
          <w:sz w:val="20"/>
          <w:szCs w:val="20"/>
        </w:rPr>
        <w:br/>
      </w:r>
      <w:r w:rsidRPr="002C0FB5">
        <w:rPr>
          <w:rFonts w:ascii="Times New Roman" w:hAnsi="Times New Roman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Task: Find yellow tokens hidden in colored boxes by selecting and eliminating options. The number of boxes increases up to 12, with colors and positions changing each trial.</w:t>
      </w:r>
      <w:r w:rsidR="00831AD3">
        <w:rPr>
          <w:rFonts w:ascii="Times New Roman" w:hAnsi="Times New Roman" w:cs="Arial Unicode MS"/>
          <w:sz w:val="20"/>
          <w:szCs w:val="20"/>
        </w:rPr>
        <w:br/>
      </w:r>
      <w:r w:rsidRPr="002C0FB5">
        <w:rPr>
          <w:rFonts w:ascii="Times New Roman" w:hAnsi="Times New Roman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Measure (SWMS; -ve sense): Strategy score at the 12-box stage, indicating how often a participant starts their search from the same box. Lower scores indicate better strategy use.</w:t>
      </w:r>
    </w:p>
    <w:p w14:paraId="27FCA846" w14:textId="6453DB9D" w:rsidR="002C0FB5" w:rsidRPr="002C0FB5" w:rsidRDefault="002C0FB5" w:rsidP="00831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480" w:lineRule="auto"/>
        <w:outlineLvl w:val="2"/>
        <w:rPr>
          <w:rFonts w:ascii="Times New Roman" w:eastAsia="Arial Unicode MS" w:hAnsi="Times New Roman" w:cs="Arial Unicode MS"/>
          <w:b/>
          <w:bCs/>
          <w:kern w:val="2"/>
          <w:sz w:val="20"/>
          <w:szCs w:val="20"/>
          <w:u w:color="000000"/>
          <w:lang w:val="en-US"/>
        </w:rPr>
      </w:pPr>
      <w:r w:rsidRPr="002C0FB5"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  <w:t>Rapid Visual Information Processing (RVP)</w:t>
      </w:r>
      <w:r w:rsidR="00831AD3">
        <w:rPr>
          <w:rFonts w:ascii="Times New Roman" w:eastAsia="Arial Unicode MS" w:hAnsi="Times New Roman" w:cs="Arial Unicode MS"/>
          <w:b/>
          <w:bCs/>
          <w:kern w:val="2"/>
          <w:sz w:val="20"/>
          <w:szCs w:val="20"/>
          <w:u w:color="000000"/>
          <w:lang w:val="en-US"/>
        </w:rPr>
        <w:br/>
      </w:r>
      <w:r w:rsidRPr="002C0FB5"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  <w:t>Task: Identify target sequences of digits (e.g., 2-4-6) appearing at 100 digits per minute in a central white box. Respond by pressing a button when the target sequence appears.</w:t>
      </w:r>
      <w:r w:rsidR="00831AD3"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  <w:br/>
      </w:r>
      <w:r w:rsidRPr="002C0FB5"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  <w:t>Measure (RVPA; +ve sense): Sensitivity to detecting target sequences, reflecting accuracy in identifying the correct sequences.</w:t>
      </w:r>
    </w:p>
    <w:p w14:paraId="05C09225" w14:textId="24F83241" w:rsidR="002C0FB5" w:rsidRPr="002C0FB5" w:rsidRDefault="002C0FB5" w:rsidP="00831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480" w:lineRule="auto"/>
        <w:outlineLvl w:val="2"/>
        <w:rPr>
          <w:rFonts w:ascii="Times New Roman" w:eastAsia="Arial Unicode MS" w:hAnsi="Times New Roman" w:cs="Arial Unicode MS"/>
          <w:b/>
          <w:bCs/>
          <w:kern w:val="2"/>
          <w:sz w:val="20"/>
          <w:szCs w:val="20"/>
          <w:u w:color="000000"/>
          <w:lang w:val="en-US"/>
        </w:rPr>
      </w:pPr>
      <w:r w:rsidRPr="002C0FB5"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  <w:t>Pattern Recognition Memory (PRM)</w:t>
      </w:r>
      <w:r w:rsidR="00831AD3">
        <w:rPr>
          <w:rFonts w:ascii="Times New Roman" w:eastAsia="Arial Unicode MS" w:hAnsi="Times New Roman" w:cs="Arial Unicode MS"/>
          <w:b/>
          <w:bCs/>
          <w:kern w:val="2"/>
          <w:sz w:val="20"/>
          <w:szCs w:val="20"/>
          <w:u w:color="000000"/>
          <w:lang w:val="en-US"/>
        </w:rPr>
        <w:br/>
      </w:r>
      <w:r w:rsidRPr="002C0FB5"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  <w:t>Task: View a series of visual patterns, then choose between previously seen and new patterns in a recognition phase presented in reverse order.</w:t>
      </w:r>
      <w:r w:rsidR="00831AD3"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  <w:br/>
      </w:r>
      <w:r w:rsidRPr="002C0FB5"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  <w:t>Measure (PRMPCI; +ve sense): Percentage of correctly identified patterns in the immediate forced-choice condition.</w:t>
      </w:r>
    </w:p>
    <w:p w14:paraId="6D394DAB" w14:textId="0DE5DC00" w:rsidR="002C799C" w:rsidRPr="004E44A6" w:rsidRDefault="002C799C" w:rsidP="004E44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B5B876" w14:textId="77777777" w:rsidR="00633D2D" w:rsidRPr="00D358EE" w:rsidRDefault="00633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rPr>
          <w:rFonts w:ascii="Times New Roman" w:eastAsia="Arial Unicode MS" w:hAnsi="Times New Roman" w:cs="Arial Unicode MS"/>
          <w:b/>
          <w:bCs/>
          <w:kern w:val="2"/>
          <w:sz w:val="20"/>
          <w:szCs w:val="20"/>
          <w:u w:color="000000"/>
          <w:lang w:val="en-US"/>
        </w:rPr>
      </w:pPr>
      <w:r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br w:type="page"/>
      </w:r>
    </w:p>
    <w:p w14:paraId="1B378A5C" w14:textId="00E6BF08" w:rsidR="002C799C" w:rsidRDefault="002C799C" w:rsidP="0014366D">
      <w:pPr>
        <w:pStyle w:val="EndNoteBibliography"/>
        <w:spacing w:line="480" w:lineRule="auto"/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358EE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Adverse Childhood Experience (ACE) </w:t>
      </w:r>
      <w:r w:rsidR="00C31D4D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D358EE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escriptive </w:t>
      </w:r>
      <w:r w:rsidR="00C31D4D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D358EE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ata</w:t>
      </w:r>
    </w:p>
    <w:p w14:paraId="2FF5CC96" w14:textId="77777777" w:rsidR="0008316C" w:rsidRPr="00D358EE" w:rsidRDefault="0008316C" w:rsidP="0014366D">
      <w:pPr>
        <w:pStyle w:val="EndNoteBibliography"/>
        <w:spacing w:line="480" w:lineRule="auto"/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0E2D80E" w14:textId="03B67488" w:rsidR="008A41E7" w:rsidRDefault="008A41E7" w:rsidP="004E44A6">
      <w:pPr>
        <w:pStyle w:val="EndNoteBibliography"/>
        <w:spacing w:line="48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Early-life stress was assessed using the </w:t>
      </w:r>
      <w:r w:rsidRPr="001D3DF3">
        <w:rPr>
          <w:rFonts w:ascii="Times New Roman" w:hAnsi="Times New Roman" w:cs="Times New Roman"/>
          <w:sz w:val="20"/>
          <w:szCs w:val="20"/>
        </w:rPr>
        <w:t>German version of the Comprehensive Trauma Interview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6461">
        <w:rPr>
          <w:rFonts w:ascii="Times New Roman" w:hAnsi="Times New Roman" w:cs="Times New Roman"/>
          <w:sz w:val="20"/>
          <w:szCs w:val="20"/>
        </w:rPr>
        <w:t>(CTI)</w:t>
      </w:r>
      <w:r w:rsidR="00222415">
        <w:rPr>
          <w:rFonts w:ascii="Times New Roman" w:hAnsi="Times New Roman" w:cs="Times New Roman"/>
          <w:sz w:val="20"/>
          <w:szCs w:val="20"/>
        </w:rPr>
        <w:fldChar w:fldCharType="begin"/>
      </w:r>
      <w:r w:rsidR="00761859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&lt;EndNote&gt;&lt;Cite&gt;&lt;Author&gt;Shenk&lt;/Author&gt;&lt;Year&gt;2016&lt;/Year&gt;&lt;RecNum&gt;79&lt;/RecNum&gt;&lt;DisplayText&gt;&lt;style face="superscript"&gt;2&lt;/style&gt;&lt;/DisplayText&gt;&lt;record&gt;&lt;rec-number&gt;79&lt;/rec-number&gt;&lt;foreign-keys&gt;&lt;key app="EN" db-id="sxv9r2f9lr0ra8e9x245ppa8wws2wfw0d9rt" timestamp="1699558732"&gt;79&lt;/key&gt;&lt;/foreign-keys&gt;&lt;ref-type name="Journal Article"&gt;17&lt;/ref-type&gt;&lt;contributors&gt;&lt;authors&gt;&lt;author&gt;Shenk, C. E.&lt;/author&gt;&lt;author&gt;Noll, J. G.&lt;/author&gt;&lt;author&gt;Griffin, A. M.&lt;/author&gt;&lt;author&gt;Allen, E. K.&lt;/author&gt;&lt;author&gt;Lee, S. E.&lt;/author&gt;&lt;author&gt;Lewkovich, K. L.&lt;/author&gt;&lt;author&gt;Allen, B.&lt;/author&gt;&lt;/authors&gt;&lt;/contributors&gt;&lt;auth-address&gt;1 The Pennsylvania State University, University Park, PA, USA.&amp;#xD;2 The Pennsylvania State University Hershey Medical Center, Hershey, PA, USA.&lt;/auth-address&gt;&lt;titles&gt;&lt;title&gt;Psychometric Evaluation of the Comprehensive Trauma Interview PTSD Symptoms Scale Following Exposure to Child Maltreatment&lt;/title&gt;&lt;secondary-title&gt;Child Maltreat&lt;/secondary-title&gt;&lt;/titles&gt;&lt;periodical&gt;&lt;full-title&gt;Child Maltreat&lt;/full-title&gt;&lt;/periodical&gt;&lt;pages&gt;343-352&lt;/pages&gt;&lt;volume&gt;21&lt;/volume&gt;&lt;number&gt;4&lt;/number&gt;&lt;edition&gt;20160922&lt;/edition&gt;&lt;keywords&gt;&lt;keyword&gt;Comprehensive Trauma Interview&lt;/keyword&gt;&lt;keyword&gt;child adversity&lt;/keyword&gt;&lt;keyword&gt;child maltreatment&lt;/keyword&gt;&lt;keyword&gt;child sexual abuse&lt;/keyword&gt;&lt;keyword&gt;child trauma&lt;/keyword&gt;&lt;keyword&gt;post-traumatic stress disorder&lt;/keyword&gt;&lt;/keywords&gt;&lt;dates&gt;&lt;year&gt;2016&lt;/year&gt;&lt;pub-dates&gt;&lt;date&gt;Nov&lt;/date&gt;&lt;/pub-dates&gt;&lt;/dates&gt;&lt;isbn&gt;1552-6119 (Electronic)&amp;#xD;1077-5595 (Print)&amp;#xD;1077-5595 (Linking)&lt;/isbn&gt;&lt;accession-num&gt;27659904&lt;/accession-num&gt;&lt;urls&gt;&lt;related-urls&gt;&lt;url&gt;https://www.ncbi.nlm.nih.gov/pubmed/27659904&lt;/url&gt;&lt;/related-urls&gt;&lt;/urls&gt;&lt;custom2&gt;PMC5362354&lt;/custom2&gt;&lt;electronic-resource-num&gt;10.1177/1077559516669253&lt;/electronic-resource-num&gt;&lt;remote-database-name&gt;PubMed-not-MEDLINE&lt;/remote-database-name&gt;&lt;remote-database-provider&gt;NLM&lt;/remote-database-provider&gt;&lt;/record&gt;&lt;/Cite&gt;&lt;/EndNote&gt;</w:instrText>
      </w:r>
      <w:r w:rsidR="00222415">
        <w:rPr>
          <w:rFonts w:ascii="Times New Roman" w:hAnsi="Times New Roman" w:cs="Times New Roman"/>
          <w:sz w:val="20"/>
          <w:szCs w:val="20"/>
        </w:rPr>
        <w:fldChar w:fldCharType="separate"/>
      </w:r>
      <w:r w:rsidR="00761859" w:rsidRPr="00761859">
        <w:rPr>
          <w:rFonts w:ascii="Times New Roman" w:hAnsi="Times New Roman" w:cs="Times New Roman"/>
          <w:noProof/>
          <w:sz w:val="20"/>
          <w:szCs w:val="20"/>
          <w:vertAlign w:val="superscript"/>
        </w:rPr>
        <w:t>2</w:t>
      </w:r>
      <w:r w:rsidR="00222415">
        <w:rPr>
          <w:rFonts w:ascii="Times New Roman" w:hAnsi="Times New Roman" w:cs="Times New Roman"/>
          <w:sz w:val="20"/>
          <w:szCs w:val="20"/>
        </w:rPr>
        <w:fldChar w:fldCharType="end"/>
      </w:r>
      <w:r w:rsidR="002224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events were</w:t>
      </w:r>
      <w:r w:rsidR="0014366D">
        <w:rPr>
          <w:rFonts w:ascii="Times New Roman" w:hAnsi="Times New Roman" w:cs="Times New Roman"/>
          <w:sz w:val="20"/>
          <w:szCs w:val="20"/>
        </w:rPr>
        <w:t xml:space="preserve"> counted using </w:t>
      </w:r>
      <w:r w:rsidRPr="001D3DF3">
        <w:rPr>
          <w:rFonts w:ascii="Times New Roman" w:hAnsi="Times New Roman" w:cs="Times New Roman"/>
          <w:sz w:val="20"/>
          <w:szCs w:val="20"/>
        </w:rPr>
        <w:t>items corresponding to the Centers for Disease Control definition of Adverse Childhood Experiences (ACE)</w:t>
      </w:r>
      <w:r w:rsidR="00222415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PEVuZE5vdGU+PENpdGU+PEF1dGhvcj5FZHdhcmRzPC9BdXRob3I+PFllYXI+MjAwMzwvWWVhcj48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</w:fldData>
        </w:fldChar>
      </w:r>
      <w:r w:rsidR="00761859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761859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PEVuZE5vdGU+PENpdGU+PEF1dGhvcj5FZHdhcmRzPC9BdXRob3I+PFllYXI+MjAwMzwvWWVhcj48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</w:fldData>
        </w:fldChar>
      </w:r>
      <w:r w:rsidR="00761859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761859">
        <w:rPr>
          <w:rFonts w:ascii="Times New Roman" w:hAnsi="Times New Roman" w:cs="Times New Roman"/>
          <w:sz w:val="20"/>
          <w:szCs w:val="20"/>
        </w:rPr>
      </w:r>
      <w:r w:rsidR="00761859">
        <w:rPr>
          <w:rFonts w:ascii="Times New Roman" w:hAnsi="Times New Roman" w:cs="Times New Roman"/>
          <w:sz w:val="20"/>
          <w:szCs w:val="20"/>
        </w:rPr>
        <w:fldChar w:fldCharType="end"/>
      </w:r>
      <w:r w:rsidR="00222415">
        <w:rPr>
          <w:rFonts w:ascii="Times New Roman" w:hAnsi="Times New Roman" w:cs="Times New Roman"/>
          <w:sz w:val="20"/>
          <w:szCs w:val="20"/>
        </w:rPr>
      </w:r>
      <w:r w:rsidR="00222415">
        <w:rPr>
          <w:rFonts w:ascii="Times New Roman" w:hAnsi="Times New Roman" w:cs="Times New Roman"/>
          <w:sz w:val="20"/>
          <w:szCs w:val="20"/>
        </w:rPr>
        <w:fldChar w:fldCharType="separate"/>
      </w:r>
      <w:r w:rsidR="00761859" w:rsidRPr="00761859">
        <w:rPr>
          <w:rFonts w:ascii="Times New Roman" w:hAnsi="Times New Roman" w:cs="Times New Roman"/>
          <w:noProof/>
          <w:sz w:val="20"/>
          <w:szCs w:val="20"/>
          <w:vertAlign w:val="superscript"/>
        </w:rPr>
        <w:t>3</w:t>
      </w:r>
      <w:r w:rsidR="00222415">
        <w:rPr>
          <w:rFonts w:ascii="Times New Roman" w:hAnsi="Times New Roman" w:cs="Times New Roman"/>
          <w:sz w:val="20"/>
          <w:szCs w:val="20"/>
        </w:rPr>
        <w:fldChar w:fldCharType="end"/>
      </w:r>
      <w:r w:rsidR="00222415">
        <w:rPr>
          <w:rFonts w:ascii="Times New Roman" w:hAnsi="Times New Roman" w:cs="Times New Roman"/>
          <w:sz w:val="20"/>
          <w:szCs w:val="20"/>
        </w:rPr>
        <w:t xml:space="preserve"> </w:t>
      </w:r>
      <w:r w:rsidRPr="001D3DF3">
        <w:rPr>
          <w:rFonts w:ascii="Times New Roman" w:hAnsi="Times New Roman" w:cs="Times New Roman"/>
          <w:sz w:val="20"/>
          <w:szCs w:val="20"/>
        </w:rPr>
        <w:t>in the CTI</w:t>
      </w:r>
      <w:r w:rsidR="00E86461">
        <w:rPr>
          <w:rFonts w:ascii="Times New Roman" w:hAnsi="Times New Roman" w:cs="Times New Roman"/>
          <w:sz w:val="20"/>
          <w:szCs w:val="20"/>
        </w:rPr>
        <w:t>.</w:t>
      </w:r>
      <w:r w:rsidR="0082621C">
        <w:rPr>
          <w:rFonts w:ascii="Times New Roman" w:hAnsi="Times New Roman" w:cs="Times New Roman"/>
          <w:sz w:val="20"/>
          <w:szCs w:val="20"/>
        </w:rPr>
        <w:t xml:space="preserve"> Frequences (SF1), score distributions (SF2), and co-occurrence (SF3) are shown below.</w:t>
      </w:r>
    </w:p>
    <w:p w14:paraId="4CD773AE" w14:textId="77777777" w:rsidR="00E86461" w:rsidRPr="008A41E7" w:rsidRDefault="00E86461" w:rsidP="0014366D">
      <w:pPr>
        <w:pStyle w:val="EndNoteBibliography"/>
        <w:spacing w:line="480" w:lineRule="auto"/>
        <w:rPr>
          <w:rFonts w:ascii="Times New Roman" w:hAnsi="Times New Roman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79756977" w14:textId="1047489B" w:rsidR="00486E53" w:rsidRPr="00D358EE" w:rsidRDefault="00757873" w:rsidP="0014366D">
      <w:pPr>
        <w:pStyle w:val="EndNoteBibliography"/>
        <w:spacing w:line="480" w:lineRule="auto"/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358EE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Figure 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SF1. Adverse </w:t>
      </w:r>
      <w:r w:rsidR="00C31D4D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hildhood </w:t>
      </w:r>
      <w:r w:rsidR="00C31D4D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xperience (ACE) </w:t>
      </w:r>
      <w:r w:rsidR="00C31D4D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requencies</w:t>
      </w:r>
    </w:p>
    <w:p w14:paraId="285BF531" w14:textId="77777777" w:rsidR="00486E53" w:rsidRPr="00D358EE" w:rsidRDefault="00486E53" w:rsidP="00486E53">
      <w:pPr>
        <w:pStyle w:val="EndNoteBibliography"/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6ADA0F1F" w14:textId="77777777" w:rsidR="00486E53" w:rsidRPr="00D358EE" w:rsidRDefault="00486E53" w:rsidP="00486E53">
      <w:pPr>
        <w:rPr>
          <w:noProof/>
          <w:sz w:val="20"/>
          <w:szCs w:val="20"/>
        </w:rPr>
      </w:pPr>
      <w:r w:rsidRPr="00D358EE">
        <w:rPr>
          <w:noProof/>
          <w:sz w:val="20"/>
          <w:szCs w:val="20"/>
          <w14:ligatures w14:val="standardContextual"/>
        </w:rPr>
        <w:drawing>
          <wp:inline distT="0" distB="0" distL="0" distR="0" wp14:anchorId="1B6500AC" wp14:editId="6A227B51">
            <wp:extent cx="4610100" cy="2982947"/>
            <wp:effectExtent l="0" t="0" r="0" b="8255"/>
            <wp:docPr id="840007392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62815" name="Grafik 1" descr="Ein Bild, das Text, Screenshot, Schrift, Zahl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767" cy="303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25C7" w14:textId="2238603B" w:rsidR="002C799C" w:rsidRPr="00D358EE" w:rsidRDefault="00486E53" w:rsidP="00633D2D">
      <w:pPr>
        <w:tabs>
          <w:tab w:val="left" w:pos="3510"/>
        </w:tabs>
        <w:spacing w:line="480" w:lineRule="auto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</w:pPr>
      <w:r w:rsidRPr="00D358EE">
        <w:rPr>
          <w:rFonts w:ascii="Times New Roman" w:hAnsi="Times New Roman" w:cs="Times New Roman"/>
          <w:i/>
          <w:iCs/>
          <w:color w:val="262626"/>
          <w:sz w:val="20"/>
          <w:szCs w:val="20"/>
          <w:shd w:val="clear" w:color="auto" w:fill="FFFFFF"/>
          <w:lang w:val="en-US"/>
        </w:rPr>
        <w:t>Note</w:t>
      </w:r>
      <w:r w:rsidRPr="00D358E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 xml:space="preserve">. Operational definitions of adverse childhood experiences (ACE). The prevalence is given as the number of women who experienced a specific ACE (N) </w:t>
      </w:r>
      <w:r w:rsidR="004C5192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 xml:space="preserve">prior to the onset of menarche </w:t>
      </w:r>
      <w:r w:rsidRPr="00D358E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 xml:space="preserve">and as a percentage of the total number of participants. </w:t>
      </w:r>
    </w:p>
    <w:p w14:paraId="1333B17C" w14:textId="77777777" w:rsidR="004E44A6" w:rsidRDefault="004E44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rPr>
          <w:rFonts w:ascii="Times New Roman" w:hAnsi="Times New Roman" w:cs="Arial Unicode MS"/>
          <w:b/>
          <w:bCs/>
          <w:sz w:val="20"/>
          <w:szCs w:val="20"/>
          <w:lang w:val="en-US"/>
        </w:rPr>
      </w:pPr>
      <w:r>
        <w:rPr>
          <w:rFonts w:ascii="Times New Roman" w:hAnsi="Times New Roman" w:cs="Arial Unicode MS"/>
          <w:b/>
          <w:bCs/>
          <w:sz w:val="20"/>
          <w:szCs w:val="20"/>
          <w:lang w:val="en-US"/>
        </w:rPr>
        <w:br w:type="page"/>
      </w:r>
    </w:p>
    <w:p w14:paraId="20855378" w14:textId="4635A625" w:rsidR="00486E53" w:rsidRPr="00D358EE" w:rsidRDefault="00757873" w:rsidP="00486E53">
      <w:pPr>
        <w:tabs>
          <w:tab w:val="left" w:pos="3510"/>
        </w:tabs>
        <w:rPr>
          <w:sz w:val="20"/>
          <w:szCs w:val="20"/>
          <w:lang w:val="en-US"/>
        </w:rPr>
      </w:pPr>
      <w:r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lastRenderedPageBreak/>
        <w:t xml:space="preserve">Figure 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 xml:space="preserve">SF2. Adverse </w:t>
      </w:r>
      <w:r w:rsidR="00C31D4D">
        <w:rPr>
          <w:rFonts w:ascii="Times New Roman" w:hAnsi="Times New Roman" w:cs="Arial Unicode MS"/>
          <w:b/>
          <w:bCs/>
          <w:sz w:val="20"/>
          <w:szCs w:val="20"/>
          <w:lang w:val="en-US"/>
        </w:rPr>
        <w:t>C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 xml:space="preserve">hildhood </w:t>
      </w:r>
      <w:r w:rsidR="00C31D4D">
        <w:rPr>
          <w:rFonts w:ascii="Times New Roman" w:hAnsi="Times New Roman" w:cs="Arial Unicode MS"/>
          <w:b/>
          <w:bCs/>
          <w:sz w:val="20"/>
          <w:szCs w:val="20"/>
          <w:lang w:val="en-US"/>
        </w:rPr>
        <w:t>E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 xml:space="preserve">xperience (ACE) </w:t>
      </w:r>
      <w:r w:rsidR="00C31D4D">
        <w:rPr>
          <w:rFonts w:ascii="Times New Roman" w:hAnsi="Times New Roman" w:cs="Arial Unicode MS"/>
          <w:b/>
          <w:bCs/>
          <w:sz w:val="20"/>
          <w:szCs w:val="20"/>
          <w:lang w:val="en-US"/>
        </w:rPr>
        <w:t>S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 xml:space="preserve">core </w:t>
      </w:r>
      <w:r w:rsidR="00C31D4D">
        <w:rPr>
          <w:rFonts w:ascii="Times New Roman" w:hAnsi="Times New Roman" w:cs="Arial Unicode MS"/>
          <w:b/>
          <w:bCs/>
          <w:sz w:val="20"/>
          <w:szCs w:val="20"/>
          <w:lang w:val="en-US"/>
        </w:rPr>
        <w:t>D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>istribution</w:t>
      </w:r>
    </w:p>
    <w:p w14:paraId="35DFD8B1" w14:textId="77777777" w:rsidR="00486E53" w:rsidRPr="00D358EE" w:rsidRDefault="00486E53" w:rsidP="00486E53">
      <w:pPr>
        <w:rPr>
          <w:noProof/>
          <w:sz w:val="20"/>
          <w:szCs w:val="20"/>
          <w:lang w:val="en-US"/>
        </w:rPr>
      </w:pPr>
    </w:p>
    <w:p w14:paraId="6788DDAF" w14:textId="77777777" w:rsidR="00486E53" w:rsidRPr="00D358EE" w:rsidRDefault="00486E53" w:rsidP="00486E53">
      <w:pPr>
        <w:rPr>
          <w:noProof/>
          <w:sz w:val="20"/>
          <w:szCs w:val="20"/>
        </w:rPr>
      </w:pPr>
      <w:r w:rsidRPr="00D358EE">
        <w:rPr>
          <w:noProof/>
          <w:sz w:val="20"/>
          <w:szCs w:val="20"/>
        </w:rPr>
        <w:drawing>
          <wp:inline distT="0" distB="0" distL="0" distR="0" wp14:anchorId="425A596F" wp14:editId="2D2E688B">
            <wp:extent cx="4535906" cy="2643445"/>
            <wp:effectExtent l="0" t="0" r="0" b="0"/>
            <wp:docPr id="233355173" name="Inhaltsplatzhalter 4" descr="Ein Bild, das Diagramm, Reihe, Screenshot, Desig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45C78DB-2CC8-3B86-E78A-7F2C019BB4D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haltsplatzhalter 4" descr="Ein Bild, das Diagramm, Reihe, Screenshot, Desig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745C78DB-2CC8-3B86-E78A-7F2C019BB4D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0492" cy="266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652F" w14:textId="39E4A17A" w:rsidR="00486E53" w:rsidRPr="00D358EE" w:rsidRDefault="00486E53" w:rsidP="004D6059">
      <w:pPr>
        <w:tabs>
          <w:tab w:val="left" w:pos="3510"/>
        </w:tabs>
        <w:spacing w:line="480" w:lineRule="auto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</w:pPr>
      <w:r w:rsidRPr="00D358EE">
        <w:rPr>
          <w:rFonts w:ascii="Times New Roman" w:hAnsi="Times New Roman" w:cs="Times New Roman"/>
          <w:i/>
          <w:color w:val="262626"/>
          <w:sz w:val="20"/>
          <w:szCs w:val="20"/>
          <w:shd w:val="clear" w:color="auto" w:fill="FFFFFF"/>
          <w:lang w:val="en-US"/>
        </w:rPr>
        <w:t>Note</w:t>
      </w:r>
      <w:r w:rsidRPr="00D358E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 xml:space="preserve">. Histogram showing the frequency distribution of participant </w:t>
      </w:r>
      <w:r w:rsidR="008A182D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>adverse childhood experience (</w:t>
      </w:r>
      <w:r w:rsidRPr="00D358E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>ACE</w:t>
      </w:r>
      <w:r w:rsidR="008A182D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>)</w:t>
      </w:r>
      <w:r w:rsidRPr="00D358E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 xml:space="preserve"> scores</w:t>
      </w:r>
      <w:r w:rsidR="004C5192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 xml:space="preserve"> (calculated for each participant as the sum of the number of experienced stressors before menarche.</w:t>
      </w:r>
    </w:p>
    <w:p w14:paraId="7F0F710C" w14:textId="4FBC07EE" w:rsidR="00486E53" w:rsidRPr="00D358EE" w:rsidRDefault="00757873" w:rsidP="00486E53">
      <w:pPr>
        <w:tabs>
          <w:tab w:val="left" w:pos="3510"/>
        </w:tabs>
        <w:rPr>
          <w:sz w:val="20"/>
          <w:szCs w:val="20"/>
          <w:lang w:val="en-US"/>
        </w:rPr>
      </w:pPr>
      <w:r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>Fi</w:t>
      </w:r>
      <w:r w:rsidR="004D6059">
        <w:rPr>
          <w:rFonts w:ascii="Times New Roman" w:hAnsi="Times New Roman" w:cs="Arial Unicode MS"/>
          <w:b/>
          <w:bCs/>
          <w:sz w:val="20"/>
          <w:szCs w:val="20"/>
          <w:lang w:val="en-US"/>
        </w:rPr>
        <w:t>g</w:t>
      </w:r>
      <w:r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 xml:space="preserve">ure 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 xml:space="preserve">SF3. Adverse </w:t>
      </w:r>
      <w:r w:rsidR="00143477">
        <w:rPr>
          <w:rFonts w:ascii="Times New Roman" w:hAnsi="Times New Roman" w:cs="Arial Unicode MS"/>
          <w:b/>
          <w:bCs/>
          <w:sz w:val="20"/>
          <w:szCs w:val="20"/>
          <w:lang w:val="en-US"/>
        </w:rPr>
        <w:t>C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 xml:space="preserve">hildhood </w:t>
      </w:r>
      <w:r w:rsidR="00143477">
        <w:rPr>
          <w:rFonts w:ascii="Times New Roman" w:hAnsi="Times New Roman" w:cs="Arial Unicode MS"/>
          <w:b/>
          <w:bCs/>
          <w:sz w:val="20"/>
          <w:szCs w:val="20"/>
          <w:lang w:val="en-US"/>
        </w:rPr>
        <w:t>E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 xml:space="preserve">xperience (ACE) </w:t>
      </w:r>
      <w:r w:rsidR="00143477">
        <w:rPr>
          <w:rFonts w:ascii="Times New Roman" w:hAnsi="Times New Roman" w:cs="Arial Unicode MS"/>
          <w:b/>
          <w:bCs/>
          <w:sz w:val="20"/>
          <w:szCs w:val="20"/>
          <w:lang w:val="en-US"/>
        </w:rPr>
        <w:t>C</w:t>
      </w:r>
      <w:r w:rsidR="00486E53" w:rsidRPr="00D358EE">
        <w:rPr>
          <w:rFonts w:ascii="Times New Roman" w:hAnsi="Times New Roman" w:cs="Arial Unicode MS"/>
          <w:b/>
          <w:bCs/>
          <w:sz w:val="20"/>
          <w:szCs w:val="20"/>
          <w:lang w:val="en-US"/>
        </w:rPr>
        <w:t>o-occurrence</w:t>
      </w:r>
    </w:p>
    <w:p w14:paraId="0E70C350" w14:textId="77777777" w:rsidR="00486E53" w:rsidRPr="00D358EE" w:rsidRDefault="00486E53" w:rsidP="00486E53">
      <w:pPr>
        <w:rPr>
          <w:sz w:val="20"/>
          <w:szCs w:val="20"/>
        </w:rPr>
      </w:pPr>
      <w:r w:rsidRPr="00D358EE">
        <w:rPr>
          <w:noProof/>
          <w:sz w:val="20"/>
          <w:szCs w:val="20"/>
          <w14:ligatures w14:val="standardContextual"/>
        </w:rPr>
        <w:drawing>
          <wp:inline distT="0" distB="0" distL="0" distR="0" wp14:anchorId="09DE7E09" wp14:editId="0907D75E">
            <wp:extent cx="3414633" cy="3838074"/>
            <wp:effectExtent l="0" t="0" r="1905" b="0"/>
            <wp:docPr id="613907973" name="Grafik 1" descr="Ein Bild, das Kreis, Text, Diagramm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3349" name="Grafik 1" descr="Ein Bild, das Kreis, Text, Diagramm, Screensho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61" cy="386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B88FA" w14:textId="677209C2" w:rsidR="004E44A6" w:rsidRDefault="00486E53" w:rsidP="004E44A6">
      <w:pPr>
        <w:tabs>
          <w:tab w:val="left" w:pos="3510"/>
        </w:tabs>
        <w:spacing w:line="480" w:lineRule="auto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</w:pPr>
      <w:r w:rsidRPr="00D358EE">
        <w:rPr>
          <w:rFonts w:ascii="Times New Roman" w:hAnsi="Times New Roman" w:cs="Times New Roman"/>
          <w:i/>
          <w:color w:val="262626"/>
          <w:sz w:val="20"/>
          <w:szCs w:val="20"/>
          <w:shd w:val="clear" w:color="auto" w:fill="FFFFFF"/>
          <w:lang w:val="en-US"/>
        </w:rPr>
        <w:t>Note</w:t>
      </w:r>
      <w:r w:rsidRPr="00D358E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>. Venn diagram showing overlap between the three sub-types of adverse childhood experience</w:t>
      </w:r>
      <w:r w:rsidR="006E5ACB" w:rsidRPr="00D358E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 xml:space="preserve"> </w:t>
      </w:r>
      <w:r w:rsidRPr="00D358EE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t>(ACE).</w:t>
      </w:r>
      <w:r w:rsidRPr="00D358EE">
        <w:rPr>
          <w:rFonts w:ascii="Times New Roman" w:hAnsi="Times New Roman" w:cs="Times New Roman"/>
          <w:sz w:val="20"/>
          <w:szCs w:val="20"/>
          <w:lang w:val="en-US"/>
        </w:rPr>
        <w:t> Results are given as the number of women who had experienced each sub-type(s) of ACE</w:t>
      </w:r>
      <w:r w:rsidR="004C5192">
        <w:rPr>
          <w:rFonts w:ascii="Times New Roman" w:hAnsi="Times New Roman" w:cs="Times New Roman"/>
          <w:sz w:val="20"/>
          <w:szCs w:val="20"/>
          <w:lang w:val="en-US"/>
        </w:rPr>
        <w:t xml:space="preserve"> prior to menarche</w:t>
      </w:r>
      <w:r w:rsidR="004E44A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E44A6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  <w:lang w:val="en-US"/>
        </w:rPr>
        <w:br w:type="page"/>
      </w:r>
    </w:p>
    <w:p w14:paraId="1124BC12" w14:textId="1ED73D5A" w:rsidR="00E7499F" w:rsidRDefault="00E7499F" w:rsidP="00E7499F">
      <w:pPr>
        <w:pStyle w:val="EndNoteBibliography"/>
        <w:spacing w:line="480" w:lineRule="auto"/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>Statistical Analysis</w:t>
      </w:r>
    </w:p>
    <w:p w14:paraId="2FC753C2" w14:textId="77777777" w:rsidR="0008316C" w:rsidRDefault="0008316C" w:rsidP="00E7499F">
      <w:pPr>
        <w:pStyle w:val="EndNoteBibliography"/>
        <w:spacing w:line="480" w:lineRule="auto"/>
        <w:rPr>
          <w:rFonts w:ascii="Times New Roman" w:hAnsi="Times New Roman" w:cs="Arial Unicode MS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602F6DB" w14:textId="61714CD2" w:rsidR="00E7499F" w:rsidRDefault="00E7499F" w:rsidP="00061C57">
      <w:pPr>
        <w:pStyle w:val="Text"/>
        <w:spacing w:line="480" w:lineRule="auto"/>
        <w:ind w:firstLine="708"/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</w:pPr>
      <w:r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Linear models, with an interaction term between age and </w:t>
      </w:r>
      <w:r w:rsidR="00061C57">
        <w:rPr>
          <w:rFonts w:cs="Times New Roman"/>
        </w:rPr>
        <w:t>adverse childhood experience (</w:t>
      </w:r>
      <w:r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ACE</w:t>
      </w:r>
      <w:r w:rsidR="00061C57">
        <w:rPr>
          <w:rFonts w:cs="Times New Roman"/>
        </w:rPr>
        <w:t>)</w:t>
      </w:r>
      <w:r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score, were implemented to assess heteroscedasticity and normality</w:t>
      </w:r>
      <w:r>
        <w:rPr>
          <w:rFonts w:cs="Times New Roman"/>
        </w:rPr>
        <w:t xml:space="preserve"> </w:t>
      </w:r>
      <w:r w:rsidR="00061C57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(ST1). Generalized additive models (GAMs)</w:t>
      </w:r>
      <w:r w:rsidR="00061C57"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were implemented for all DVs to investigate the non-linear interaction effects between ACE score and age in the prediction of outcomes (Model 1). Goodness of fit for Model 1 was tested in comparison to </w:t>
      </w:r>
      <w:r w:rsidR="00061C57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Model 2 which</w:t>
      </w:r>
      <w:r w:rsidR="00061C57"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captur</w:t>
      </w:r>
      <w:r w:rsidR="00061C57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061C57"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the interaction effect stratified by the levels of age for all DVs. Model fit was assessed using a combination of Akaike Information Criteria, Bayes Information Criteria, residual deviance, and residual degrees of freedom (ST2).</w:t>
      </w:r>
      <w:r w:rsidR="00061C57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Depression severity</w:t>
      </w:r>
      <w:r w:rsidR="00061C57"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, state and trait anxiety, posttraumatic stress disorder</w:t>
      </w:r>
      <w:r w:rsidR="00061C57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severity</w:t>
      </w:r>
      <w:r w:rsidR="00061C57"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, and SES </w:t>
      </w:r>
      <w:r w:rsidR="00061C57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were integrated</w:t>
      </w:r>
      <w:r w:rsidR="00061C57" w:rsidRPr="001D3DF3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as linear covariates into the main model. Bivariate Pearson correlations were conducted between these covariates, age, and ACE scores (ST3). The model performance was compared with and without covariates (ST4).</w:t>
      </w:r>
    </w:p>
    <w:p w14:paraId="08D3AA7E" w14:textId="77777777" w:rsidR="0008316C" w:rsidRPr="0008316C" w:rsidRDefault="0008316C" w:rsidP="0008316C">
      <w:pPr>
        <w:pStyle w:val="EndNoteBibliography"/>
      </w:pPr>
    </w:p>
    <w:p w14:paraId="789F5D99" w14:textId="2E22671A" w:rsidR="002C799C" w:rsidRPr="00D358EE" w:rsidRDefault="00757873" w:rsidP="002C799C">
      <w:pPr>
        <w:pStyle w:val="Text"/>
        <w:spacing w:line="480" w:lineRule="auto"/>
        <w:rPr>
          <w:b/>
          <w:bCs/>
        </w:rPr>
      </w:pPr>
      <w:r w:rsidRPr="00D358EE">
        <w:rPr>
          <w:b/>
          <w:bCs/>
        </w:rPr>
        <w:t xml:space="preserve">Table </w:t>
      </w:r>
      <w:r w:rsidR="002C799C" w:rsidRPr="00D358EE">
        <w:rPr>
          <w:b/>
          <w:bCs/>
        </w:rPr>
        <w:t>ST</w:t>
      </w:r>
      <w:r w:rsidR="00A65520" w:rsidRPr="00D358EE">
        <w:rPr>
          <w:b/>
          <w:bCs/>
        </w:rPr>
        <w:t>1</w:t>
      </w:r>
      <w:r w:rsidR="002C799C" w:rsidRPr="00D358EE">
        <w:rPr>
          <w:b/>
          <w:bCs/>
        </w:rPr>
        <w:t xml:space="preserve">. Linear </w:t>
      </w:r>
      <w:r w:rsidR="00143477">
        <w:rPr>
          <w:b/>
          <w:bCs/>
        </w:rPr>
        <w:t>M</w:t>
      </w:r>
      <w:r w:rsidR="002C799C" w:rsidRPr="00D358EE">
        <w:rPr>
          <w:b/>
          <w:bCs/>
        </w:rPr>
        <w:t xml:space="preserve">odel </w:t>
      </w:r>
      <w:r w:rsidR="00143477">
        <w:rPr>
          <w:b/>
          <w:bCs/>
        </w:rPr>
        <w:t>T</w:t>
      </w:r>
      <w:r w:rsidR="002C799C" w:rsidRPr="00D358EE">
        <w:rPr>
          <w:b/>
          <w:bCs/>
        </w:rPr>
        <w:t>ests</w:t>
      </w:r>
    </w:p>
    <w:tbl>
      <w:tblPr>
        <w:tblStyle w:val="TableNormal1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799C" w:rsidRPr="004B7B5B" w14:paraId="57897CFB" w14:textId="77777777" w:rsidTr="00CA2FFD">
        <w:trPr>
          <w:trHeight w:val="222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B5E3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9052" w14:textId="50FC4DD6" w:rsidR="002C799C" w:rsidRPr="00D23CB8" w:rsidRDefault="002C799C" w:rsidP="00CA2FFD">
            <w:pPr>
              <w:pStyle w:val="Text"/>
              <w:rPr>
                <w:b/>
                <w:bCs/>
                <w:kern w:val="0"/>
              </w:rPr>
            </w:pPr>
            <w:r w:rsidRPr="00D23CB8">
              <w:rPr>
                <w:b/>
                <w:bCs/>
                <w:kern w:val="0"/>
              </w:rPr>
              <w:t>Goldfeld-Quandt test (</w:t>
            </w:r>
            <w:r w:rsidR="0090299A">
              <w:rPr>
                <w:b/>
                <w:bCs/>
                <w:kern w:val="0"/>
              </w:rPr>
              <w:t>p</w:t>
            </w:r>
            <w:r w:rsidRPr="00D23CB8">
              <w:rPr>
                <w:b/>
                <w:bCs/>
                <w:kern w:val="0"/>
              </w:rPr>
              <w:t xml:space="preserve"> value)</w:t>
            </w: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5EDF" w14:textId="2A9F89D8" w:rsidR="002C799C" w:rsidRPr="00D23CB8" w:rsidRDefault="002C799C" w:rsidP="00CA2FFD">
            <w:pPr>
              <w:pStyle w:val="Text"/>
              <w:rPr>
                <w:b/>
                <w:bCs/>
                <w:kern w:val="0"/>
              </w:rPr>
            </w:pPr>
            <w:r w:rsidRPr="00D23CB8">
              <w:rPr>
                <w:b/>
                <w:bCs/>
                <w:kern w:val="0"/>
              </w:rPr>
              <w:t>Shapiro-Wilk test (</w:t>
            </w:r>
            <w:r w:rsidR="0090299A">
              <w:rPr>
                <w:b/>
                <w:bCs/>
                <w:kern w:val="0"/>
              </w:rPr>
              <w:t>p</w:t>
            </w:r>
            <w:r w:rsidRPr="00D23CB8">
              <w:rPr>
                <w:b/>
                <w:bCs/>
                <w:kern w:val="0"/>
              </w:rPr>
              <w:t xml:space="preserve"> value)</w:t>
            </w:r>
          </w:p>
        </w:tc>
      </w:tr>
      <w:tr w:rsidR="002C799C" w:rsidRPr="00D358EE" w14:paraId="5DCDD7F8" w14:textId="77777777" w:rsidTr="00CA2FFD">
        <w:trPr>
          <w:trHeight w:val="227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9F92" w14:textId="51E543C8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s</w:t>
            </w:r>
            <w:r w:rsidR="0031435A">
              <w:rPr>
                <w:kern w:val="0"/>
              </w:rPr>
              <w:t>GFAP</w:t>
            </w:r>
            <w:r w:rsidRPr="00D358EE">
              <w:rPr>
                <w:kern w:val="0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7D94" w14:textId="0C048434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0.0</w:t>
            </w:r>
            <w:r w:rsidR="0031435A">
              <w:rPr>
                <w:kern w:val="0"/>
              </w:rPr>
              <w:t>63</w:t>
            </w: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72ED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013A229B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382F" w14:textId="0286F2A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s</w:t>
            </w:r>
            <w:r w:rsidR="0031435A">
              <w:rPr>
                <w:kern w:val="0"/>
              </w:rPr>
              <w:t>NfL</w:t>
            </w:r>
            <w:r w:rsidRPr="00D358EE">
              <w:rPr>
                <w:kern w:val="0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3CE9" w14:textId="419A4803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0.0</w:t>
            </w:r>
            <w:r w:rsidR="0031435A">
              <w:rPr>
                <w:kern w:val="0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0AEAE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7EF9573E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3C2C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sp-tau181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2FBE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0.680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F3D24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0.008</w:t>
            </w:r>
          </w:p>
        </w:tc>
      </w:tr>
      <w:tr w:rsidR="002C799C" w:rsidRPr="00D358EE" w14:paraId="11F9B7E6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E0D1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TBV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9ABF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9603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5F130D47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BEFC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tGMV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8784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0.233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8EBE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0.1353</w:t>
            </w:r>
          </w:p>
        </w:tc>
      </w:tr>
      <w:tr w:rsidR="002C799C" w:rsidRPr="00D358EE" w14:paraId="2A8A227B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4491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sGMV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5E78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4FBBB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01F94A65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9198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Left amygdala volume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1D94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9ACB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0.001</w:t>
            </w:r>
          </w:p>
        </w:tc>
      </w:tr>
      <w:tr w:rsidR="002C799C" w:rsidRPr="00D358EE" w14:paraId="530DAC13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7C6B4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Right amygdala volume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EC234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3B6E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258AD54B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28D2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tWMV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EAE9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0.3823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D8B1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0.008</w:t>
            </w:r>
          </w:p>
        </w:tc>
      </w:tr>
      <w:tr w:rsidR="002C799C" w:rsidRPr="00D358EE" w14:paraId="1E454812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73AA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Lateral ventricular volume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1D4B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0.036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C99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1374F6C0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8FE3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Third ventricular volume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DDE4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5947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56D54303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E444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Fourth ventricular volume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C73D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0.824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5463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3E8643C9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BD41" w14:textId="16AECBF8" w:rsidR="002C799C" w:rsidRPr="00D358EE" w:rsidRDefault="00D23CB8" w:rsidP="00CA2FFD">
            <w:pPr>
              <w:pStyle w:val="Text"/>
            </w:pPr>
            <w:r>
              <w:t>SWMS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476D" w14:textId="050FAB06" w:rsidR="002C799C" w:rsidRPr="00D358EE" w:rsidRDefault="00D23CB8" w:rsidP="00CA2FFD">
            <w:pPr>
              <w:pStyle w:val="Text"/>
            </w:pPr>
            <w:r>
              <w:t>0.016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C7CA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341E61F0" w14:textId="77777777" w:rsidTr="00CA2FFD">
        <w:trPr>
          <w:trHeight w:val="232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40B9" w14:textId="273ECCAF" w:rsidR="002C799C" w:rsidRPr="00D358EE" w:rsidRDefault="00D23CB8" w:rsidP="00CA2FFD">
            <w:pPr>
              <w:pStyle w:val="Text"/>
            </w:pPr>
            <w:r>
              <w:t>RVPA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D6B9" w14:textId="1B9BD3FC" w:rsidR="002C799C" w:rsidRPr="00D358EE" w:rsidRDefault="00D23CB8" w:rsidP="00CA2FFD">
            <w:pPr>
              <w:pStyle w:val="Text"/>
            </w:pPr>
            <w:r>
              <w:t>0.332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1EB2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  <w:tr w:rsidR="002C799C" w:rsidRPr="00D358EE" w14:paraId="2CDC2C10" w14:textId="77777777" w:rsidTr="00CA2FFD">
        <w:trPr>
          <w:trHeight w:val="227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014C6" w14:textId="10A04133" w:rsidR="002C799C" w:rsidRPr="00D358EE" w:rsidRDefault="00D23CB8" w:rsidP="00CA2FFD">
            <w:pPr>
              <w:pStyle w:val="Text"/>
            </w:pPr>
            <w:r>
              <w:t>PRMPCI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A893" w14:textId="453A78AB" w:rsidR="002C799C" w:rsidRPr="00D358EE" w:rsidRDefault="00D23CB8" w:rsidP="00CA2FFD">
            <w:pPr>
              <w:pStyle w:val="Text"/>
            </w:pPr>
            <w:r>
              <w:t>0.189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F588" w14:textId="77777777" w:rsidR="002C799C" w:rsidRPr="00D358EE" w:rsidRDefault="002C799C" w:rsidP="00CA2FFD">
            <w:pPr>
              <w:pStyle w:val="Text"/>
            </w:pPr>
            <w:r w:rsidRPr="00D358EE">
              <w:rPr>
                <w:kern w:val="0"/>
              </w:rPr>
              <w:t>&lt; 0.001</w:t>
            </w:r>
          </w:p>
        </w:tc>
      </w:tr>
    </w:tbl>
    <w:p w14:paraId="15932A7F" w14:textId="77777777" w:rsidR="002C799C" w:rsidRPr="00D358EE" w:rsidRDefault="002C799C" w:rsidP="002C799C">
      <w:pPr>
        <w:pStyle w:val="Text"/>
        <w:widowControl w:val="0"/>
        <w:rPr>
          <w:b/>
          <w:bCs/>
        </w:rPr>
      </w:pPr>
    </w:p>
    <w:p w14:paraId="3AFB98E0" w14:textId="6B314518" w:rsidR="00D358EE" w:rsidRDefault="002C799C" w:rsidP="00061C57">
      <w:pPr>
        <w:pStyle w:val="Text"/>
        <w:spacing w:line="480" w:lineRule="auto"/>
      </w:pPr>
      <w:r w:rsidRPr="00D358EE">
        <w:rPr>
          <w:i/>
          <w:iCs/>
        </w:rPr>
        <w:t>Note.</w:t>
      </w:r>
      <w:r w:rsidRPr="00D358EE">
        <w:rPr>
          <w:b/>
          <w:bCs/>
        </w:rPr>
        <w:t xml:space="preserve"> </w:t>
      </w:r>
      <w:r w:rsidRPr="00D358EE">
        <w:t xml:space="preserve">DV = dependent variable; sGFAP = serum glial fibrillary acidic protein; </w:t>
      </w:r>
      <w:r w:rsidR="0031435A" w:rsidRPr="00D358EE">
        <w:t xml:space="preserve">sNfL = serum neurofilament light chain; </w:t>
      </w:r>
      <w:r w:rsidRPr="00D358EE">
        <w:t xml:space="preserve">sp-tau181 = serum phosphorylated-tau181; TBV = total brain volume; tGMV = total grey matter volume; sGMV = subcortical grey matter volume; tWMV = total white matter volume; </w:t>
      </w:r>
      <w:r w:rsidR="008F1537" w:rsidRPr="00D358EE">
        <w:t xml:space="preserve">SWMS = spatial working memory </w:t>
      </w:r>
      <w:r w:rsidR="008F1537" w:rsidRPr="00D358EE">
        <w:lastRenderedPageBreak/>
        <w:t>strategy; RVPA = rapid visual information processing score</w:t>
      </w:r>
      <w:r w:rsidR="008F1537">
        <w:t>;</w:t>
      </w:r>
      <w:r w:rsidR="008F1537" w:rsidRPr="00D358EE">
        <w:t xml:space="preserve"> </w:t>
      </w:r>
      <w:r w:rsidRPr="00D358EE">
        <w:t>PRMPCI = pattern recognition memory percent correct instant.</w:t>
      </w:r>
    </w:p>
    <w:p w14:paraId="489C1932" w14:textId="77777777" w:rsidR="0008316C" w:rsidRPr="0008316C" w:rsidRDefault="0008316C" w:rsidP="0008316C">
      <w:pPr>
        <w:pStyle w:val="EndNoteBibliography"/>
      </w:pPr>
    </w:p>
    <w:p w14:paraId="2FD0B6F8" w14:textId="6A1DB8F1" w:rsidR="002C799C" w:rsidRPr="00D358EE" w:rsidRDefault="00757873" w:rsidP="002C799C">
      <w:pPr>
        <w:pStyle w:val="Text"/>
        <w:spacing w:line="480" w:lineRule="auto"/>
        <w:rPr>
          <w:b/>
          <w:bCs/>
        </w:rPr>
      </w:pPr>
      <w:r w:rsidRPr="00D358EE">
        <w:rPr>
          <w:b/>
          <w:bCs/>
        </w:rPr>
        <w:t xml:space="preserve">Table </w:t>
      </w:r>
      <w:r w:rsidR="001B113A" w:rsidRPr="00D358EE">
        <w:rPr>
          <w:b/>
          <w:bCs/>
        </w:rPr>
        <w:t>ST</w:t>
      </w:r>
      <w:r w:rsidR="00A65520" w:rsidRPr="00D358EE">
        <w:rPr>
          <w:b/>
          <w:bCs/>
        </w:rPr>
        <w:t>2</w:t>
      </w:r>
      <w:r w:rsidR="001B113A" w:rsidRPr="00D358EE">
        <w:rPr>
          <w:b/>
          <w:bCs/>
        </w:rPr>
        <w:t xml:space="preserve">. Fit </w:t>
      </w:r>
      <w:r w:rsidR="00143477">
        <w:rPr>
          <w:b/>
          <w:bCs/>
        </w:rPr>
        <w:t>I</w:t>
      </w:r>
      <w:r w:rsidR="001B113A" w:rsidRPr="00D358EE">
        <w:rPr>
          <w:b/>
          <w:bCs/>
        </w:rPr>
        <w:t>ndices of Model 1 and Model 2</w:t>
      </w:r>
    </w:p>
    <w:tbl>
      <w:tblPr>
        <w:tblStyle w:val="TableNormal1"/>
        <w:tblW w:w="91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68"/>
        <w:gridCol w:w="1042"/>
        <w:gridCol w:w="947"/>
        <w:gridCol w:w="1017"/>
        <w:gridCol w:w="1007"/>
        <w:gridCol w:w="956"/>
        <w:gridCol w:w="956"/>
        <w:gridCol w:w="1017"/>
        <w:gridCol w:w="1006"/>
      </w:tblGrid>
      <w:tr w:rsidR="001B113A" w:rsidRPr="00D358EE" w14:paraId="6707AD07" w14:textId="77777777" w:rsidTr="00562150">
        <w:trPr>
          <w:trHeight w:val="378"/>
        </w:trPr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21EA" w14:textId="77777777" w:rsidR="001B113A" w:rsidRPr="00D358EE" w:rsidRDefault="001B113A" w:rsidP="00CA2FFD">
            <w:pPr>
              <w:pStyle w:val="KeinLeerraum"/>
              <w:rPr>
                <w:sz w:val="20"/>
                <w:szCs w:val="20"/>
                <w:lang w:val="en-US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000000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DE67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rPr>
                <w:b/>
                <w:bCs/>
              </w:rPr>
              <w:t>Model 1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11CD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rPr>
                <w:b/>
                <w:bCs/>
              </w:rPr>
              <w:t>Model 2</w:t>
            </w:r>
          </w:p>
        </w:tc>
      </w:tr>
      <w:tr w:rsidR="001B113A" w:rsidRPr="00D358EE" w14:paraId="63F8DD26" w14:textId="77777777" w:rsidTr="00562150">
        <w:trPr>
          <w:trHeight w:val="550"/>
        </w:trPr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D14B" w14:textId="2CCA9F74" w:rsidR="001B113A" w:rsidRPr="00854753" w:rsidRDefault="00854753" w:rsidP="00CA2FFD">
            <w:pPr>
              <w:pStyle w:val="Text"/>
              <w:jc w:val="center"/>
            </w:pPr>
            <w:r>
              <w:t>DV</w:t>
            </w:r>
          </w:p>
        </w:tc>
        <w:tc>
          <w:tcPr>
            <w:tcW w:w="1042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E55E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t>AIC</w:t>
            </w:r>
          </w:p>
        </w:tc>
        <w:tc>
          <w:tcPr>
            <w:tcW w:w="947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06B0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t>BIC</w:t>
            </w:r>
          </w:p>
        </w:tc>
        <w:tc>
          <w:tcPr>
            <w:tcW w:w="1017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68FA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t>Residual deviance</w:t>
            </w:r>
          </w:p>
        </w:tc>
        <w:tc>
          <w:tcPr>
            <w:tcW w:w="1007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0CE5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t>Residual df</w:t>
            </w:r>
          </w:p>
        </w:tc>
        <w:tc>
          <w:tcPr>
            <w:tcW w:w="956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915F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t>AIC</w:t>
            </w:r>
          </w:p>
        </w:tc>
        <w:tc>
          <w:tcPr>
            <w:tcW w:w="956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BBDBC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t>BIC</w:t>
            </w:r>
          </w:p>
        </w:tc>
        <w:tc>
          <w:tcPr>
            <w:tcW w:w="1017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8F11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t>Residual deviance</w:t>
            </w:r>
          </w:p>
        </w:tc>
        <w:tc>
          <w:tcPr>
            <w:tcW w:w="1006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5ABC" w14:textId="77777777" w:rsidR="001B113A" w:rsidRPr="00D358EE" w:rsidRDefault="001B113A" w:rsidP="00CA2FFD">
            <w:pPr>
              <w:pStyle w:val="Text"/>
              <w:jc w:val="center"/>
            </w:pPr>
            <w:r w:rsidRPr="00D358EE">
              <w:t>Residual df</w:t>
            </w:r>
          </w:p>
        </w:tc>
      </w:tr>
      <w:tr w:rsidR="0031435A" w:rsidRPr="00D358EE" w14:paraId="1DCA6F13" w14:textId="77777777" w:rsidTr="00562150">
        <w:trPr>
          <w:trHeight w:val="434"/>
        </w:trPr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E893" w14:textId="4D77495B" w:rsidR="0031435A" w:rsidRPr="00854753" w:rsidRDefault="0031435A" w:rsidP="0031435A">
            <w:pPr>
              <w:pStyle w:val="Text"/>
            </w:pPr>
            <w:r w:rsidRPr="00854753">
              <w:t xml:space="preserve">sGFAP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2D36" w14:textId="744601BF" w:rsidR="0031435A" w:rsidRPr="00D358EE" w:rsidRDefault="0031435A" w:rsidP="0031435A">
            <w:pPr>
              <w:pStyle w:val="Text"/>
              <w:jc w:val="center"/>
            </w:pPr>
            <w:r w:rsidRPr="00D358EE">
              <w:t>185.86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5A57" w14:textId="3CBDE67C" w:rsidR="0031435A" w:rsidRPr="00D358EE" w:rsidRDefault="0031435A" w:rsidP="0031435A">
            <w:pPr>
              <w:pStyle w:val="Text"/>
              <w:jc w:val="center"/>
            </w:pPr>
            <w:r w:rsidRPr="00D358EE">
              <w:t>208.02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A0C1" w14:textId="5C4004AD" w:rsidR="0031435A" w:rsidRPr="00D358EE" w:rsidRDefault="0031435A" w:rsidP="0031435A">
            <w:pPr>
              <w:pStyle w:val="Text"/>
              <w:jc w:val="center"/>
            </w:pPr>
            <w:r w:rsidRPr="00D358EE">
              <w:t>27.33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148E" w14:textId="1F0054B0" w:rsidR="0031435A" w:rsidRPr="00D358EE" w:rsidRDefault="0031435A" w:rsidP="0031435A">
            <w:pPr>
              <w:pStyle w:val="Text"/>
              <w:jc w:val="center"/>
            </w:pPr>
            <w:r w:rsidRPr="00D358EE">
              <w:t>162.19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82F2" w14:textId="6ABDB6BB" w:rsidR="0031435A" w:rsidRPr="00D358EE" w:rsidRDefault="0031435A" w:rsidP="0031435A">
            <w:pPr>
              <w:pStyle w:val="Text"/>
              <w:jc w:val="center"/>
            </w:pPr>
            <w:r w:rsidRPr="00D358EE">
              <w:t>187.97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6551" w14:textId="0B181920" w:rsidR="0031435A" w:rsidRPr="00D358EE" w:rsidRDefault="0031435A" w:rsidP="0031435A">
            <w:pPr>
              <w:pStyle w:val="Text"/>
              <w:jc w:val="center"/>
            </w:pPr>
            <w:r w:rsidRPr="00D358EE">
              <w:t>204.84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A161" w14:textId="36889766" w:rsidR="0031435A" w:rsidRPr="00D358EE" w:rsidRDefault="0031435A" w:rsidP="0031435A">
            <w:pPr>
              <w:pStyle w:val="Text"/>
              <w:jc w:val="center"/>
            </w:pPr>
            <w:r w:rsidRPr="00D358EE">
              <w:t>28.23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CE9E" w14:textId="3124F56E" w:rsidR="0031435A" w:rsidRPr="00D358EE" w:rsidRDefault="0031435A" w:rsidP="0031435A">
            <w:pPr>
              <w:pStyle w:val="Text"/>
              <w:jc w:val="center"/>
            </w:pPr>
            <w:r w:rsidRPr="00D358EE">
              <w:t>164.18</w:t>
            </w:r>
          </w:p>
        </w:tc>
      </w:tr>
      <w:tr w:rsidR="0031435A" w:rsidRPr="00D358EE" w14:paraId="4D722600" w14:textId="77777777" w:rsidTr="00562150">
        <w:trPr>
          <w:trHeight w:val="42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3E00D" w14:textId="5914D9BA" w:rsidR="0031435A" w:rsidRPr="00854753" w:rsidRDefault="0031435A" w:rsidP="0031435A">
            <w:pPr>
              <w:pStyle w:val="Text"/>
            </w:pPr>
            <w:r w:rsidRPr="00854753">
              <w:t xml:space="preserve">sNfL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3CBE" w14:textId="0FF1905C" w:rsidR="0031435A" w:rsidRPr="00D358EE" w:rsidRDefault="0031435A" w:rsidP="0031435A">
            <w:pPr>
              <w:pStyle w:val="Text"/>
              <w:jc w:val="center"/>
            </w:pPr>
            <w:r w:rsidRPr="00D358EE">
              <w:t>187.87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4620" w14:textId="413BE074" w:rsidR="0031435A" w:rsidRPr="00D358EE" w:rsidRDefault="0031435A" w:rsidP="0031435A">
            <w:pPr>
              <w:pStyle w:val="Text"/>
              <w:jc w:val="center"/>
            </w:pPr>
            <w:r w:rsidRPr="00D358EE">
              <w:t>211.35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1232" w14:textId="311EA379" w:rsidR="0031435A" w:rsidRPr="00D358EE" w:rsidRDefault="0031435A" w:rsidP="0031435A">
            <w:pPr>
              <w:pStyle w:val="Text"/>
              <w:jc w:val="center"/>
            </w:pPr>
            <w:r w:rsidRPr="00D358EE">
              <w:t>27.52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BB01A" w14:textId="7F7230EB" w:rsidR="0031435A" w:rsidRPr="00D358EE" w:rsidRDefault="0031435A" w:rsidP="0031435A">
            <w:pPr>
              <w:pStyle w:val="Text"/>
              <w:jc w:val="center"/>
            </w:pPr>
            <w:r w:rsidRPr="00D358EE">
              <w:t>163.73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A82A" w14:textId="5ACBB103" w:rsidR="0031435A" w:rsidRPr="00D358EE" w:rsidRDefault="0031435A" w:rsidP="0031435A">
            <w:pPr>
              <w:pStyle w:val="Text"/>
              <w:jc w:val="center"/>
            </w:pPr>
            <w:r w:rsidRPr="00D358EE">
              <w:t>184.00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417A" w14:textId="5352B3DA" w:rsidR="0031435A" w:rsidRPr="00D358EE" w:rsidRDefault="0031435A" w:rsidP="0031435A">
            <w:pPr>
              <w:pStyle w:val="Text"/>
              <w:jc w:val="center"/>
            </w:pPr>
            <w:r w:rsidRPr="00D358EE">
              <w:t>202.06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C6A7" w14:textId="26CAA463" w:rsidR="0031435A" w:rsidRPr="00D358EE" w:rsidRDefault="0031435A" w:rsidP="0031435A">
            <w:pPr>
              <w:pStyle w:val="Text"/>
              <w:jc w:val="center"/>
            </w:pPr>
            <w:r w:rsidRPr="00D358EE">
              <w:t>27.46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CCB6" w14:textId="47113CE9" w:rsidR="0031435A" w:rsidRPr="00D358EE" w:rsidRDefault="0031435A" w:rsidP="0031435A">
            <w:pPr>
              <w:pStyle w:val="Text"/>
              <w:jc w:val="center"/>
            </w:pPr>
            <w:r w:rsidRPr="00D358EE">
              <w:t>165.78</w:t>
            </w:r>
          </w:p>
        </w:tc>
      </w:tr>
      <w:tr w:rsidR="0031435A" w:rsidRPr="00D358EE" w14:paraId="6E1A9286" w14:textId="77777777" w:rsidTr="00562150">
        <w:trPr>
          <w:trHeight w:val="42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BD92" w14:textId="77777777" w:rsidR="0031435A" w:rsidRPr="00854753" w:rsidRDefault="0031435A" w:rsidP="0031435A">
            <w:pPr>
              <w:pStyle w:val="Text"/>
            </w:pPr>
            <w:r w:rsidRPr="00854753">
              <w:t>sp-tau181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4F46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263.71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03FA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279.94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559A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44.18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0CF3D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165.74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05EB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261.96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C909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276.36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2EBF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44.03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50C02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166.15</w:t>
            </w:r>
          </w:p>
        </w:tc>
      </w:tr>
      <w:tr w:rsidR="0031435A" w:rsidRPr="00D358EE" w14:paraId="12A06F6B" w14:textId="77777777" w:rsidTr="00562150">
        <w:trPr>
          <w:trHeight w:val="42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0ACE" w14:textId="77777777" w:rsidR="0031435A" w:rsidRPr="00854753" w:rsidRDefault="0031435A" w:rsidP="0031435A">
            <w:pPr>
              <w:pStyle w:val="Text"/>
            </w:pPr>
            <w:r w:rsidRPr="00854753">
              <w:t>TBV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3882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-309.96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AB7E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-299.22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D990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1.541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94C85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950AD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-311.79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8C5D4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-309.96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2CB5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1.543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1FBAA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168</w:t>
            </w:r>
          </w:p>
        </w:tc>
      </w:tr>
      <w:tr w:rsidR="0031435A" w:rsidRPr="00D358EE" w14:paraId="12EF1505" w14:textId="77777777" w:rsidTr="00562150">
        <w:trPr>
          <w:trHeight w:val="42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1A5D" w14:textId="77777777" w:rsidR="0031435A" w:rsidRPr="00854753" w:rsidRDefault="0031435A" w:rsidP="0031435A">
            <w:pPr>
              <w:pStyle w:val="Text"/>
            </w:pPr>
            <w:r w:rsidRPr="00854753">
              <w:t>tGMV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27FF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-653.47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1CAF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-642.9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1E25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0.207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509A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F1A6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-655.47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2EA5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-653.47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3268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0.21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77AD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168</w:t>
            </w:r>
          </w:p>
        </w:tc>
      </w:tr>
      <w:tr w:rsidR="0031435A" w:rsidRPr="00D358EE" w14:paraId="17A92CB0" w14:textId="77777777" w:rsidTr="00562150">
        <w:trPr>
          <w:trHeight w:val="42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62D3D" w14:textId="77777777" w:rsidR="0031435A" w:rsidRPr="00854753" w:rsidRDefault="0031435A" w:rsidP="0031435A">
            <w:pPr>
              <w:pStyle w:val="Text"/>
            </w:pPr>
            <w:r w:rsidRPr="00854753">
              <w:t>sGMV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87D9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-1275.5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986D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-1264.1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6C87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0.005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7C91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9460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-1276.7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0E93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-1275.5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E063A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0.005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BD55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168</w:t>
            </w:r>
          </w:p>
        </w:tc>
      </w:tr>
      <w:tr w:rsidR="0031435A" w:rsidRPr="00D358EE" w14:paraId="30D7C5BF" w14:textId="77777777" w:rsidTr="00562150">
        <w:trPr>
          <w:trHeight w:val="42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285D" w14:textId="77777777" w:rsidR="0031435A" w:rsidRPr="00854753" w:rsidRDefault="0031435A" w:rsidP="0031435A">
            <w:pPr>
              <w:pStyle w:val="Text"/>
            </w:pPr>
            <w:r w:rsidRPr="00854753">
              <w:t>tWMV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5C1E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-814.97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A6B0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-804.4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EAC32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0.08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0B01D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19FC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-816.97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9D08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-814.97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167E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0.08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D0C4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168</w:t>
            </w:r>
          </w:p>
        </w:tc>
      </w:tr>
      <w:tr w:rsidR="0031435A" w:rsidRPr="00D358EE" w14:paraId="37AEE514" w14:textId="77777777" w:rsidTr="00562150">
        <w:trPr>
          <w:trHeight w:val="866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025B" w14:textId="77777777" w:rsidR="0031435A" w:rsidRPr="00854753" w:rsidRDefault="0031435A" w:rsidP="0031435A">
            <w:pPr>
              <w:pStyle w:val="Text"/>
            </w:pPr>
            <w:r w:rsidRPr="00854753">
              <w:t>Lateral ventricular volume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5252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-1236.2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F7E6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-1221.6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DD971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0.006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A84F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160.27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49386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-1238.2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57B1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-1236.2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FD3D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0.007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BE221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166.3</w:t>
            </w:r>
          </w:p>
        </w:tc>
      </w:tr>
      <w:tr w:rsidR="0031435A" w:rsidRPr="00D358EE" w14:paraId="316650BB" w14:textId="77777777" w:rsidTr="00562150">
        <w:trPr>
          <w:trHeight w:val="866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08FB" w14:textId="77777777" w:rsidR="0031435A" w:rsidRPr="00854753" w:rsidRDefault="0031435A" w:rsidP="0031435A">
            <w:pPr>
              <w:pStyle w:val="Text"/>
            </w:pPr>
            <w:r w:rsidRPr="00854753">
              <w:t>Third ventricular volume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616B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-2441.8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36B6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-2417.7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DD316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6.122e-6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7CD36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163.56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3868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-2437.2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B291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-2431.8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34C7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6.013e-6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7070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165.3</w:t>
            </w:r>
          </w:p>
        </w:tc>
      </w:tr>
      <w:tr w:rsidR="0031435A" w:rsidRPr="00D358EE" w14:paraId="1448F110" w14:textId="77777777" w:rsidTr="00562150">
        <w:trPr>
          <w:trHeight w:val="866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D9D2" w14:textId="77777777" w:rsidR="0031435A" w:rsidRPr="00854753" w:rsidRDefault="0031435A" w:rsidP="0031435A">
            <w:pPr>
              <w:pStyle w:val="Text"/>
            </w:pPr>
            <w:r w:rsidRPr="00854753">
              <w:t>Fourth ventricular volume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167F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-2227.2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CB5F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-2216.2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CF0F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2.0831e-5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3A3B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C3BA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-2228.8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6553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-2227.2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0082E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2.088e-5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69D2F" w14:textId="77777777" w:rsidR="0031435A" w:rsidRPr="00D358EE" w:rsidRDefault="0031435A" w:rsidP="0031435A">
            <w:pPr>
              <w:pStyle w:val="Text"/>
              <w:jc w:val="center"/>
            </w:pPr>
            <w:r w:rsidRPr="00D358EE">
              <w:t>168</w:t>
            </w:r>
          </w:p>
        </w:tc>
      </w:tr>
      <w:tr w:rsidR="000B00CD" w:rsidRPr="00D358EE" w14:paraId="5FBE9812" w14:textId="77777777" w:rsidTr="00562150">
        <w:trPr>
          <w:trHeight w:val="42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B63F" w14:textId="012D3A0C" w:rsidR="000B00CD" w:rsidRPr="00854753" w:rsidRDefault="000B00CD" w:rsidP="000B00CD">
            <w:pPr>
              <w:pStyle w:val="Text"/>
            </w:pPr>
            <w:r w:rsidRPr="00854753">
              <w:t xml:space="preserve">SWMS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7B02" w14:textId="2EB0789F" w:rsidR="000B00CD" w:rsidRPr="00D358EE" w:rsidRDefault="000B00CD" w:rsidP="000B00CD">
            <w:pPr>
              <w:pStyle w:val="Text"/>
              <w:jc w:val="center"/>
            </w:pPr>
            <w:r w:rsidRPr="00D358EE">
              <w:t>815.34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D9B0" w14:textId="5F8AB64D" w:rsidR="000B00CD" w:rsidRPr="00D358EE" w:rsidRDefault="000B00CD" w:rsidP="000B00CD">
            <w:pPr>
              <w:pStyle w:val="Text"/>
              <w:jc w:val="center"/>
            </w:pPr>
            <w:r w:rsidRPr="00D358EE">
              <w:t>834.75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B063C" w14:textId="49C425EE" w:rsidR="000B00CD" w:rsidRPr="00D358EE" w:rsidRDefault="000B00CD" w:rsidP="000B00CD">
            <w:pPr>
              <w:pStyle w:val="Text"/>
              <w:jc w:val="center"/>
            </w:pPr>
            <w:r w:rsidRPr="00D358EE">
              <w:t>1073.0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08B6" w14:textId="05577480" w:rsidR="000B00CD" w:rsidRPr="00D358EE" w:rsidRDefault="000B00CD" w:rsidP="000B00CD">
            <w:pPr>
              <w:pStyle w:val="Text"/>
              <w:jc w:val="center"/>
            </w:pPr>
            <w:r w:rsidRPr="00D358EE">
              <w:t>166.37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EA96" w14:textId="00BFEAE2" w:rsidR="000B00CD" w:rsidRPr="00D358EE" w:rsidRDefault="000B00CD" w:rsidP="000B00CD">
            <w:pPr>
              <w:pStyle w:val="Text"/>
              <w:jc w:val="center"/>
            </w:pPr>
            <w:r w:rsidRPr="00D358EE">
              <w:t>813.04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465F" w14:textId="40271066" w:rsidR="000B00CD" w:rsidRPr="00D358EE" w:rsidRDefault="000B00CD" w:rsidP="000B00CD">
            <w:pPr>
              <w:pStyle w:val="Text"/>
              <w:jc w:val="center"/>
            </w:pPr>
            <w:r w:rsidRPr="00D358EE">
              <w:t>825.63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D8819" w14:textId="44656A17" w:rsidR="000B00CD" w:rsidRPr="00D358EE" w:rsidRDefault="000B00CD" w:rsidP="000B00CD">
            <w:pPr>
              <w:pStyle w:val="Text"/>
              <w:jc w:val="center"/>
            </w:pPr>
            <w:r w:rsidRPr="00D358EE">
              <w:t>1085.8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AFBE8" w14:textId="05B11440" w:rsidR="000B00CD" w:rsidRPr="00D358EE" w:rsidRDefault="000B00CD" w:rsidP="000B00CD">
            <w:pPr>
              <w:pStyle w:val="Text"/>
              <w:jc w:val="center"/>
            </w:pPr>
            <w:r w:rsidRPr="00D358EE">
              <w:t>169</w:t>
            </w:r>
          </w:p>
        </w:tc>
      </w:tr>
      <w:tr w:rsidR="000B00CD" w:rsidRPr="00D358EE" w14:paraId="47FFB134" w14:textId="77777777" w:rsidTr="00562150">
        <w:trPr>
          <w:trHeight w:val="42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CB7F" w14:textId="7FBE96F5" w:rsidR="000B00CD" w:rsidRPr="00854753" w:rsidRDefault="000B00CD" w:rsidP="000B00CD">
            <w:pPr>
              <w:pStyle w:val="Text"/>
            </w:pPr>
            <w:r w:rsidRPr="00854753">
              <w:t>RVPA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A2A1" w14:textId="479C106A" w:rsidR="000B00CD" w:rsidRPr="00D358EE" w:rsidRDefault="000B00CD" w:rsidP="000B00CD">
            <w:pPr>
              <w:pStyle w:val="Text"/>
              <w:jc w:val="center"/>
            </w:pPr>
            <w:r w:rsidRPr="00D358EE">
              <w:t>-524.07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A5A6" w14:textId="1C910410" w:rsidR="000B00CD" w:rsidRPr="00D358EE" w:rsidRDefault="000B00CD" w:rsidP="000B00CD">
            <w:pPr>
              <w:pStyle w:val="Text"/>
              <w:jc w:val="center"/>
            </w:pPr>
            <w:r w:rsidRPr="00D358EE">
              <w:t>-507.82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9CC2" w14:textId="29B7E36C" w:rsidR="000B00CD" w:rsidRPr="00D358EE" w:rsidRDefault="000B00CD" w:rsidP="000B00CD">
            <w:pPr>
              <w:pStyle w:val="Text"/>
              <w:jc w:val="center"/>
            </w:pPr>
            <w:r w:rsidRPr="00D358EE">
              <w:t>0.461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94F2" w14:textId="24ADE44C" w:rsidR="000B00CD" w:rsidRPr="00D358EE" w:rsidRDefault="000B00CD" w:rsidP="000B00CD">
            <w:pPr>
              <w:pStyle w:val="Text"/>
              <w:jc w:val="center"/>
            </w:pPr>
            <w:r w:rsidRPr="00D358EE">
              <w:t>168.77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D2EA" w14:textId="5021FC25" w:rsidR="000B00CD" w:rsidRPr="00D358EE" w:rsidRDefault="000B00CD" w:rsidP="000B00CD">
            <w:pPr>
              <w:pStyle w:val="Text"/>
              <w:jc w:val="center"/>
            </w:pPr>
            <w:r w:rsidRPr="00D358EE">
              <w:t>-525.60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5465" w14:textId="34B543D8" w:rsidR="000B00CD" w:rsidRPr="00D358EE" w:rsidRDefault="000B00CD" w:rsidP="000B00CD">
            <w:pPr>
              <w:pStyle w:val="Text"/>
              <w:jc w:val="center"/>
            </w:pPr>
            <w:r w:rsidRPr="00D358EE">
              <w:t>-512.98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640F" w14:textId="5E65CBFF" w:rsidR="000B00CD" w:rsidRPr="00D358EE" w:rsidRDefault="000B00CD" w:rsidP="000B00CD">
            <w:pPr>
              <w:pStyle w:val="Text"/>
              <w:jc w:val="center"/>
            </w:pPr>
            <w:r w:rsidRPr="00D358EE">
              <w:t>0.464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66439" w14:textId="4D04F3E7" w:rsidR="000B00CD" w:rsidRPr="00D358EE" w:rsidRDefault="000B00CD" w:rsidP="000B00CD">
            <w:pPr>
              <w:pStyle w:val="Text"/>
              <w:jc w:val="center"/>
            </w:pPr>
            <w:r w:rsidRPr="00D358EE">
              <w:t>170</w:t>
            </w:r>
          </w:p>
        </w:tc>
      </w:tr>
      <w:tr w:rsidR="000B00CD" w:rsidRPr="00D358EE" w14:paraId="0E911091" w14:textId="77777777" w:rsidTr="00562150">
        <w:trPr>
          <w:trHeight w:val="434"/>
        </w:trPr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F135" w14:textId="2FF355E7" w:rsidR="000B00CD" w:rsidRPr="00854753" w:rsidRDefault="000B00CD" w:rsidP="000B00CD">
            <w:pPr>
              <w:pStyle w:val="Text"/>
            </w:pPr>
            <w:r w:rsidRPr="00854753">
              <w:t>PRMPCI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4582" w14:textId="395D5023" w:rsidR="000B00CD" w:rsidRPr="00D358EE" w:rsidRDefault="000B00CD" w:rsidP="000B00CD">
            <w:pPr>
              <w:pStyle w:val="Text"/>
              <w:jc w:val="center"/>
            </w:pPr>
            <w:r>
              <w:t>1392.02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8276" w14:textId="3F9595E1" w:rsidR="000B00CD" w:rsidRPr="00D358EE" w:rsidRDefault="000B00CD" w:rsidP="000B00CD">
            <w:pPr>
              <w:pStyle w:val="Text"/>
              <w:jc w:val="center"/>
            </w:pPr>
            <w:r>
              <w:t>1411.34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DAD5" w14:textId="685A8837" w:rsidR="000B00CD" w:rsidRPr="00D358EE" w:rsidRDefault="000B00CD" w:rsidP="000B00CD">
            <w:pPr>
              <w:pStyle w:val="Text"/>
              <w:jc w:val="center"/>
            </w:pPr>
            <w:r>
              <w:t>25186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01DC" w14:textId="53ECC83B" w:rsidR="000B00CD" w:rsidRPr="00D358EE" w:rsidRDefault="000B00CD" w:rsidP="000B00CD">
            <w:pPr>
              <w:pStyle w:val="Text"/>
              <w:jc w:val="center"/>
            </w:pPr>
            <w:r>
              <w:t>171.48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1EA7" w14:textId="1992C44A" w:rsidR="000B00CD" w:rsidRPr="00D358EE" w:rsidRDefault="000B00CD" w:rsidP="000B00CD">
            <w:pPr>
              <w:pStyle w:val="Text"/>
              <w:jc w:val="center"/>
            </w:pPr>
            <w:r>
              <w:t>1389.66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BC52" w14:textId="28E6BBD9" w:rsidR="000B00CD" w:rsidRPr="00D358EE" w:rsidRDefault="000B00CD" w:rsidP="000B00CD">
            <w:pPr>
              <w:pStyle w:val="Text"/>
              <w:jc w:val="center"/>
            </w:pPr>
            <w:r>
              <w:t>1392.02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4C7D" w14:textId="31184DCC" w:rsidR="000B00CD" w:rsidRPr="00D358EE" w:rsidRDefault="000B00CD" w:rsidP="000B00CD">
            <w:pPr>
              <w:pStyle w:val="Text"/>
              <w:jc w:val="center"/>
            </w:pPr>
            <w:r>
              <w:t>25444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21D0" w14:textId="5726453B" w:rsidR="000B00CD" w:rsidRPr="00D358EE" w:rsidRDefault="000B00CD" w:rsidP="000B00CD">
            <w:pPr>
              <w:pStyle w:val="Text"/>
              <w:jc w:val="center"/>
            </w:pPr>
            <w:r>
              <w:t>174</w:t>
            </w:r>
          </w:p>
        </w:tc>
      </w:tr>
    </w:tbl>
    <w:p w14:paraId="6E3542A5" w14:textId="77777777" w:rsidR="001B113A" w:rsidRPr="00D358EE" w:rsidRDefault="001B113A" w:rsidP="001B113A">
      <w:pPr>
        <w:pStyle w:val="Text"/>
        <w:widowControl w:val="0"/>
      </w:pPr>
    </w:p>
    <w:p w14:paraId="1ACB273B" w14:textId="3717C904" w:rsidR="00061C57" w:rsidRDefault="001B113A" w:rsidP="00562150">
      <w:pPr>
        <w:pStyle w:val="Text"/>
        <w:spacing w:line="480" w:lineRule="auto"/>
      </w:pPr>
      <w:r w:rsidRPr="00D358EE">
        <w:rPr>
          <w:i/>
          <w:iCs/>
        </w:rPr>
        <w:t xml:space="preserve">Note. </w:t>
      </w:r>
      <w:r w:rsidRPr="00D358EE">
        <w:t xml:space="preserve">Model 1: </w:t>
      </w:r>
      <w:r w:rsidR="00FE3B89">
        <w:t>M</w:t>
      </w:r>
      <w:r w:rsidRPr="00D358EE">
        <w:t xml:space="preserve">ain model with both non-linear predictors; Model 2: model with non-linear (ACE score) + linear specification (age); DV = dependent variable; AIC = Akaike information criterion; BIC = Bayesian information criterion; df = degrees of freedom; ACE = Adverse Childhood Experience; </w:t>
      </w:r>
      <w:r w:rsidR="0031435A" w:rsidRPr="00D358EE">
        <w:t xml:space="preserve">sGFAP = serum glial fibrillary acidic protein; </w:t>
      </w:r>
      <w:r w:rsidRPr="00D358EE">
        <w:t xml:space="preserve">sNfL = serum neurofilament light chain; sp-tau181 = serum phosphorylated-tau181; TBV = total brain volume; tGMV = total grey matter volume; sGMV = subcortical grey matter volume; tWMV </w:t>
      </w:r>
      <w:r w:rsidRPr="00D358EE">
        <w:lastRenderedPageBreak/>
        <w:t xml:space="preserve">= total white matter volume; </w:t>
      </w:r>
      <w:r w:rsidR="00562150" w:rsidRPr="00D358EE">
        <w:t>SWMS = spatial working memory strategy; RVPA = rapid visual information processing score</w:t>
      </w:r>
      <w:r w:rsidR="00562150">
        <w:t>;</w:t>
      </w:r>
      <w:r w:rsidR="00562150" w:rsidRPr="00D358EE">
        <w:t xml:space="preserve"> PRMPCI = pattern recognition memory percent correct instant</w:t>
      </w:r>
      <w:r w:rsidR="00562150">
        <w:t>.</w:t>
      </w:r>
    </w:p>
    <w:p w14:paraId="712B4991" w14:textId="77777777" w:rsidR="0008316C" w:rsidRPr="0008316C" w:rsidRDefault="0008316C" w:rsidP="0008316C">
      <w:pPr>
        <w:pStyle w:val="EndNoteBibliography"/>
      </w:pPr>
    </w:p>
    <w:p w14:paraId="69CDB687" w14:textId="6EEB49ED" w:rsidR="001B113A" w:rsidRPr="00061C57" w:rsidRDefault="00757873" w:rsidP="0006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lang w:val="en-US"/>
        </w:rPr>
      </w:pPr>
      <w:r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 </w:t>
      </w:r>
      <w:r w:rsidR="001B113A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ST</w:t>
      </w:r>
      <w:r w:rsidR="00A65520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="001B113A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Correlation </w:t>
      </w:r>
      <w:r w:rsidR="00C31D4D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="001B113A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able </w:t>
      </w:r>
      <w:r w:rsidR="00C400C1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="001B113A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etween </w:t>
      </w:r>
      <w:r w:rsidR="00C31D4D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="001B113A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ge, ACE scores, </w:t>
      </w:r>
      <w:r w:rsidR="00C72F89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and </w:t>
      </w:r>
      <w:r w:rsidR="00C31D4D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C72F89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ovariates (</w:t>
      </w:r>
      <w:r w:rsidR="001B113A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psychopathology</w:t>
      </w:r>
      <w:r w:rsidR="00C72F89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&amp;</w:t>
      </w:r>
      <w:r w:rsidR="001B113A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SES</w:t>
      </w:r>
      <w:r w:rsidR="00C72F89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 w:rsidR="001B113A" w:rsidRPr="0022241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13E037AE" w14:textId="77777777" w:rsidR="001B113A" w:rsidRPr="00D358EE" w:rsidRDefault="001B113A" w:rsidP="001B113A">
      <w:pPr>
        <w:pStyle w:val="EndNoteBibliography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87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10"/>
        <w:gridCol w:w="1073"/>
        <w:gridCol w:w="1057"/>
        <w:gridCol w:w="1302"/>
        <w:gridCol w:w="1164"/>
        <w:gridCol w:w="1128"/>
        <w:gridCol w:w="1128"/>
      </w:tblGrid>
      <w:tr w:rsidR="001B113A" w:rsidRPr="00D358EE" w14:paraId="113CE559" w14:textId="77777777" w:rsidTr="004B35D3">
        <w:trPr>
          <w:trHeight w:val="456"/>
        </w:trPr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D180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D352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D6FE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ACE score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C9ED3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BDI-II score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C23D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STAI-trait score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AA34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STAI-state score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F3531A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DSM-IV PTSD</w:t>
            </w:r>
          </w:p>
          <w:p w14:paraId="3EC7C77D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1B113A" w:rsidRPr="00D358EE" w14:paraId="54C32721" w14:textId="77777777" w:rsidTr="004B35D3">
        <w:trPr>
          <w:trHeight w:val="248"/>
        </w:trPr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4020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ACE score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FFB1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EAA3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580B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55F7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ED8E0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92AB51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13A" w:rsidRPr="00D358EE" w14:paraId="38DB13E0" w14:textId="77777777" w:rsidTr="004B35D3">
        <w:trPr>
          <w:trHeight w:val="248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FB9F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 score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EC69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5654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0.512**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BAB8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F565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E149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D8B6CD6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</w:tr>
      <w:tr w:rsidR="001B113A" w:rsidRPr="00D358EE" w14:paraId="664223AB" w14:textId="77777777" w:rsidTr="004B35D3">
        <w:trPr>
          <w:trHeight w:val="248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52D0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 score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D89E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-0.028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042E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0.471**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5060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0.871**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296C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F711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2D3110E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</w:tr>
      <w:tr w:rsidR="001B113A" w:rsidRPr="00D358EE" w14:paraId="171AB25F" w14:textId="77777777" w:rsidTr="004B35D3">
        <w:trPr>
          <w:trHeight w:val="262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524E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 score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457D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AD5F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0.490**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CAA3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0.788**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A0BD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0.828**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3E1D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9C6B501" w14:textId="77777777" w:rsidR="001B113A" w:rsidRPr="00D358EE" w:rsidRDefault="001B113A" w:rsidP="00CA2FFD">
            <w:pPr>
              <w:pStyle w:val="KeinLeerraum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u w:color="000000"/>
                <w:lang w:val="en-US"/>
              </w:rPr>
            </w:pPr>
          </w:p>
        </w:tc>
      </w:tr>
      <w:tr w:rsidR="001B113A" w:rsidRPr="00D358EE" w14:paraId="7082AD10" w14:textId="77777777" w:rsidTr="004B35D3">
        <w:trPr>
          <w:trHeight w:val="16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932A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DSM-IV PTSD score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FBC5A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998B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0.498**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42F6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0.692**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AC8F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0.603**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D7F2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0.561**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7422B44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13A" w:rsidRPr="00D358EE" w14:paraId="2D06EDB3" w14:textId="77777777" w:rsidTr="004B35D3">
        <w:trPr>
          <w:trHeight w:val="461"/>
        </w:trPr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2517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BAF3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-0.207**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BCB6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-0.295**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59A6A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-0.267**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9791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-0.151*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08552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-0.172*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0766FD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-0.267**</w:t>
            </w:r>
          </w:p>
        </w:tc>
      </w:tr>
    </w:tbl>
    <w:p w14:paraId="7DD9B42E" w14:textId="77777777" w:rsidR="001B113A" w:rsidRPr="00D358EE" w:rsidRDefault="001B113A" w:rsidP="001B113A">
      <w:pPr>
        <w:pStyle w:val="EndNoteBibliography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E245D8" w14:textId="196AD410" w:rsidR="00510F1E" w:rsidRDefault="001B113A" w:rsidP="001B113A">
      <w:pPr>
        <w:pStyle w:val="Text"/>
        <w:spacing w:line="480" w:lineRule="auto"/>
      </w:pPr>
      <w:r w:rsidRPr="00D358EE">
        <w:rPr>
          <w:i/>
          <w:iCs/>
        </w:rPr>
        <w:t>Note.</w:t>
      </w:r>
      <w:r w:rsidRPr="00D358EE">
        <w:t xml:space="preserve"> </w:t>
      </w:r>
      <w:bookmarkStart w:id="2" w:name="_Hlk159860181"/>
      <w:r w:rsidRPr="00D358EE">
        <w:t>Pearson r</w:t>
      </w:r>
      <w:bookmarkEnd w:id="2"/>
      <w:r w:rsidRPr="00D358EE">
        <w:t xml:space="preserve">; ACE = Adverse Childhood Experience; BDI-II = Beck’s Depression Inventory; STAI = State-Trait-Anxiety Inventory; DSM-IV PTSD = Diagnostic and Statistical Manual of Mental Disorders Posttraumatic Stress Disorder; SES = current socioeconomic status; ** </w:t>
      </w:r>
      <w:r w:rsidR="000831D9">
        <w:t>p</w:t>
      </w:r>
      <w:r w:rsidRPr="00D358EE">
        <w:t xml:space="preserve"> &lt; 0.01.</w:t>
      </w:r>
    </w:p>
    <w:p w14:paraId="326BA5BC" w14:textId="2FC20E1F" w:rsidR="0031435A" w:rsidRPr="00510F1E" w:rsidRDefault="00510F1E" w:rsidP="00510F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rPr>
          <w:rFonts w:ascii="Times New Roman" w:eastAsia="Arial Unicode MS" w:hAnsi="Times New Roman" w:cs="Arial Unicode MS"/>
          <w:kern w:val="2"/>
          <w:sz w:val="20"/>
          <w:szCs w:val="20"/>
          <w:u w:color="000000"/>
          <w:lang w:val="en-US"/>
        </w:rPr>
      </w:pPr>
      <w:r w:rsidRPr="00222415">
        <w:rPr>
          <w:lang w:val="en-US"/>
        </w:rPr>
        <w:br w:type="page"/>
      </w:r>
    </w:p>
    <w:p w14:paraId="61A39915" w14:textId="61903F89" w:rsidR="001B113A" w:rsidRPr="00D358EE" w:rsidRDefault="00757873" w:rsidP="00331F17">
      <w:pPr>
        <w:pStyle w:val="EndNoteBibliography"/>
        <w:spacing w:line="48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58EE">
        <w:rPr>
          <w:rFonts w:ascii="Times New Roman" w:hAnsi="Times New Roman"/>
          <w:b/>
          <w:bCs/>
          <w:sz w:val="20"/>
          <w:szCs w:val="20"/>
        </w:rPr>
        <w:lastRenderedPageBreak/>
        <w:t xml:space="preserve">Table </w:t>
      </w:r>
      <w:r w:rsidR="001B113A" w:rsidRPr="00D358EE">
        <w:rPr>
          <w:rFonts w:ascii="Times New Roman" w:hAnsi="Times New Roman"/>
          <w:b/>
          <w:bCs/>
          <w:sz w:val="20"/>
          <w:szCs w:val="20"/>
        </w:rPr>
        <w:t>ST</w:t>
      </w:r>
      <w:r w:rsidR="00A65520" w:rsidRPr="00D358EE">
        <w:rPr>
          <w:rFonts w:ascii="Times New Roman" w:hAnsi="Times New Roman"/>
          <w:b/>
          <w:bCs/>
          <w:sz w:val="20"/>
          <w:szCs w:val="20"/>
        </w:rPr>
        <w:t>4</w:t>
      </w:r>
      <w:r w:rsidR="001B113A" w:rsidRPr="00D358EE">
        <w:rPr>
          <w:rFonts w:ascii="Times New Roman" w:hAnsi="Times New Roman"/>
          <w:b/>
          <w:bCs/>
          <w:sz w:val="20"/>
          <w:szCs w:val="20"/>
        </w:rPr>
        <w:t xml:space="preserve">. Estimates and </w:t>
      </w:r>
      <w:r w:rsidR="00854027">
        <w:rPr>
          <w:rFonts w:ascii="Times New Roman" w:hAnsi="Times New Roman"/>
          <w:b/>
          <w:bCs/>
          <w:sz w:val="20"/>
          <w:szCs w:val="20"/>
        </w:rPr>
        <w:t>p</w:t>
      </w:r>
      <w:r w:rsidR="00D21C6F" w:rsidRPr="00D358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400C1">
        <w:rPr>
          <w:rFonts w:ascii="Times New Roman" w:hAnsi="Times New Roman"/>
          <w:b/>
          <w:bCs/>
          <w:sz w:val="20"/>
          <w:szCs w:val="20"/>
        </w:rPr>
        <w:t>V</w:t>
      </w:r>
      <w:r w:rsidR="001B113A" w:rsidRPr="00D358EE">
        <w:rPr>
          <w:rFonts w:ascii="Times New Roman" w:hAnsi="Times New Roman"/>
          <w:b/>
          <w:bCs/>
          <w:sz w:val="20"/>
          <w:szCs w:val="20"/>
        </w:rPr>
        <w:t xml:space="preserve">alues for </w:t>
      </w:r>
      <w:r w:rsidR="00C31D4D">
        <w:rPr>
          <w:rFonts w:ascii="Times New Roman" w:hAnsi="Times New Roman"/>
          <w:b/>
          <w:bCs/>
          <w:sz w:val="20"/>
          <w:szCs w:val="20"/>
        </w:rPr>
        <w:t>M</w:t>
      </w:r>
      <w:r w:rsidR="001B113A" w:rsidRPr="00D358EE">
        <w:rPr>
          <w:rFonts w:ascii="Times New Roman" w:hAnsi="Times New Roman"/>
          <w:b/>
          <w:bCs/>
          <w:sz w:val="20"/>
          <w:szCs w:val="20"/>
        </w:rPr>
        <w:t xml:space="preserve">ain </w:t>
      </w:r>
      <w:r w:rsidR="00C31D4D">
        <w:rPr>
          <w:rFonts w:ascii="Times New Roman" w:hAnsi="Times New Roman"/>
          <w:b/>
          <w:bCs/>
          <w:sz w:val="20"/>
          <w:szCs w:val="20"/>
        </w:rPr>
        <w:t>M</w:t>
      </w:r>
      <w:r w:rsidR="001B113A" w:rsidRPr="00D358EE">
        <w:rPr>
          <w:rFonts w:ascii="Times New Roman" w:hAnsi="Times New Roman"/>
          <w:b/>
          <w:bCs/>
          <w:sz w:val="20"/>
          <w:szCs w:val="20"/>
        </w:rPr>
        <w:t xml:space="preserve">odel with and without </w:t>
      </w:r>
      <w:r w:rsidR="00C31D4D">
        <w:rPr>
          <w:rFonts w:ascii="Times New Roman" w:hAnsi="Times New Roman"/>
          <w:b/>
          <w:bCs/>
          <w:sz w:val="20"/>
          <w:szCs w:val="20"/>
        </w:rPr>
        <w:t>C</w:t>
      </w:r>
      <w:r w:rsidR="001B113A" w:rsidRPr="00D358EE">
        <w:rPr>
          <w:rFonts w:ascii="Times New Roman" w:hAnsi="Times New Roman"/>
          <w:b/>
          <w:bCs/>
          <w:sz w:val="20"/>
          <w:szCs w:val="20"/>
        </w:rPr>
        <w:t xml:space="preserve">ovariates </w:t>
      </w:r>
    </w:p>
    <w:tbl>
      <w:tblPr>
        <w:tblStyle w:val="TableNormal1"/>
        <w:tblW w:w="9312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99"/>
        <w:gridCol w:w="1503"/>
        <w:gridCol w:w="1502"/>
        <w:gridCol w:w="1502"/>
        <w:gridCol w:w="1503"/>
        <w:gridCol w:w="1503"/>
      </w:tblGrid>
      <w:tr w:rsidR="001B113A" w:rsidRPr="00D358EE" w14:paraId="6541D529" w14:textId="77777777" w:rsidTr="00CA2FFD">
        <w:trPr>
          <w:trHeight w:val="662"/>
        </w:trPr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9FDB" w14:textId="556F7499" w:rsidR="001B113A" w:rsidRPr="00D358EE" w:rsidRDefault="00854753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7D9B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Covariate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967A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 estimate (Model 1)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134E" w14:textId="77777777" w:rsidR="00854027" w:rsidRPr="00D358EE" w:rsidRDefault="00854027" w:rsidP="00854027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  <w:p w14:paraId="097DACC2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(Model 1)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41E1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 estimate (Model 3)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1F71" w14:textId="082EFB27" w:rsidR="001B113A" w:rsidRPr="00D358EE" w:rsidRDefault="00854027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3D009C"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13A"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  <w:p w14:paraId="29600F90" w14:textId="77777777" w:rsidR="001B113A" w:rsidRPr="00D358EE" w:rsidRDefault="001B113A" w:rsidP="00CA2FFD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(Model 3)</w:t>
            </w:r>
          </w:p>
        </w:tc>
      </w:tr>
      <w:tr w:rsidR="00407E6B" w:rsidRPr="00D358EE" w14:paraId="65869AE8" w14:textId="77777777" w:rsidTr="00CA2FFD">
        <w:trPr>
          <w:trHeight w:val="217"/>
        </w:trPr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7B89" w14:textId="1974A52C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sGFAP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F0FD" w14:textId="061ED038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FF8EC" w14:textId="53AA364F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4.346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3581" w14:textId="44C6D2C2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A3915" w14:textId="28CB7B3F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C9C58" w14:textId="4668D668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</w:tr>
      <w:tr w:rsidR="00407E6B" w:rsidRPr="00D358EE" w14:paraId="0B9F58DE" w14:textId="77777777" w:rsidTr="00CA2FFD">
        <w:trPr>
          <w:trHeight w:val="21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F1A64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A0A8" w14:textId="07A542E4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107D9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0039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763A" w14:textId="312C12E5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48216" w14:textId="0EECA04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0.528</w:t>
            </w:r>
          </w:p>
        </w:tc>
      </w:tr>
      <w:tr w:rsidR="00407E6B" w:rsidRPr="00D358EE" w14:paraId="3F63F308" w14:textId="77777777" w:rsidTr="00CA2FFD">
        <w:trPr>
          <w:trHeight w:val="21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20EC1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9448" w14:textId="36C0F413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5FE7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0147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CAE6" w14:textId="3FD02102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A5AF" w14:textId="45627731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</w:tr>
      <w:tr w:rsidR="00407E6B" w:rsidRPr="00D358EE" w14:paraId="19ED6150" w14:textId="77777777" w:rsidTr="00CA2FFD">
        <w:trPr>
          <w:trHeight w:val="21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86F462E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4F77" w14:textId="654AA87E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72B4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4180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AABC" w14:textId="2918EF73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C2F7" w14:textId="68E95612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0.923</w:t>
            </w:r>
          </w:p>
        </w:tc>
      </w:tr>
      <w:tr w:rsidR="00407E6B" w:rsidRPr="00D358EE" w14:paraId="6FAAA446" w14:textId="77777777" w:rsidTr="00CA2FFD">
        <w:trPr>
          <w:trHeight w:val="22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2BAFCE6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DE4C" w14:textId="0ED0DF2B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BBCF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E8DE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3916" w14:textId="01C30623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A974" w14:textId="6F4FA949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0.988</w:t>
            </w:r>
          </w:p>
        </w:tc>
      </w:tr>
      <w:tr w:rsidR="00407E6B" w:rsidRPr="00D358EE" w14:paraId="3DB6CED7" w14:textId="77777777" w:rsidTr="00CA2FFD">
        <w:trPr>
          <w:trHeight w:val="222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6D092B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7422" w14:textId="4CDF8AF9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416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C864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7D58" w14:textId="4A4EA1A2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6AB7" w14:textId="7DEF019E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</w:tr>
      <w:tr w:rsidR="00407E6B" w:rsidRPr="00D358EE" w14:paraId="1F13AE72" w14:textId="77777777" w:rsidTr="00CA2FFD">
        <w:trPr>
          <w:trHeight w:val="222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D836" w14:textId="408F07D4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sNfL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5BBF" w14:textId="1CAD3875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76D7" w14:textId="1F9C5D9E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4.674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08BF" w14:textId="05916B5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5DC7" w14:textId="567299FD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4.566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685B0" w14:textId="28F13E9C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</w:tr>
      <w:tr w:rsidR="00407E6B" w:rsidRPr="00D358EE" w14:paraId="3D184048" w14:textId="77777777" w:rsidTr="00CA2FFD">
        <w:trPr>
          <w:trHeight w:val="21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118087B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A31F3" w14:textId="5A37B1B5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F3E4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700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D211" w14:textId="6E0B189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-0.017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BD21B" w14:textId="3DA2853C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</w:tr>
      <w:tr w:rsidR="00407E6B" w:rsidRPr="00D358EE" w14:paraId="543844F4" w14:textId="77777777" w:rsidTr="00CA2FFD">
        <w:trPr>
          <w:trHeight w:val="21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6666E844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57F1" w14:textId="4B81EA1F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66DB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C32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FEEB" w14:textId="502889B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31C0" w14:textId="06ACBF40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</w:tc>
      </w:tr>
      <w:tr w:rsidR="00407E6B" w:rsidRPr="00D358EE" w14:paraId="7C53B3A1" w14:textId="77777777" w:rsidTr="00CA2FFD">
        <w:trPr>
          <w:trHeight w:val="21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DBA1E72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B675" w14:textId="08ABECB4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856F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F8D8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6A89" w14:textId="2C82FC62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3CB1C" w14:textId="31C36AFB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0.054</w:t>
            </w:r>
          </w:p>
        </w:tc>
      </w:tr>
      <w:tr w:rsidR="00407E6B" w:rsidRPr="00D358EE" w14:paraId="69DB01A5" w14:textId="77777777" w:rsidTr="00CA2FFD">
        <w:trPr>
          <w:trHeight w:val="22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1F2C1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1B57" w14:textId="6375FE1F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CB66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C605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8FFA" w14:textId="44B46B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1B59" w14:textId="7A945434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0.281</w:t>
            </w:r>
          </w:p>
        </w:tc>
      </w:tr>
      <w:tr w:rsidR="00407E6B" w:rsidRPr="00D358EE" w14:paraId="068D69E6" w14:textId="77777777" w:rsidTr="0031435A">
        <w:trPr>
          <w:trHeight w:val="222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DAFF65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811D" w14:textId="71D01931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EA97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470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66F0" w14:textId="1CD52B7A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B4EB" w14:textId="29EB9D5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</w:tr>
      <w:tr w:rsidR="00407E6B" w:rsidRPr="00D358EE" w14:paraId="05777573" w14:textId="77777777" w:rsidTr="0031435A">
        <w:trPr>
          <w:trHeight w:val="222"/>
        </w:trPr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5DD0" w14:textId="604F65B6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sp-tau181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FCC8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670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3.089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B11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A91F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033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0.945</w:t>
            </w:r>
          </w:p>
        </w:tc>
      </w:tr>
      <w:tr w:rsidR="00407E6B" w:rsidRPr="00D358EE" w14:paraId="08C1AEE1" w14:textId="77777777" w:rsidTr="0031435A">
        <w:trPr>
          <w:trHeight w:val="212"/>
        </w:trPr>
        <w:tc>
          <w:tcPr>
            <w:tcW w:w="179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2E17FE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0442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200E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AF3F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AEEE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-0.022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3CA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</w:tr>
      <w:tr w:rsidR="00407E6B" w:rsidRPr="00D358EE" w14:paraId="35E1D13D" w14:textId="77777777" w:rsidTr="00CA2FFD">
        <w:trPr>
          <w:trHeight w:val="21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5E9EA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D10E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ABC6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B2C7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730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B62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</w:tr>
      <w:tr w:rsidR="00407E6B" w:rsidRPr="00D358EE" w14:paraId="0DC7C896" w14:textId="77777777" w:rsidTr="00CA2FFD">
        <w:trPr>
          <w:trHeight w:val="212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324D26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95B18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863B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1018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38AB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CAB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</w:tr>
      <w:tr w:rsidR="00407E6B" w:rsidRPr="00D358EE" w14:paraId="1BC6B7A4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466E5A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21B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17B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EA3D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9A5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AAE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</w:tr>
      <w:tr w:rsidR="00407E6B" w:rsidRPr="00D358EE" w14:paraId="56E49722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FBFE2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088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410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BDFFE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F86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34FAE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</w:tr>
      <w:tr w:rsidR="00407E6B" w:rsidRPr="00D358EE" w14:paraId="3F4BEFA0" w14:textId="77777777" w:rsidTr="00CA2FFD">
        <w:trPr>
          <w:trHeight w:val="217"/>
        </w:trPr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A86D3C9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TBV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9718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3BB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1767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932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E72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</w:tr>
      <w:tr w:rsidR="00407E6B" w:rsidRPr="00D358EE" w14:paraId="06FB9C83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F3492A8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B2672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E77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8F7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A025B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1807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</w:tr>
      <w:tr w:rsidR="00407E6B" w:rsidRPr="00D358EE" w14:paraId="20EC865F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DB00A8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EA8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0E72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5027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051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85BF5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0.754</w:t>
            </w:r>
          </w:p>
        </w:tc>
      </w:tr>
      <w:tr w:rsidR="00407E6B" w:rsidRPr="00D358EE" w14:paraId="65DB4858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CEB9F1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E2A4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95E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AC96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B3C8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EFD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0.433</w:t>
            </w:r>
          </w:p>
        </w:tc>
      </w:tr>
      <w:tr w:rsidR="00407E6B" w:rsidRPr="00D358EE" w14:paraId="7DA6E1F8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87337E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7965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FC8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4D1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6696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-0.044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24110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</w:tr>
      <w:tr w:rsidR="00407E6B" w:rsidRPr="00D358EE" w14:paraId="52F7088D" w14:textId="77777777" w:rsidTr="00194C9F">
        <w:trPr>
          <w:trHeight w:val="217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37DB29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F754F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212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7C92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BBE2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66E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0.396</w:t>
            </w:r>
          </w:p>
        </w:tc>
      </w:tr>
      <w:tr w:rsidR="00407E6B" w:rsidRPr="00D358EE" w14:paraId="704571C8" w14:textId="77777777" w:rsidTr="00CA2FFD">
        <w:trPr>
          <w:trHeight w:val="217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A0FED40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tGMV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9CE6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8E592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C67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A9696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F9EA2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</w:tr>
      <w:tr w:rsidR="00407E6B" w:rsidRPr="00D358EE" w14:paraId="3005A65D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32B0A0E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936E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9C5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2E25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082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6BCF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0.834</w:t>
            </w:r>
          </w:p>
        </w:tc>
      </w:tr>
      <w:tr w:rsidR="00407E6B" w:rsidRPr="00D358EE" w14:paraId="07B46687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63CC002B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6F47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C1B9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A24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A5D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F866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0.606</w:t>
            </w:r>
          </w:p>
        </w:tc>
      </w:tr>
      <w:tr w:rsidR="00407E6B" w:rsidRPr="00D358EE" w14:paraId="21F1CA93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ECE109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A954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DD00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0889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712B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732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</w:tr>
      <w:tr w:rsidR="00407E6B" w:rsidRPr="00D358EE" w14:paraId="71130FE3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3F54078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17FC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D099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644F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1CAA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8A3D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0.422</w:t>
            </w:r>
          </w:p>
        </w:tc>
      </w:tr>
      <w:tr w:rsidR="00407E6B" w:rsidRPr="00D358EE" w14:paraId="36D5C1BC" w14:textId="77777777" w:rsidTr="00194C9F">
        <w:trPr>
          <w:trHeight w:val="217"/>
        </w:trPr>
        <w:tc>
          <w:tcPr>
            <w:tcW w:w="17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56D7B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5BE74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5FE2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0F30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4CC1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30F3" w14:textId="77777777" w:rsidR="00407E6B" w:rsidRPr="00D358EE" w:rsidRDefault="00407E6B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</w:tr>
      <w:tr w:rsidR="00194C9F" w:rsidRPr="00D358EE" w14:paraId="025963C4" w14:textId="77777777" w:rsidTr="00194C9F">
        <w:trPr>
          <w:trHeight w:val="217"/>
        </w:trPr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8ACCA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96592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A87F9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57EA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7A88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9B08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C9F" w:rsidRPr="00D358EE" w14:paraId="67843220" w14:textId="77777777" w:rsidTr="00CA2FFD">
        <w:trPr>
          <w:trHeight w:val="217"/>
        </w:trPr>
        <w:tc>
          <w:tcPr>
            <w:tcW w:w="17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551239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DB24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BDB08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8B6A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71C41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ACAD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C9F" w:rsidRPr="00D358EE" w14:paraId="63D5ADD6" w14:textId="77777777" w:rsidTr="00510F1E">
        <w:trPr>
          <w:trHeight w:val="217"/>
        </w:trPr>
        <w:tc>
          <w:tcPr>
            <w:tcW w:w="17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83E830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6F3A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CC3B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A3D6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F2F9E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A94C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C9F" w:rsidRPr="00D358EE" w14:paraId="1BAD140B" w14:textId="77777777" w:rsidTr="00510F1E">
        <w:trPr>
          <w:trHeight w:val="217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AD3CB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DF8C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DEAA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13AC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8753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4CD4" w14:textId="77777777" w:rsidR="00194C9F" w:rsidRPr="00D358EE" w:rsidRDefault="00194C9F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E" w:rsidRPr="00D358EE" w14:paraId="268B9371" w14:textId="77777777" w:rsidTr="00510F1E">
        <w:trPr>
          <w:trHeight w:val="217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7CFDE" w14:textId="77777777" w:rsidR="00510F1E" w:rsidRPr="00D358EE" w:rsidRDefault="00510F1E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760E" w14:textId="77777777" w:rsidR="00510F1E" w:rsidRPr="00D358EE" w:rsidRDefault="00510F1E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BB0C" w14:textId="77777777" w:rsidR="00510F1E" w:rsidRPr="00D358EE" w:rsidRDefault="00510F1E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8B88" w14:textId="77777777" w:rsidR="00510F1E" w:rsidRPr="00D358EE" w:rsidRDefault="00510F1E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4C7E1" w14:textId="77777777" w:rsidR="00510F1E" w:rsidRPr="00D358EE" w:rsidRDefault="00510F1E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FD05" w14:textId="77777777" w:rsidR="00510F1E" w:rsidRPr="00D358EE" w:rsidRDefault="00510F1E" w:rsidP="00407E6B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C9F" w:rsidRPr="00D358EE" w14:paraId="7188ACA2" w14:textId="77777777" w:rsidTr="00510F1E">
        <w:trPr>
          <w:trHeight w:val="217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6B838" w14:textId="42A48404" w:rsidR="00194C9F" w:rsidRPr="00D358EE" w:rsidRDefault="00854753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2E77" w14:textId="2EB4BE58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Covariate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30D8" w14:textId="66F6F1D6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 estimate (Model 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2F12" w14:textId="02AB5B03" w:rsidR="00854027" w:rsidRPr="00D358EE" w:rsidRDefault="00854027" w:rsidP="00854027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  <w:p w14:paraId="52DBAF5A" w14:textId="1CE75523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(Model 1)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2FB37" w14:textId="71B9F189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 estimate (Model 3)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FC19" w14:textId="632FA2DF" w:rsidR="00194C9F" w:rsidRPr="00D358EE" w:rsidRDefault="00854027" w:rsidP="00194C9F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194C9F"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  <w:p w14:paraId="2ECC5FEC" w14:textId="4D9B1124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(Model 3)</w:t>
            </w:r>
          </w:p>
        </w:tc>
      </w:tr>
      <w:tr w:rsidR="00194C9F" w:rsidRPr="00D358EE" w14:paraId="357FBAE2" w14:textId="77777777" w:rsidTr="00194C9F">
        <w:trPr>
          <w:trHeight w:val="217"/>
        </w:trPr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1762516" w14:textId="7FC154BD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tWMV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840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ABB8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3.002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68A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D2B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3.001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65D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</w:tr>
      <w:tr w:rsidR="00194C9F" w:rsidRPr="00D358EE" w14:paraId="460CE600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03143A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FF1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C94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B29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FFC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721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</w:tr>
      <w:tr w:rsidR="00194C9F" w:rsidRPr="00D358EE" w14:paraId="3B32C106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E05B5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C6A5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BC0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C8E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615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0FC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0.437</w:t>
            </w:r>
          </w:p>
        </w:tc>
      </w:tr>
      <w:tr w:rsidR="00194C9F" w:rsidRPr="00D358EE" w14:paraId="3B8E0DF7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523CF7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91E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E89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C00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7CF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FC1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</w:tr>
      <w:tr w:rsidR="00194C9F" w:rsidRPr="00D358EE" w14:paraId="0E1B380E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3BA84E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CF3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F14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4C9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6ED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E44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</w:tr>
      <w:tr w:rsidR="00194C9F" w:rsidRPr="00D358EE" w14:paraId="225768AD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422B8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CDF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09C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954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559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DC9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0.429</w:t>
            </w:r>
          </w:p>
        </w:tc>
      </w:tr>
      <w:tr w:rsidR="00194C9F" w:rsidRPr="00D358EE" w14:paraId="338D1620" w14:textId="77777777" w:rsidTr="00CA2FFD">
        <w:trPr>
          <w:trHeight w:val="217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E576F1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sGMV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BE2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F73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3.001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4F7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96A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038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</w:tr>
      <w:tr w:rsidR="00194C9F" w:rsidRPr="00D358EE" w14:paraId="2B278301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6968E2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82A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475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F6B5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B70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74B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0.646</w:t>
            </w:r>
          </w:p>
        </w:tc>
      </w:tr>
      <w:tr w:rsidR="00194C9F" w:rsidRPr="00D358EE" w14:paraId="538FD7D7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5D9790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0BA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F6C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8DE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A28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6ACC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0.723</w:t>
            </w:r>
          </w:p>
        </w:tc>
      </w:tr>
      <w:tr w:rsidR="00194C9F" w:rsidRPr="00D358EE" w14:paraId="77AAD6D1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5822C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232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3FC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90B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F41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7BDD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0.387</w:t>
            </w:r>
          </w:p>
        </w:tc>
      </w:tr>
      <w:tr w:rsidR="00194C9F" w:rsidRPr="00D358EE" w14:paraId="2F0A5006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6FFFF77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DE3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7DD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216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622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738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</w:tr>
      <w:tr w:rsidR="00194C9F" w:rsidRPr="00D358EE" w14:paraId="5C82F3C1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ACB65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B2DD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B14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BE2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963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90B9" w14:textId="5738BCFC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</w:tr>
      <w:tr w:rsidR="00194C9F" w:rsidRPr="00D358EE" w14:paraId="2965233E" w14:textId="77777777" w:rsidTr="00CA2FFD">
        <w:trPr>
          <w:trHeight w:val="217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6CE183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Lateral ventricular volume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EAE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E80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6.164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1AC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3F4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5.706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56D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</w:tr>
      <w:tr w:rsidR="00194C9F" w:rsidRPr="00D358EE" w14:paraId="47834569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805DBE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16F8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572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5DD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B43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2A7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</w:tr>
      <w:tr w:rsidR="00194C9F" w:rsidRPr="00D358EE" w14:paraId="1CDEFB0E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120A998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7A7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406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FA0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980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912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0.756</w:t>
            </w:r>
          </w:p>
        </w:tc>
      </w:tr>
      <w:tr w:rsidR="00194C9F" w:rsidRPr="00D358EE" w14:paraId="50FA3F4E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1520DF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B52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220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B74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940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E44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0.556</w:t>
            </w:r>
          </w:p>
        </w:tc>
      </w:tr>
      <w:tr w:rsidR="00194C9F" w:rsidRPr="00D358EE" w14:paraId="2E15E7AC" w14:textId="77777777" w:rsidTr="00194C9F">
        <w:trPr>
          <w:trHeight w:val="217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5B6B4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4C4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26F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B06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834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6AE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</w:tr>
      <w:tr w:rsidR="00194C9F" w:rsidRPr="00D358EE" w14:paraId="305ED87F" w14:textId="77777777" w:rsidTr="00194C9F">
        <w:trPr>
          <w:trHeight w:val="217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FDA9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74E0" w14:textId="6D641F2C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D7AA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661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4404" w14:textId="41A60603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281D" w14:textId="194175C3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0.616</w:t>
            </w:r>
          </w:p>
        </w:tc>
      </w:tr>
      <w:tr w:rsidR="00194C9F" w:rsidRPr="00D358EE" w14:paraId="35DEF02A" w14:textId="77777777" w:rsidTr="00194C9F">
        <w:trPr>
          <w:trHeight w:val="217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EB0EB7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Third ventricular volume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C37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C11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4.367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4C4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0CD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3.519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C9B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194C9F" w:rsidRPr="00D358EE" w14:paraId="3820B7F6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4B03DF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39B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024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9E6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E21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570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0.786</w:t>
            </w:r>
          </w:p>
        </w:tc>
      </w:tr>
      <w:tr w:rsidR="00194C9F" w:rsidRPr="00D358EE" w14:paraId="6944C694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A3E263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019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EAF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E3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03E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B8B1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0.597</w:t>
            </w:r>
          </w:p>
        </w:tc>
      </w:tr>
      <w:tr w:rsidR="00194C9F" w:rsidRPr="00D358EE" w14:paraId="39A38385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E82FCF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C04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5BD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D37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A16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C65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</w:tr>
      <w:tr w:rsidR="00194C9F" w:rsidRPr="00D358EE" w14:paraId="2868C9E3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F95AA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DAF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F9D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8B3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9C3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BEA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0.462</w:t>
            </w:r>
          </w:p>
        </w:tc>
      </w:tr>
      <w:tr w:rsidR="00194C9F" w:rsidRPr="00D358EE" w14:paraId="1B492B86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15CC4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80B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9EA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6DE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4FD1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6FF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</w:tr>
      <w:tr w:rsidR="00194C9F" w:rsidRPr="00D358EE" w14:paraId="1DADD74B" w14:textId="77777777" w:rsidTr="00CA2FFD">
        <w:trPr>
          <w:trHeight w:val="217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17654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Fourth ventricular volume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5E6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BC0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3.002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AA5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0.257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962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3.003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B4C6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</w:tr>
      <w:tr w:rsidR="00194C9F" w:rsidRPr="00D358EE" w14:paraId="076997E2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129189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F3A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7B5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E11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033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A9F2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0.738</w:t>
            </w:r>
          </w:p>
        </w:tc>
      </w:tr>
      <w:tr w:rsidR="00194C9F" w:rsidRPr="00D358EE" w14:paraId="46F2736D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8F4695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A0F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47D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61A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BC8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3D4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</w:tr>
      <w:tr w:rsidR="00194C9F" w:rsidRPr="00D358EE" w14:paraId="784B5DF8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E42F8C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145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8D6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421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A49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74C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</w:tr>
      <w:tr w:rsidR="00194C9F" w:rsidRPr="00D358EE" w14:paraId="357D6126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E60E53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2B9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647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2524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F28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6768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0.366</w:t>
            </w:r>
          </w:p>
        </w:tc>
      </w:tr>
      <w:tr w:rsidR="00194C9F" w:rsidRPr="00D358EE" w14:paraId="75D944B1" w14:textId="77777777" w:rsidTr="00E51DCD">
        <w:trPr>
          <w:trHeight w:val="217"/>
        </w:trPr>
        <w:tc>
          <w:tcPr>
            <w:tcW w:w="17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04B55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94F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2FA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3A8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733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&lt; -0.001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7F6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</w:tr>
      <w:tr w:rsidR="00194C9F" w:rsidRPr="00D358EE" w14:paraId="78B6023D" w14:textId="77777777" w:rsidTr="00E51DCD">
        <w:trPr>
          <w:trHeight w:val="217"/>
        </w:trPr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F154CB" w14:textId="77777777" w:rsidR="00194C9F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4DE35" w14:textId="77777777" w:rsidR="00194C9F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9CB7F" w14:textId="77777777" w:rsidR="00194C9F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41FE7" w14:textId="77777777" w:rsidR="00194C9F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CFBC8" w14:textId="77777777" w:rsidR="00194C9F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1E428" w14:textId="77777777" w:rsidR="00194C9F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4B51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2FD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C6F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D21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605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C49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CD" w:rsidRPr="00D358EE" w14:paraId="705EE17A" w14:textId="77777777" w:rsidTr="00E51DCD">
        <w:trPr>
          <w:trHeight w:val="217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DDDBC" w14:textId="77777777" w:rsidR="00E51DCD" w:rsidRDefault="00E51DCD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03B0E" w14:textId="77777777" w:rsidR="00E51DCD" w:rsidRPr="00D358EE" w:rsidRDefault="00E51DCD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660C" w14:textId="77777777" w:rsidR="00E51DCD" w:rsidRPr="00D358EE" w:rsidRDefault="00E51DCD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5ABA9" w14:textId="77777777" w:rsidR="00E51DCD" w:rsidRPr="00D358EE" w:rsidRDefault="00E51DCD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28F2" w14:textId="77777777" w:rsidR="00E51DCD" w:rsidRPr="00D358EE" w:rsidRDefault="00E51DCD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8862" w14:textId="77777777" w:rsidR="00E51DCD" w:rsidRPr="00D358EE" w:rsidRDefault="00E51DCD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C9F" w:rsidRPr="00D358EE" w14:paraId="40844E54" w14:textId="77777777" w:rsidTr="00E51DCD">
        <w:trPr>
          <w:trHeight w:val="217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FEE47" w14:textId="1722E6D8" w:rsidR="00194C9F" w:rsidRPr="00D358EE" w:rsidRDefault="00854753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F429" w14:textId="252EB1C1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Covariate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7E9E" w14:textId="0B66108F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 estimate (Model 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F073" w14:textId="76266EBF" w:rsidR="00194C9F" w:rsidRPr="00D358EE" w:rsidRDefault="008A731E" w:rsidP="00194C9F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194C9F"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  <w:p w14:paraId="5D21564D" w14:textId="443655F3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(Model 1)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BF2F" w14:textId="738C33E0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Coefficient estimate (Model 3)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0817" w14:textId="3312A147" w:rsidR="00194C9F" w:rsidRPr="00D358EE" w:rsidRDefault="008A731E" w:rsidP="00194C9F">
            <w:pPr>
              <w:pStyle w:val="KeinLeerrau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194C9F"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  <w:p w14:paraId="7BCB4789" w14:textId="29D653F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(Model 3)</w:t>
            </w:r>
          </w:p>
        </w:tc>
      </w:tr>
      <w:tr w:rsidR="00A559F4" w:rsidRPr="00D358EE" w14:paraId="1F13B393" w14:textId="77777777" w:rsidTr="00194C9F">
        <w:trPr>
          <w:trHeight w:val="217"/>
        </w:trPr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B2D35EF" w14:textId="6703F30F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SWMS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E06E" w14:textId="4BEC6D74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07DD5" w14:textId="6D7219B5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3.706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0BC0" w14:textId="3D94E1C2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B302" w14:textId="527A9B55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2553" w14:textId="2ED74E13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A559F4" w:rsidRPr="00D358EE" w14:paraId="233306DB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1DCE0BF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F121" w14:textId="2D76060A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4E7D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E08A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BA6B" w14:textId="5C8A76D0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E5BC3" w14:textId="6F1CD30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0.984</w:t>
            </w:r>
          </w:p>
        </w:tc>
      </w:tr>
      <w:tr w:rsidR="00A559F4" w:rsidRPr="00D358EE" w14:paraId="483BA794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9AD02E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5FA3" w14:textId="0D4B5C86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AB7C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187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C47A" w14:textId="0B1050B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4B25" w14:textId="58BEF5D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0.778</w:t>
            </w:r>
          </w:p>
        </w:tc>
      </w:tr>
      <w:tr w:rsidR="00A559F4" w:rsidRPr="00D358EE" w14:paraId="7FA9945C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398AA24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E499" w14:textId="36C7AC83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79EE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69B8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828B" w14:textId="0611099D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125F" w14:textId="681B1D0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</w:tr>
      <w:tr w:rsidR="00A559F4" w:rsidRPr="00D358EE" w14:paraId="588A0717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7AD8310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B708" w14:textId="7B3A28B2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8CEB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D323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9AF4C" w14:textId="62CA0BF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-0.043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B853" w14:textId="6E498DB6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</w:tr>
      <w:tr w:rsidR="00A559F4" w:rsidRPr="00D358EE" w14:paraId="6637D647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3EED60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448F" w14:textId="0A7E83F9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DCC5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93B99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38BE" w14:textId="48050993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-0.241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BAE7" w14:textId="219DE938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</w:tr>
      <w:tr w:rsidR="00A559F4" w:rsidRPr="00D358EE" w14:paraId="0B7ACA27" w14:textId="77777777" w:rsidTr="00CA2FFD">
        <w:trPr>
          <w:trHeight w:val="217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7246200" w14:textId="64451D06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RVPA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4550" w14:textId="614C878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C116" w14:textId="13E24A4E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3.079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5D95" w14:textId="76D119A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5E8E2" w14:textId="03FEC8DA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F215" w14:textId="2BEC9EC9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</w:tr>
      <w:tr w:rsidR="00A559F4" w:rsidRPr="00D358EE" w14:paraId="0EDE4E77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0A9E854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8DCC" w14:textId="69419884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9630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C94ED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3665" w14:textId="49F157E8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828E" w14:textId="31594E22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0.720</w:t>
            </w:r>
          </w:p>
        </w:tc>
      </w:tr>
      <w:tr w:rsidR="00A559F4" w:rsidRPr="00D358EE" w14:paraId="1AE863AD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174ECA6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3F5E" w14:textId="79283DC1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F9A8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4E51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3A50" w14:textId="0C19294C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F470" w14:textId="3248F242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0.591</w:t>
            </w:r>
          </w:p>
        </w:tc>
      </w:tr>
      <w:tr w:rsidR="00A559F4" w:rsidRPr="00D358EE" w14:paraId="2E136292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6044A868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7F57" w14:textId="33CF0CB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F31D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7673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0E98" w14:textId="07A3CB71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9783" w14:textId="3C89E84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0.255</w:t>
            </w:r>
          </w:p>
        </w:tc>
      </w:tr>
      <w:tr w:rsidR="00A559F4" w:rsidRPr="00D358EE" w14:paraId="6E1DA3F8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8B936AF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A188" w14:textId="75AD0D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9C99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6A49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17AF" w14:textId="613C42F4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7202" w14:textId="68FD44A2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0.199</w:t>
            </w:r>
          </w:p>
        </w:tc>
      </w:tr>
      <w:tr w:rsidR="00A559F4" w:rsidRPr="00D358EE" w14:paraId="31403801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285ADB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3D7A" w14:textId="2274E4D3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5AD2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118B" w14:textId="77777777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7C082" w14:textId="08D0BF5B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3236" w14:textId="678A80FD" w:rsidR="00A559F4" w:rsidRPr="00D358EE" w:rsidRDefault="00A559F4" w:rsidP="00A559F4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C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194C9F" w:rsidRPr="00D358EE" w14:paraId="5A7FE4B4" w14:textId="77777777" w:rsidTr="00CA2FFD">
        <w:trPr>
          <w:trHeight w:val="217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7B157E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PRMPCI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151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8A2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3.644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53C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DFAD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3.623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FC18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</w:tr>
      <w:tr w:rsidR="00194C9F" w:rsidRPr="00D358EE" w14:paraId="01B46BB9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75C1F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85EF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BDI-II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143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F501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335C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-0.131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F2251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0.944</w:t>
            </w:r>
          </w:p>
        </w:tc>
      </w:tr>
      <w:tr w:rsidR="00194C9F" w:rsidRPr="00D358EE" w14:paraId="479EB4C0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1955A1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316B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STAI-trait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DAE4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D3C7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480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A42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0.915</w:t>
            </w:r>
          </w:p>
        </w:tc>
      </w:tr>
      <w:tr w:rsidR="00194C9F" w:rsidRPr="00D358EE" w14:paraId="4106E5FE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E890D4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E58D8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STAI-state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355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AFB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849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0E2BA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0.906</w:t>
            </w:r>
          </w:p>
        </w:tc>
      </w:tr>
      <w:tr w:rsidR="00194C9F" w:rsidRPr="00D358EE" w14:paraId="076C70F4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0B214B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2A43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16F0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C9E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9A03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23C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0.693</w:t>
            </w:r>
          </w:p>
        </w:tc>
      </w:tr>
      <w:tr w:rsidR="00194C9F" w:rsidRPr="00D358EE" w14:paraId="73D6354A" w14:textId="77777777" w:rsidTr="00CA2FFD">
        <w:trPr>
          <w:trHeight w:val="217"/>
        </w:trPr>
        <w:tc>
          <w:tcPr>
            <w:tcW w:w="17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5EF52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FCD9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E56E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6336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D594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2.730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42C5" w14:textId="77777777" w:rsidR="00194C9F" w:rsidRPr="00D358EE" w:rsidRDefault="00194C9F" w:rsidP="00194C9F">
            <w:pPr>
              <w:pStyle w:val="KeinLeerraum"/>
              <w:rPr>
                <w:rFonts w:ascii="Times New Roman" w:hAnsi="Times New Roman" w:cs="Times New Roman"/>
                <w:sz w:val="20"/>
                <w:szCs w:val="20"/>
              </w:rPr>
            </w:pPr>
            <w:r w:rsidRPr="00D358EE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</w:tbl>
    <w:p w14:paraId="23297146" w14:textId="77777777" w:rsidR="003E2832" w:rsidRDefault="003E2832" w:rsidP="002C799C">
      <w:pPr>
        <w:pStyle w:val="Text"/>
        <w:spacing w:line="480" w:lineRule="auto"/>
        <w:rPr>
          <w:i/>
          <w:iCs/>
        </w:rPr>
      </w:pPr>
    </w:p>
    <w:p w14:paraId="46A9B1CC" w14:textId="3563CF53" w:rsidR="002C799C" w:rsidRPr="00D358EE" w:rsidRDefault="001B113A" w:rsidP="002C799C">
      <w:pPr>
        <w:pStyle w:val="Text"/>
        <w:spacing w:line="480" w:lineRule="auto"/>
        <w:rPr>
          <w:b/>
          <w:bCs/>
        </w:rPr>
      </w:pPr>
      <w:r w:rsidRPr="00D358EE">
        <w:rPr>
          <w:i/>
          <w:iCs/>
        </w:rPr>
        <w:t>Note.</w:t>
      </w:r>
      <w:r w:rsidRPr="00D358EE">
        <w:t xml:space="preserve"> Model 1: </w:t>
      </w:r>
      <w:r w:rsidR="00FE3B89">
        <w:t>M</w:t>
      </w:r>
      <w:r w:rsidRPr="00D358EE">
        <w:t xml:space="preserve">ain model with both non-linear predictors; Model 3: main model with both non-linear predictors and </w:t>
      </w:r>
      <w:r w:rsidR="00331F17" w:rsidRPr="00D358EE">
        <w:t xml:space="preserve">linear </w:t>
      </w:r>
      <w:r w:rsidRPr="00D358EE">
        <w:t xml:space="preserve">covariates; sGFAP = serum glial fibrillary acidic protein; </w:t>
      </w:r>
      <w:r w:rsidR="00407E6B" w:rsidRPr="00D358EE">
        <w:t xml:space="preserve">sNfL= serum neurofilament light chain; </w:t>
      </w:r>
      <w:r w:rsidRPr="00D358EE">
        <w:t xml:space="preserve">sp-tau181 = serum phosphorylated tau 181; TBV = total brain volume; tGMV = total grey matter volume; sGMV = subcortical grey matter volume; tWMV = total white matter volume; </w:t>
      </w:r>
      <w:r w:rsidR="00A559F4" w:rsidRPr="00D358EE">
        <w:t>SWMS = spatial working memory strategy; RVPA = rapid visual information processing score</w:t>
      </w:r>
      <w:r w:rsidR="00A559F4">
        <w:t>;</w:t>
      </w:r>
      <w:r w:rsidR="00A559F4" w:rsidRPr="00D358EE">
        <w:t xml:space="preserve"> PRMPCI = pattern recognition memory percent correct instant</w:t>
      </w:r>
      <w:r w:rsidRPr="00D358EE">
        <w:t>; BDI-II = Beck’s Depression Inventory; STAI = State-Trait-Anxiety Inventory, DSM-IV PTSD = Diagnostic and Statistical Manual of Mental Disorders Posttraumatic Stress Disorder; SES = current socioeconomic status</w:t>
      </w:r>
      <w:r w:rsidR="005E4A6C" w:rsidRPr="00D358EE">
        <w:t xml:space="preserve">; </w:t>
      </w:r>
      <w:r w:rsidR="000831D9">
        <w:rPr>
          <w:rFonts w:eastAsia="Times New Roman" w:cs="Times New Roman"/>
        </w:rPr>
        <w:t>p</w:t>
      </w:r>
      <w:r w:rsidR="005E4A6C" w:rsidRPr="00D358EE">
        <w:rPr>
          <w:rFonts w:eastAsia="Times New Roman" w:cs="Times New Roman"/>
          <w:i/>
          <w:iCs/>
        </w:rPr>
        <w:t xml:space="preserve"> </w:t>
      </w:r>
      <w:r w:rsidR="005E4A6C" w:rsidRPr="00D358EE">
        <w:rPr>
          <w:rFonts w:eastAsia="Times New Roman" w:cs="Times New Roman"/>
        </w:rPr>
        <w:t xml:space="preserve">values for Model 3 were not adjusted as this was an exploratory sensitivity analysis. </w:t>
      </w:r>
      <w:r w:rsidRPr="00D358EE">
        <w:rPr>
          <w:b/>
          <w:bCs/>
        </w:rPr>
        <w:t xml:space="preserve"> </w:t>
      </w:r>
    </w:p>
    <w:p w14:paraId="3A5AD8B1" w14:textId="4A37D4EB" w:rsidR="00A77158" w:rsidRDefault="00A77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rPr>
          <w:rFonts w:ascii="Calibri" w:eastAsia="Arial Unicode MS" w:hAnsi="Calibri" w:cs="Calibri"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61EC49EF" w14:textId="2B73919F" w:rsidR="00413379" w:rsidRDefault="00413379" w:rsidP="00413379">
      <w:pPr>
        <w:pStyle w:val="EndNoteBibliography"/>
        <w:spacing w:line="48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Supplementary Analysis: Age at Menarche Onset</w:t>
      </w:r>
    </w:p>
    <w:p w14:paraId="4F8F27E8" w14:textId="77777777" w:rsidR="0055293C" w:rsidRDefault="0055293C" w:rsidP="00413379">
      <w:pPr>
        <w:pStyle w:val="EndNoteBibliography"/>
        <w:spacing w:line="480" w:lineRule="auto"/>
        <w:rPr>
          <w:rFonts w:ascii="Times New Roman" w:hAnsi="Times New Roman"/>
          <w:b/>
          <w:bCs/>
          <w:sz w:val="20"/>
          <w:szCs w:val="20"/>
        </w:rPr>
      </w:pPr>
    </w:p>
    <w:p w14:paraId="03A48906" w14:textId="7DB4EE01" w:rsidR="00413379" w:rsidRDefault="00413379" w:rsidP="00413379">
      <w:pPr>
        <w:pStyle w:val="EndNoteBibliography"/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M=12.98 years, SD=1.27</w:t>
      </w:r>
    </w:p>
    <w:p w14:paraId="4FC59C1E" w14:textId="77777777" w:rsidR="0055293C" w:rsidRDefault="0055293C" w:rsidP="00413379">
      <w:pPr>
        <w:pStyle w:val="EndNoteBibliography"/>
        <w:spacing w:line="480" w:lineRule="auto"/>
        <w:rPr>
          <w:rFonts w:ascii="Times New Roman" w:hAnsi="Times New Roman"/>
          <w:sz w:val="20"/>
          <w:szCs w:val="20"/>
        </w:rPr>
      </w:pPr>
    </w:p>
    <w:p w14:paraId="047070F6" w14:textId="582A7FE5" w:rsidR="009E7412" w:rsidRDefault="0055293C" w:rsidP="00413379">
      <w:pPr>
        <w:pStyle w:val="EndNoteBibliography"/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examined the relationship between age at menarche onset and ACE score using Pearson correlation (r=-0.03; </w:t>
      </w:r>
      <w:r w:rsidR="00A90CBA">
        <w:rPr>
          <w:rFonts w:ascii="Times New Roman" w:eastAsia="Times New Roman" w:hAnsi="Times New Roman" w:cs="Times New Roman"/>
          <w:sz w:val="20"/>
          <w:szCs w:val="20"/>
        </w:rPr>
        <w:t>p=0.65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Further, we computed correlations between age at menarche onset and all dependent variables and all were non-significant (p&gt;0.05). </w:t>
      </w:r>
    </w:p>
    <w:p w14:paraId="71157315" w14:textId="71794722" w:rsidR="0055293C" w:rsidRDefault="0055293C" w:rsidP="00413379">
      <w:pPr>
        <w:pStyle w:val="EndNoteBibliography"/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AAE67A" w14:textId="5BFDDE29" w:rsidR="009E7412" w:rsidRDefault="009E7412" w:rsidP="00413379">
      <w:pPr>
        <w:pStyle w:val="EndNoteBibliography"/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758F">
        <w:rPr>
          <w:rFonts w:ascii="Times New Roman" w:eastAsia="Times New Roman" w:hAnsi="Times New Roman" w:cs="Times New Roman"/>
          <w:b/>
          <w:sz w:val="20"/>
          <w:szCs w:val="20"/>
        </w:rPr>
        <w:t xml:space="preserve">Table ST5: </w:t>
      </w:r>
      <w:r w:rsidR="00BA758F" w:rsidRPr="00BA758F">
        <w:rPr>
          <w:rFonts w:ascii="Times New Roman" w:hAnsi="Times New Roman" w:cs="Times New Roman"/>
          <w:b/>
          <w:bCs/>
          <w:sz w:val="20"/>
          <w:szCs w:val="20"/>
        </w:rPr>
        <w:t>Correlation</w:t>
      </w:r>
      <w:r w:rsidR="00BA758F" w:rsidRPr="00222415">
        <w:rPr>
          <w:rFonts w:ascii="Times New Roman" w:hAnsi="Times New Roman" w:cs="Times New Roman"/>
          <w:b/>
          <w:bCs/>
          <w:sz w:val="20"/>
          <w:szCs w:val="20"/>
        </w:rPr>
        <w:t xml:space="preserve"> Table Between</w:t>
      </w:r>
      <w:r w:rsidR="00BA758F">
        <w:rPr>
          <w:rFonts w:ascii="Times New Roman" w:hAnsi="Times New Roman" w:cs="Times New Roman"/>
          <w:b/>
          <w:bCs/>
          <w:sz w:val="20"/>
          <w:szCs w:val="20"/>
        </w:rPr>
        <w:t xml:space="preserve"> Outcomes and Age at Menarche Onset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2"/>
      </w:tblGrid>
      <w:tr w:rsidR="00E660E3" w:rsidRPr="004B7B5B" w14:paraId="07FDC506" w14:textId="77777777" w:rsidTr="00BA758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5383872" w14:textId="26A9DFC0" w:rsidR="00E660E3" w:rsidRPr="00BA758F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5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</w:t>
            </w: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</w:tcPr>
          <w:p w14:paraId="18DA4109" w14:textId="7AECA661" w:rsidR="00E660E3" w:rsidRPr="00BA758F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5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Correlation between DV and age at menarche; r (p value)</w:t>
            </w:r>
          </w:p>
        </w:tc>
      </w:tr>
      <w:tr w:rsidR="00E660E3" w:rsidRPr="00E660E3" w14:paraId="37ADCE23" w14:textId="77777777" w:rsidTr="00BA758F">
        <w:tc>
          <w:tcPr>
            <w:tcW w:w="3114" w:type="dxa"/>
            <w:tcBorders>
              <w:top w:val="single" w:sz="4" w:space="0" w:color="auto"/>
            </w:tcBorders>
          </w:tcPr>
          <w:p w14:paraId="2D7C26FC" w14:textId="06293C1C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sGFAP</w:t>
            </w: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0EF0670B" w14:textId="4908565F" w:rsidR="00E660E3" w:rsidRDefault="00244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-0.06 (0.44)</w:t>
            </w:r>
          </w:p>
        </w:tc>
      </w:tr>
      <w:tr w:rsidR="00E660E3" w:rsidRPr="00E660E3" w14:paraId="7340041E" w14:textId="77777777" w:rsidTr="00BA758F">
        <w:tc>
          <w:tcPr>
            <w:tcW w:w="3114" w:type="dxa"/>
          </w:tcPr>
          <w:p w14:paraId="21C9F6F3" w14:textId="3CDF4B9F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sNfL</w:t>
            </w:r>
          </w:p>
        </w:tc>
        <w:tc>
          <w:tcPr>
            <w:tcW w:w="5942" w:type="dxa"/>
          </w:tcPr>
          <w:p w14:paraId="5C1380C6" w14:textId="64E968CC" w:rsidR="00E660E3" w:rsidRDefault="00244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 (0.20)</w:t>
            </w:r>
          </w:p>
        </w:tc>
      </w:tr>
      <w:tr w:rsidR="00E660E3" w:rsidRPr="00E660E3" w14:paraId="4FBF5C10" w14:textId="77777777" w:rsidTr="00BA758F">
        <w:tc>
          <w:tcPr>
            <w:tcW w:w="3114" w:type="dxa"/>
          </w:tcPr>
          <w:p w14:paraId="79EAEB15" w14:textId="2B1D040F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sp-tau181</w:t>
            </w:r>
          </w:p>
        </w:tc>
        <w:tc>
          <w:tcPr>
            <w:tcW w:w="5942" w:type="dxa"/>
          </w:tcPr>
          <w:p w14:paraId="44496BF5" w14:textId="453A89A0" w:rsidR="00E660E3" w:rsidRDefault="00244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 (0.23)</w:t>
            </w:r>
          </w:p>
        </w:tc>
      </w:tr>
      <w:tr w:rsidR="00E660E3" w:rsidRPr="00E660E3" w14:paraId="5CA0755D" w14:textId="77777777" w:rsidTr="00BA758F">
        <w:tc>
          <w:tcPr>
            <w:tcW w:w="3114" w:type="dxa"/>
          </w:tcPr>
          <w:p w14:paraId="7B3BA548" w14:textId="18AC0344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TBV</w:t>
            </w:r>
          </w:p>
        </w:tc>
        <w:tc>
          <w:tcPr>
            <w:tcW w:w="5942" w:type="dxa"/>
          </w:tcPr>
          <w:p w14:paraId="3A40A255" w14:textId="7050EF7A" w:rsidR="00E660E3" w:rsidRDefault="00015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 (0.22)</w:t>
            </w:r>
          </w:p>
        </w:tc>
      </w:tr>
      <w:tr w:rsidR="00E660E3" w:rsidRPr="00E660E3" w14:paraId="51829BC4" w14:textId="77777777" w:rsidTr="00BA758F">
        <w:tc>
          <w:tcPr>
            <w:tcW w:w="3114" w:type="dxa"/>
          </w:tcPr>
          <w:p w14:paraId="12C34C80" w14:textId="45A413A6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tGMV</w:t>
            </w:r>
          </w:p>
        </w:tc>
        <w:tc>
          <w:tcPr>
            <w:tcW w:w="5942" w:type="dxa"/>
          </w:tcPr>
          <w:p w14:paraId="695A8A90" w14:textId="10844B4C" w:rsidR="00E660E3" w:rsidRDefault="00015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 (0.47)</w:t>
            </w:r>
          </w:p>
        </w:tc>
      </w:tr>
      <w:tr w:rsidR="00E660E3" w:rsidRPr="00E660E3" w14:paraId="11B213CB" w14:textId="77777777" w:rsidTr="00BA758F">
        <w:tc>
          <w:tcPr>
            <w:tcW w:w="3114" w:type="dxa"/>
          </w:tcPr>
          <w:p w14:paraId="1A9E85CC" w14:textId="1A0C7086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sGMV</w:t>
            </w:r>
          </w:p>
        </w:tc>
        <w:tc>
          <w:tcPr>
            <w:tcW w:w="5942" w:type="dxa"/>
          </w:tcPr>
          <w:p w14:paraId="4E7FA38C" w14:textId="593B8007" w:rsidR="00E660E3" w:rsidRDefault="00015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 (0.68)</w:t>
            </w:r>
          </w:p>
        </w:tc>
      </w:tr>
      <w:tr w:rsidR="00E660E3" w:rsidRPr="00E660E3" w14:paraId="34862412" w14:textId="77777777" w:rsidTr="00BA758F">
        <w:tc>
          <w:tcPr>
            <w:tcW w:w="3114" w:type="dxa"/>
          </w:tcPr>
          <w:p w14:paraId="77AE15BB" w14:textId="66BBE8AD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tWMV</w:t>
            </w:r>
          </w:p>
        </w:tc>
        <w:tc>
          <w:tcPr>
            <w:tcW w:w="5942" w:type="dxa"/>
          </w:tcPr>
          <w:p w14:paraId="6C848F9B" w14:textId="59FC384C" w:rsidR="00E660E3" w:rsidRDefault="00015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0.15 (0.06)</w:t>
            </w:r>
          </w:p>
        </w:tc>
      </w:tr>
      <w:tr w:rsidR="00E660E3" w:rsidRPr="00E660E3" w14:paraId="07F9C365" w14:textId="77777777" w:rsidTr="00BA758F">
        <w:tc>
          <w:tcPr>
            <w:tcW w:w="3114" w:type="dxa"/>
          </w:tcPr>
          <w:p w14:paraId="5A869FCC" w14:textId="30C03052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Lateral ventricular volume</w:t>
            </w:r>
          </w:p>
        </w:tc>
        <w:tc>
          <w:tcPr>
            <w:tcW w:w="5942" w:type="dxa"/>
          </w:tcPr>
          <w:p w14:paraId="79AD49EB" w14:textId="40E82E30" w:rsidR="00E660E3" w:rsidRDefault="00015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-0.14 (0.06)</w:t>
            </w:r>
          </w:p>
        </w:tc>
      </w:tr>
      <w:tr w:rsidR="00E660E3" w:rsidRPr="00E660E3" w14:paraId="733718B4" w14:textId="77777777" w:rsidTr="00BA758F">
        <w:tc>
          <w:tcPr>
            <w:tcW w:w="3114" w:type="dxa"/>
          </w:tcPr>
          <w:p w14:paraId="13C9B975" w14:textId="7827B692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Third ventricular volume</w:t>
            </w:r>
          </w:p>
        </w:tc>
        <w:tc>
          <w:tcPr>
            <w:tcW w:w="5942" w:type="dxa"/>
          </w:tcPr>
          <w:p w14:paraId="3CDC8716" w14:textId="127BC959" w:rsidR="00E660E3" w:rsidRDefault="00015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-0.12 (0.12)</w:t>
            </w:r>
          </w:p>
        </w:tc>
      </w:tr>
      <w:tr w:rsidR="00E660E3" w:rsidRPr="00E660E3" w14:paraId="447C2E10" w14:textId="77777777" w:rsidTr="00BA758F">
        <w:tc>
          <w:tcPr>
            <w:tcW w:w="3114" w:type="dxa"/>
          </w:tcPr>
          <w:p w14:paraId="49F9B678" w14:textId="1A70839E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Fourth ventricular volume</w:t>
            </w:r>
          </w:p>
        </w:tc>
        <w:tc>
          <w:tcPr>
            <w:tcW w:w="5942" w:type="dxa"/>
          </w:tcPr>
          <w:p w14:paraId="0BD9FAEE" w14:textId="6E4DD2E5" w:rsidR="00E660E3" w:rsidRDefault="00015D20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-0.03 (0.63)</w:t>
            </w:r>
          </w:p>
        </w:tc>
      </w:tr>
      <w:tr w:rsidR="00E660E3" w:rsidRPr="00E660E3" w14:paraId="2269D638" w14:textId="77777777" w:rsidTr="00BA758F">
        <w:tc>
          <w:tcPr>
            <w:tcW w:w="3114" w:type="dxa"/>
          </w:tcPr>
          <w:p w14:paraId="6AFFFF17" w14:textId="476150B1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SWMS</w:t>
            </w:r>
          </w:p>
        </w:tc>
        <w:tc>
          <w:tcPr>
            <w:tcW w:w="5942" w:type="dxa"/>
          </w:tcPr>
          <w:p w14:paraId="79EA090B" w14:textId="32A04D67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 (0.77)</w:t>
            </w:r>
          </w:p>
        </w:tc>
      </w:tr>
      <w:tr w:rsidR="00E660E3" w:rsidRPr="00E660E3" w14:paraId="2895D0C9" w14:textId="77777777" w:rsidTr="00BA758F">
        <w:tc>
          <w:tcPr>
            <w:tcW w:w="3114" w:type="dxa"/>
          </w:tcPr>
          <w:p w14:paraId="53D65CB6" w14:textId="64A622F9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RVPA</w:t>
            </w:r>
          </w:p>
        </w:tc>
        <w:tc>
          <w:tcPr>
            <w:tcW w:w="5942" w:type="dxa"/>
          </w:tcPr>
          <w:p w14:paraId="61AF9937" w14:textId="54D882E3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-0.14 (0.06)</w:t>
            </w:r>
          </w:p>
        </w:tc>
      </w:tr>
      <w:tr w:rsidR="00E660E3" w:rsidRPr="00E660E3" w14:paraId="084A0D09" w14:textId="77777777" w:rsidTr="00BA758F">
        <w:tc>
          <w:tcPr>
            <w:tcW w:w="3114" w:type="dxa"/>
            <w:tcBorders>
              <w:bottom w:val="single" w:sz="4" w:space="0" w:color="auto"/>
            </w:tcBorders>
          </w:tcPr>
          <w:p w14:paraId="167787E3" w14:textId="349B2247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PRMPCI</w:t>
            </w:r>
          </w:p>
        </w:tc>
        <w:tc>
          <w:tcPr>
            <w:tcW w:w="5942" w:type="dxa"/>
            <w:tcBorders>
              <w:bottom w:val="single" w:sz="4" w:space="0" w:color="auto"/>
            </w:tcBorders>
          </w:tcPr>
          <w:p w14:paraId="02A4D347" w14:textId="55FD7E62" w:rsidR="00E660E3" w:rsidRDefault="00E660E3" w:rsidP="00BA758F">
            <w:pPr>
              <w:pStyle w:val="EndNoteBibliograph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-0.01 (0.88)</w:t>
            </w:r>
          </w:p>
        </w:tc>
      </w:tr>
    </w:tbl>
    <w:p w14:paraId="19988BB3" w14:textId="77777777" w:rsidR="00BA758F" w:rsidRDefault="00BA758F" w:rsidP="00413379">
      <w:pPr>
        <w:pStyle w:val="EndNoteBibliography"/>
        <w:spacing w:line="480" w:lineRule="auto"/>
        <w:rPr>
          <w:rFonts w:ascii="Times New Roman" w:hAnsi="Times New Roman" w:cs="Arial Unicode MS"/>
          <w:i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6CB76853" w14:textId="44732423" w:rsidR="00E660E3" w:rsidRPr="00BA758F" w:rsidRDefault="00E660E3" w:rsidP="00413379">
      <w:pPr>
        <w:pStyle w:val="EndNoteBibliography"/>
        <w:spacing w:line="480" w:lineRule="auto"/>
        <w:rPr>
          <w:rFonts w:ascii="Times New Roman" w:hAnsi="Times New Roman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BA758F">
        <w:rPr>
          <w:rFonts w:ascii="Times New Roman" w:hAnsi="Times New Roman" w:cs="Arial Unicode MS"/>
          <w:i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Note</w:t>
      </w:r>
      <w:r w:rsidRPr="00BA758F">
        <w:rPr>
          <w:rFonts w:ascii="Times New Roman" w:hAnsi="Times New Roman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 Pearson r; DV = dependent variable; sGFAP = serum glial fibrillary acidic protein; sNfL= serum neurofilament light chain; sp-tau181 = serum phosphorylated tau 181; TBV = total brain volume; tGMV = total grey matter volume; sGMV = subcortical grey matter volume; tWMV = total white matter volume; SWMS = spatial working memory strategy; RVPA = rapid visual information processing score; PRMPCI = pattern recognition memory percent correct instant</w:t>
      </w:r>
      <w:r w:rsidR="00BA758F">
        <w:rPr>
          <w:rFonts w:ascii="Times New Roman" w:hAnsi="Times New Roman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F51BE96" w14:textId="77777777" w:rsidR="0055293C" w:rsidRPr="00413379" w:rsidRDefault="0055293C" w:rsidP="00413379">
      <w:pPr>
        <w:pStyle w:val="EndNoteBibliography"/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1A89C7" w14:textId="77777777" w:rsidR="00413379" w:rsidRDefault="00413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rPr>
          <w:rFonts w:ascii="Calibri" w:eastAsia="Arial Unicode MS" w:hAnsi="Calibri" w:cs="Calibri"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AF0144F" w14:textId="6121B761" w:rsidR="00A77158" w:rsidRPr="00A77158" w:rsidRDefault="00A77158" w:rsidP="00A77158">
      <w:pPr>
        <w:spacing w:before="0" w:line="480" w:lineRule="auto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77158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REFERENCES:</w:t>
      </w:r>
    </w:p>
    <w:p w14:paraId="7F381A46" w14:textId="77777777" w:rsidR="00222415" w:rsidRPr="0008316C" w:rsidRDefault="00222415" w:rsidP="00A77158">
      <w:pPr>
        <w:spacing w:before="0" w:line="480" w:lineRule="auto"/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C2CA2CE" w14:textId="77777777" w:rsidR="00761859" w:rsidRPr="0008316C" w:rsidRDefault="00222415" w:rsidP="0076185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08316C">
        <w:rPr>
          <w:rFonts w:ascii="Times New Roman" w:hAnsi="Times New Roman" w:cs="Times New Roman"/>
          <w:sz w:val="20"/>
          <w:szCs w:val="20"/>
        </w:rPr>
        <w:fldChar w:fldCharType="begin"/>
      </w:r>
      <w:r w:rsidRPr="0008316C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08316C">
        <w:rPr>
          <w:rFonts w:ascii="Times New Roman" w:hAnsi="Times New Roman" w:cs="Times New Roman"/>
          <w:sz w:val="20"/>
          <w:szCs w:val="20"/>
        </w:rPr>
        <w:fldChar w:fldCharType="separate"/>
      </w:r>
      <w:r w:rsidR="00761859" w:rsidRPr="0008316C">
        <w:rPr>
          <w:rFonts w:ascii="Times New Roman" w:hAnsi="Times New Roman" w:cs="Times New Roman"/>
          <w:noProof/>
          <w:sz w:val="20"/>
          <w:szCs w:val="20"/>
        </w:rPr>
        <w:t>1</w:t>
      </w:r>
      <w:r w:rsidR="00761859" w:rsidRPr="0008316C">
        <w:rPr>
          <w:rFonts w:ascii="Times New Roman" w:hAnsi="Times New Roman" w:cs="Times New Roman"/>
          <w:noProof/>
          <w:sz w:val="20"/>
          <w:szCs w:val="20"/>
        </w:rPr>
        <w:tab/>
        <w:t>CANTAB®.    (ed Cambridge Cognition Ltd.) (Cambridge, UK, 2016).</w:t>
      </w:r>
    </w:p>
    <w:p w14:paraId="51B11ABA" w14:textId="5BDFE42B" w:rsidR="00761859" w:rsidRPr="0008316C" w:rsidRDefault="00761859" w:rsidP="0076185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08316C">
        <w:rPr>
          <w:rFonts w:ascii="Times New Roman" w:hAnsi="Times New Roman" w:cs="Times New Roman"/>
          <w:noProof/>
          <w:sz w:val="20"/>
          <w:szCs w:val="20"/>
        </w:rPr>
        <w:t>2</w:t>
      </w:r>
      <w:r w:rsidRPr="0008316C">
        <w:rPr>
          <w:rFonts w:ascii="Times New Roman" w:hAnsi="Times New Roman" w:cs="Times New Roman"/>
          <w:noProof/>
          <w:sz w:val="20"/>
          <w:szCs w:val="20"/>
        </w:rPr>
        <w:tab/>
        <w:t>Shenk, C. E.</w:t>
      </w:r>
      <w:r w:rsidRPr="0008316C">
        <w:rPr>
          <w:rFonts w:ascii="Times New Roman" w:hAnsi="Times New Roman" w:cs="Times New Roman"/>
          <w:i/>
          <w:noProof/>
          <w:sz w:val="20"/>
          <w:szCs w:val="20"/>
        </w:rPr>
        <w:t xml:space="preserve"> et al.</w:t>
      </w:r>
      <w:r w:rsidRPr="0008316C">
        <w:rPr>
          <w:rFonts w:ascii="Times New Roman" w:hAnsi="Times New Roman" w:cs="Times New Roman"/>
          <w:noProof/>
          <w:sz w:val="20"/>
          <w:szCs w:val="20"/>
        </w:rPr>
        <w:t xml:space="preserve"> Psychometric Evaluation of the Comprehensive Trauma Interview PTSD Symptoms Scale Following Exposure to Child Maltreatment. </w:t>
      </w:r>
      <w:r w:rsidRPr="0008316C">
        <w:rPr>
          <w:rFonts w:ascii="Times New Roman" w:hAnsi="Times New Roman" w:cs="Times New Roman"/>
          <w:i/>
          <w:noProof/>
          <w:sz w:val="20"/>
          <w:szCs w:val="20"/>
        </w:rPr>
        <w:t>Child Maltreat</w:t>
      </w:r>
      <w:r w:rsidRPr="0008316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08316C">
        <w:rPr>
          <w:rFonts w:ascii="Times New Roman" w:hAnsi="Times New Roman" w:cs="Times New Roman"/>
          <w:b/>
          <w:noProof/>
          <w:sz w:val="20"/>
          <w:szCs w:val="20"/>
        </w:rPr>
        <w:t>21</w:t>
      </w:r>
      <w:r w:rsidRPr="0008316C">
        <w:rPr>
          <w:rFonts w:ascii="Times New Roman" w:hAnsi="Times New Roman" w:cs="Times New Roman"/>
          <w:noProof/>
          <w:sz w:val="20"/>
          <w:szCs w:val="20"/>
        </w:rPr>
        <w:t xml:space="preserve">, 343-352 (2016). </w:t>
      </w:r>
      <w:hyperlink r:id="rId12" w:history="1">
        <w:r w:rsidRPr="0008316C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https://doi.org/10.1177/1077559516669253</w:t>
        </w:r>
      </w:hyperlink>
    </w:p>
    <w:p w14:paraId="3FC09959" w14:textId="44C08C3D" w:rsidR="00761859" w:rsidRPr="0008316C" w:rsidRDefault="00761859" w:rsidP="0076185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08316C">
        <w:rPr>
          <w:rFonts w:ascii="Times New Roman" w:hAnsi="Times New Roman" w:cs="Times New Roman"/>
          <w:noProof/>
          <w:sz w:val="20"/>
          <w:szCs w:val="20"/>
        </w:rPr>
        <w:t>3</w:t>
      </w:r>
      <w:r w:rsidRPr="0008316C">
        <w:rPr>
          <w:rFonts w:ascii="Times New Roman" w:hAnsi="Times New Roman" w:cs="Times New Roman"/>
          <w:noProof/>
          <w:sz w:val="20"/>
          <w:szCs w:val="20"/>
        </w:rPr>
        <w:tab/>
        <w:t xml:space="preserve">Edwards, V. J., Holden, G. W., Felitti, V. J. &amp; Anda, R. F. Relationship between multiple forms of childhood maltreatment and adult mental health in community respondents: results from the adverse childhood experiences study. </w:t>
      </w:r>
      <w:r w:rsidRPr="0008316C">
        <w:rPr>
          <w:rFonts w:ascii="Times New Roman" w:hAnsi="Times New Roman" w:cs="Times New Roman"/>
          <w:i/>
          <w:noProof/>
          <w:sz w:val="20"/>
          <w:szCs w:val="20"/>
        </w:rPr>
        <w:t>Am J Psychiatry</w:t>
      </w:r>
      <w:r w:rsidRPr="0008316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08316C">
        <w:rPr>
          <w:rFonts w:ascii="Times New Roman" w:hAnsi="Times New Roman" w:cs="Times New Roman"/>
          <w:b/>
          <w:noProof/>
          <w:sz w:val="20"/>
          <w:szCs w:val="20"/>
        </w:rPr>
        <w:t>160</w:t>
      </w:r>
      <w:r w:rsidRPr="0008316C">
        <w:rPr>
          <w:rFonts w:ascii="Times New Roman" w:hAnsi="Times New Roman" w:cs="Times New Roman"/>
          <w:noProof/>
          <w:sz w:val="20"/>
          <w:szCs w:val="20"/>
        </w:rPr>
        <w:t xml:space="preserve">, 1453-1460 (2003). </w:t>
      </w:r>
      <w:hyperlink r:id="rId13" w:history="1">
        <w:r w:rsidRPr="0008316C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https://doi.org/10.1176/appi.ajp.160.8.1453</w:t>
        </w:r>
      </w:hyperlink>
    </w:p>
    <w:p w14:paraId="58DFB60A" w14:textId="4ED0EA7D" w:rsidR="00FC64FC" w:rsidRDefault="00222415" w:rsidP="00761859">
      <w:pPr>
        <w:spacing w:before="0" w:line="480" w:lineRule="auto"/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08316C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lang w:val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</w:p>
    <w:p w14:paraId="1F478BBE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2BCF9A85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5F4FDC66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12762324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73871022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7D56D35D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60ECF629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5C9E99BB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0025A6C7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0E1BAB5D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7C16EB38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4AF7FDBB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3EDB8E44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4345D9E2" w14:textId="77777777" w:rsidR="0008316C" w:rsidRPr="0008316C" w:rsidRDefault="0008316C" w:rsidP="0008316C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14:paraId="3320B994" w14:textId="097C393D" w:rsidR="0008316C" w:rsidRPr="0008316C" w:rsidRDefault="0008316C" w:rsidP="0008316C">
      <w:pPr>
        <w:tabs>
          <w:tab w:val="left" w:pos="6446"/>
        </w:tabs>
        <w:rPr>
          <w:rFonts w:ascii="Calibri" w:eastAsia="Arial Unicode MS" w:hAnsi="Calibri" w:cs="Calibri"/>
          <w:sz w:val="20"/>
          <w:szCs w:val="20"/>
          <w:lang w:val="en-US"/>
        </w:rPr>
      </w:pPr>
      <w:r>
        <w:rPr>
          <w:rFonts w:ascii="Calibri" w:eastAsia="Arial Unicode MS" w:hAnsi="Calibri" w:cs="Calibri"/>
          <w:sz w:val="20"/>
          <w:szCs w:val="20"/>
          <w:lang w:val="en-US"/>
        </w:rPr>
        <w:tab/>
      </w:r>
    </w:p>
    <w:sectPr w:rsidR="0008316C" w:rsidRPr="0008316C" w:rsidSect="00E0241E">
      <w:headerReference w:type="default" r:id="rId14"/>
      <w:pgSz w:w="11900" w:h="16840"/>
      <w:pgMar w:top="1417" w:right="1417" w:bottom="1134" w:left="1417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2C49" w14:textId="77777777" w:rsidR="00B16473" w:rsidRDefault="00B16473">
      <w:pPr>
        <w:spacing w:before="0" w:line="240" w:lineRule="auto"/>
      </w:pPr>
      <w:r>
        <w:separator/>
      </w:r>
    </w:p>
  </w:endnote>
  <w:endnote w:type="continuationSeparator" w:id="0">
    <w:p w14:paraId="7A2B93A0" w14:textId="77777777" w:rsidR="00B16473" w:rsidRDefault="00B164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BF8A" w14:textId="77777777" w:rsidR="00B16473" w:rsidRDefault="00B16473">
      <w:pPr>
        <w:spacing w:before="0" w:line="240" w:lineRule="auto"/>
      </w:pPr>
      <w:r>
        <w:separator/>
      </w:r>
    </w:p>
  </w:footnote>
  <w:footnote w:type="continuationSeparator" w:id="0">
    <w:p w14:paraId="2C8B02F7" w14:textId="77777777" w:rsidR="00B16473" w:rsidRDefault="00B164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5561" w14:textId="0ECBACE7" w:rsidR="009E7412" w:rsidRPr="00D358EE" w:rsidRDefault="009E7412" w:rsidP="004B6C19">
    <w:pPr>
      <w:pStyle w:val="Kopfzeile"/>
      <w:tabs>
        <w:tab w:val="clear" w:pos="4536"/>
        <w:tab w:val="left" w:pos="6946"/>
        <w:tab w:val="left" w:pos="8364"/>
      </w:tabs>
      <w:rPr>
        <w:sz w:val="22"/>
        <w:szCs w:val="22"/>
        <w:lang w:val="en-US"/>
      </w:rPr>
    </w:pPr>
    <w:r w:rsidRPr="00E65383">
      <w:rPr>
        <w:sz w:val="22"/>
        <w:szCs w:val="22"/>
        <w:lang w:val="en-US"/>
      </w:rPr>
      <w:t xml:space="preserve">Early </w:t>
    </w:r>
    <w:r>
      <w:rPr>
        <w:sz w:val="22"/>
        <w:szCs w:val="22"/>
        <w:lang w:val="en-US"/>
      </w:rPr>
      <w:t>Adversity</w:t>
    </w:r>
    <w:r w:rsidRPr="00E65383">
      <w:rPr>
        <w:sz w:val="22"/>
        <w:szCs w:val="22"/>
        <w:lang w:val="en-US"/>
      </w:rPr>
      <w:t xml:space="preserve"> and Brain Aging</w:t>
    </w:r>
    <w:r>
      <w:rPr>
        <w:sz w:val="22"/>
        <w:szCs w:val="22"/>
        <w:lang w:val="en-US"/>
      </w:rPr>
      <w:tab/>
    </w:r>
    <w:r w:rsidRPr="00E65383">
      <w:rPr>
        <w:color w:val="auto"/>
        <w:sz w:val="22"/>
        <w:szCs w:val="22"/>
        <w:lang w:val="en-US"/>
      </w:rPr>
      <w:t>Fleck et al.</w:t>
    </w:r>
    <w:r>
      <w:rPr>
        <w:color w:val="auto"/>
        <w:sz w:val="22"/>
        <w:szCs w:val="22"/>
        <w:lang w:val="en-US"/>
      </w:rPr>
      <w:t xml:space="preserve"> </w:t>
    </w:r>
    <w:r>
      <w:rPr>
        <w:color w:val="auto"/>
        <w:sz w:val="22"/>
        <w:szCs w:val="22"/>
        <w:lang w:val="en-US"/>
      </w:rPr>
      <w:tab/>
      <w:t>Page</w:t>
    </w:r>
    <w:r w:rsidRPr="00E65383">
      <w:rPr>
        <w:color w:val="auto"/>
        <w:sz w:val="22"/>
        <w:szCs w:val="22"/>
        <w:lang w:val="en-US"/>
      </w:rPr>
      <w:tab/>
    </w:r>
    <w:r w:rsidRPr="00E65383">
      <w:rPr>
        <w:color w:val="auto"/>
        <w:sz w:val="22"/>
        <w:szCs w:val="22"/>
        <w:u w:color="AEAAAA"/>
      </w:rPr>
      <w:fldChar w:fldCharType="begin"/>
    </w:r>
    <w:r w:rsidRPr="00E65383">
      <w:rPr>
        <w:color w:val="auto"/>
        <w:sz w:val="22"/>
        <w:szCs w:val="22"/>
        <w:u w:color="AEAAAA"/>
        <w:lang w:val="en-US"/>
      </w:rPr>
      <w:instrText xml:space="preserve"> PAGE </w:instrText>
    </w:r>
    <w:r w:rsidRPr="00E65383">
      <w:rPr>
        <w:color w:val="auto"/>
        <w:sz w:val="22"/>
        <w:szCs w:val="22"/>
        <w:u w:color="AEAAAA"/>
      </w:rPr>
      <w:fldChar w:fldCharType="separate"/>
    </w:r>
    <w:r w:rsidRPr="00D358EE">
      <w:rPr>
        <w:color w:val="auto"/>
        <w:sz w:val="22"/>
        <w:szCs w:val="22"/>
        <w:u w:color="AEAAAA"/>
        <w:lang w:val="en-US"/>
      </w:rPr>
      <w:t>2</w:t>
    </w:r>
    <w:r w:rsidRPr="00E65383">
      <w:rPr>
        <w:color w:val="auto"/>
        <w:sz w:val="22"/>
        <w:szCs w:val="22"/>
        <w:u w:color="AEAAAA"/>
      </w:rPr>
      <w:fldChar w:fldCharType="end"/>
    </w:r>
  </w:p>
  <w:p w14:paraId="2FF80B12" w14:textId="77777777" w:rsidR="009E7412" w:rsidRPr="00D358EE" w:rsidRDefault="009E7412" w:rsidP="004B6C19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04969"/>
    <w:multiLevelType w:val="hybridMultilevel"/>
    <w:tmpl w:val="583A01F4"/>
    <w:numStyleLink w:val="ImportierterStil1"/>
  </w:abstractNum>
  <w:abstractNum w:abstractNumId="1" w15:restartNumberingAfterBreak="0">
    <w:nsid w:val="70B932EB"/>
    <w:multiLevelType w:val="hybridMultilevel"/>
    <w:tmpl w:val="583A01F4"/>
    <w:styleLink w:val="ImportierterStil1"/>
    <w:lvl w:ilvl="0" w:tplc="55E21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EFC8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0DEE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F6582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541C1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8A33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E78E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6867C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834D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7968040">
    <w:abstractNumId w:val="1"/>
  </w:num>
  <w:num w:numId="2" w16cid:durableId="170460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Helvetica Neu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xv9r2f9lr0ra8e9x245ppa8wws2wfw0d9rt&quot;&gt;My EndNote Library&lt;record-ids&gt;&lt;item&gt;6&lt;/item&gt;&lt;item&gt;79&lt;/item&gt;&lt;item&gt;171&lt;/item&gt;&lt;/record-ids&gt;&lt;/item&gt;&lt;/Libraries&gt;"/>
  </w:docVars>
  <w:rsids>
    <w:rsidRoot w:val="001B113A"/>
    <w:rsid w:val="00015D20"/>
    <w:rsid w:val="00061C57"/>
    <w:rsid w:val="0008316C"/>
    <w:rsid w:val="000831D9"/>
    <w:rsid w:val="000B00CD"/>
    <w:rsid w:val="000D3C0D"/>
    <w:rsid w:val="00143477"/>
    <w:rsid w:val="0014366D"/>
    <w:rsid w:val="00194C9F"/>
    <w:rsid w:val="001A5C7B"/>
    <w:rsid w:val="001B113A"/>
    <w:rsid w:val="001C5121"/>
    <w:rsid w:val="00222415"/>
    <w:rsid w:val="00244D20"/>
    <w:rsid w:val="002B3076"/>
    <w:rsid w:val="002C0FB5"/>
    <w:rsid w:val="002C799C"/>
    <w:rsid w:val="002F7395"/>
    <w:rsid w:val="0031435A"/>
    <w:rsid w:val="00331F17"/>
    <w:rsid w:val="003670A0"/>
    <w:rsid w:val="00374A35"/>
    <w:rsid w:val="003809EB"/>
    <w:rsid w:val="003B0F5C"/>
    <w:rsid w:val="003D009C"/>
    <w:rsid w:val="003E2832"/>
    <w:rsid w:val="003F0823"/>
    <w:rsid w:val="00407E6B"/>
    <w:rsid w:val="00410149"/>
    <w:rsid w:val="00413379"/>
    <w:rsid w:val="00426EC5"/>
    <w:rsid w:val="00472AEB"/>
    <w:rsid w:val="00480338"/>
    <w:rsid w:val="00483EBB"/>
    <w:rsid w:val="00486E53"/>
    <w:rsid w:val="004B35D3"/>
    <w:rsid w:val="004B6C19"/>
    <w:rsid w:val="004B7B5B"/>
    <w:rsid w:val="004C0C33"/>
    <w:rsid w:val="004C5192"/>
    <w:rsid w:val="004D6059"/>
    <w:rsid w:val="004E44A6"/>
    <w:rsid w:val="004F47B0"/>
    <w:rsid w:val="00510F1E"/>
    <w:rsid w:val="0053059C"/>
    <w:rsid w:val="0055293C"/>
    <w:rsid w:val="00562150"/>
    <w:rsid w:val="005C1835"/>
    <w:rsid w:val="005D76B4"/>
    <w:rsid w:val="005E4A6C"/>
    <w:rsid w:val="00600269"/>
    <w:rsid w:val="0061308C"/>
    <w:rsid w:val="00633D2D"/>
    <w:rsid w:val="00636C86"/>
    <w:rsid w:val="00647066"/>
    <w:rsid w:val="0065666F"/>
    <w:rsid w:val="006705F9"/>
    <w:rsid w:val="006A58A8"/>
    <w:rsid w:val="006D2020"/>
    <w:rsid w:val="006E5ACB"/>
    <w:rsid w:val="00757873"/>
    <w:rsid w:val="00761859"/>
    <w:rsid w:val="00786A67"/>
    <w:rsid w:val="007A584B"/>
    <w:rsid w:val="007B5E4B"/>
    <w:rsid w:val="007E0937"/>
    <w:rsid w:val="007E3AC5"/>
    <w:rsid w:val="007E4B41"/>
    <w:rsid w:val="008261F1"/>
    <w:rsid w:val="0082621C"/>
    <w:rsid w:val="00831AD3"/>
    <w:rsid w:val="00854027"/>
    <w:rsid w:val="00854753"/>
    <w:rsid w:val="00863526"/>
    <w:rsid w:val="008672D3"/>
    <w:rsid w:val="008A182D"/>
    <w:rsid w:val="008A41E7"/>
    <w:rsid w:val="008A731E"/>
    <w:rsid w:val="008C79E5"/>
    <w:rsid w:val="008D219E"/>
    <w:rsid w:val="008F1537"/>
    <w:rsid w:val="0090299A"/>
    <w:rsid w:val="00950339"/>
    <w:rsid w:val="0099649B"/>
    <w:rsid w:val="009A152B"/>
    <w:rsid w:val="009D00FF"/>
    <w:rsid w:val="009D2659"/>
    <w:rsid w:val="009E7412"/>
    <w:rsid w:val="00A22BDE"/>
    <w:rsid w:val="00A4429A"/>
    <w:rsid w:val="00A559F4"/>
    <w:rsid w:val="00A65520"/>
    <w:rsid w:val="00A73FE1"/>
    <w:rsid w:val="00A77158"/>
    <w:rsid w:val="00A810B6"/>
    <w:rsid w:val="00A90CBA"/>
    <w:rsid w:val="00AB64E0"/>
    <w:rsid w:val="00AC40AD"/>
    <w:rsid w:val="00B005BE"/>
    <w:rsid w:val="00B16473"/>
    <w:rsid w:val="00B17D79"/>
    <w:rsid w:val="00B441DC"/>
    <w:rsid w:val="00B50989"/>
    <w:rsid w:val="00B6093E"/>
    <w:rsid w:val="00B875DB"/>
    <w:rsid w:val="00BA758F"/>
    <w:rsid w:val="00BB2419"/>
    <w:rsid w:val="00BD08F5"/>
    <w:rsid w:val="00C13D82"/>
    <w:rsid w:val="00C31D4D"/>
    <w:rsid w:val="00C400C1"/>
    <w:rsid w:val="00C554E7"/>
    <w:rsid w:val="00C72F89"/>
    <w:rsid w:val="00C73334"/>
    <w:rsid w:val="00C90CFF"/>
    <w:rsid w:val="00CA2FFD"/>
    <w:rsid w:val="00CE06FF"/>
    <w:rsid w:val="00CF1596"/>
    <w:rsid w:val="00D06967"/>
    <w:rsid w:val="00D21C6F"/>
    <w:rsid w:val="00D23CB8"/>
    <w:rsid w:val="00D358EE"/>
    <w:rsid w:val="00D406EB"/>
    <w:rsid w:val="00D72115"/>
    <w:rsid w:val="00DC2193"/>
    <w:rsid w:val="00E0195B"/>
    <w:rsid w:val="00E0241E"/>
    <w:rsid w:val="00E079D0"/>
    <w:rsid w:val="00E14828"/>
    <w:rsid w:val="00E21B3A"/>
    <w:rsid w:val="00E51DCD"/>
    <w:rsid w:val="00E660E3"/>
    <w:rsid w:val="00E735D4"/>
    <w:rsid w:val="00E7499F"/>
    <w:rsid w:val="00E827E3"/>
    <w:rsid w:val="00E86461"/>
    <w:rsid w:val="00EB7297"/>
    <w:rsid w:val="00ED4BEF"/>
    <w:rsid w:val="00ED78C9"/>
    <w:rsid w:val="00EF0FCF"/>
    <w:rsid w:val="00F1142E"/>
    <w:rsid w:val="00F2028B"/>
    <w:rsid w:val="00F26218"/>
    <w:rsid w:val="00F425CF"/>
    <w:rsid w:val="00F8118D"/>
    <w:rsid w:val="00F94D05"/>
    <w:rsid w:val="00FC64FC"/>
    <w:rsid w:val="00FE3B89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68045"/>
  <w15:chartTrackingRefBased/>
  <w15:docId w15:val="{765488B4-13EC-4EAD-BDDE-FCEA8892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13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berschrift3">
    <w:name w:val="heading 3"/>
    <w:basedOn w:val="Standard"/>
    <w:link w:val="berschrift3Zchn"/>
    <w:uiPriority w:val="9"/>
    <w:qFormat/>
    <w:rsid w:val="002C0F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rsid w:val="001B1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link w:val="KopfzeileZchn"/>
    <w:rsid w:val="001B11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B113A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de-DE"/>
    </w:rPr>
  </w:style>
  <w:style w:type="paragraph" w:customStyle="1" w:styleId="Text">
    <w:name w:val="Text"/>
    <w:next w:val="EndNoteBibliography"/>
    <w:link w:val="TextZchn"/>
    <w:rsid w:val="001B1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0"/>
      <w:szCs w:val="20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EndNoteBibliography">
    <w:name w:val="EndNote Bibliography"/>
    <w:link w:val="EndNoteBibliographyZchn"/>
    <w:rsid w:val="001B1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Calibri"/>
      <w:color w:val="000000"/>
      <w:kern w:val="2"/>
      <w:sz w:val="24"/>
      <w:szCs w:val="24"/>
      <w:u w:color="000000"/>
      <w:bdr w:val="nil"/>
      <w:lang w:val="en-US" w:eastAsia="de-DE"/>
    </w:rPr>
  </w:style>
  <w:style w:type="character" w:customStyle="1" w:styleId="Hyperlink0">
    <w:name w:val="Hyperlink.0"/>
    <w:basedOn w:val="Absatz-Standardschriftart"/>
    <w:rsid w:val="001B113A"/>
    <w:rPr>
      <w:outline w:val="0"/>
      <w:color w:val="0563C1"/>
      <w:u w:val="single" w:color="0563C1"/>
      <w:lang w:val="en-US"/>
    </w:rPr>
  </w:style>
  <w:style w:type="character" w:customStyle="1" w:styleId="TextZchn">
    <w:name w:val="Text Zchn"/>
    <w:basedOn w:val="Absatz-Standardschriftart"/>
    <w:link w:val="Text"/>
    <w:rsid w:val="001B113A"/>
    <w:rPr>
      <w:rFonts w:ascii="Times New Roman" w:eastAsia="Arial Unicode MS" w:hAnsi="Times New Roman" w:cs="Arial Unicode MS"/>
      <w:color w:val="000000"/>
      <w:kern w:val="2"/>
      <w:sz w:val="20"/>
      <w:szCs w:val="20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paragraph" w:styleId="KeinLeerraum">
    <w:name w:val="No Spacing"/>
    <w:uiPriority w:val="1"/>
    <w:qFormat/>
    <w:rsid w:val="001B1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rsid w:val="00BB2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"/>
      <w:sz w:val="20"/>
      <w:szCs w:val="20"/>
      <w:u w:color="000000"/>
      <w:bdr w:val="nil"/>
      <w:lang w:eastAsia="de-DE"/>
    </w:rPr>
  </w:style>
  <w:style w:type="numbering" w:customStyle="1" w:styleId="ImportierterStil1">
    <w:name w:val="Importierter Stil: 1"/>
    <w:rsid w:val="00BB2419"/>
    <w:pPr>
      <w:numPr>
        <w:numId w:val="1"/>
      </w:numPr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A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A6C"/>
    <w:rPr>
      <w:rFonts w:ascii="Helvetica Neue" w:eastAsia="Helvetica Neue" w:hAnsi="Helvetica Neue" w:cs="Helvetica Neue"/>
      <w:color w:val="000000"/>
      <w:sz w:val="20"/>
      <w:szCs w:val="2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A6C"/>
    <w:rPr>
      <w:sz w:val="16"/>
      <w:szCs w:val="16"/>
    </w:rPr>
  </w:style>
  <w:style w:type="paragraph" w:styleId="StandardWeb">
    <w:name w:val="Normal (Web)"/>
    <w:uiPriority w:val="99"/>
    <w:rsid w:val="004B6C1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6C1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6C19"/>
    <w:rPr>
      <w:rFonts w:ascii="Helvetica Neue" w:eastAsia="Helvetica Neue" w:hAnsi="Helvetica Neue" w:cs="Helvetica Neue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CA2FF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C0FB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2C0FB5"/>
    <w:rPr>
      <w:b/>
      <w:bCs/>
    </w:rPr>
  </w:style>
  <w:style w:type="paragraph" w:customStyle="1" w:styleId="EndNoteBibliographyTitle">
    <w:name w:val="EndNote Bibliography Title"/>
    <w:basedOn w:val="Standard"/>
    <w:link w:val="EndNoteBibliographyTitleZchn"/>
    <w:rsid w:val="00222415"/>
    <w:pPr>
      <w:jc w:val="center"/>
    </w:pPr>
  </w:style>
  <w:style w:type="character" w:customStyle="1" w:styleId="EndNoteBibliographyZchn">
    <w:name w:val="EndNote Bibliography Zchn"/>
    <w:basedOn w:val="Absatz-Standardschriftart"/>
    <w:link w:val="EndNoteBibliography"/>
    <w:rsid w:val="00222415"/>
    <w:rPr>
      <w:rFonts w:ascii="Helvetica Neue" w:eastAsia="Arial Unicode MS" w:hAnsi="Helvetica Neue" w:cs="Calibri"/>
      <w:color w:val="000000"/>
      <w:kern w:val="2"/>
      <w:sz w:val="24"/>
      <w:szCs w:val="24"/>
      <w:u w:color="000000"/>
      <w:bdr w:val="nil"/>
      <w:lang w:val="en-US" w:eastAsia="de-DE"/>
    </w:rPr>
  </w:style>
  <w:style w:type="character" w:customStyle="1" w:styleId="EndNoteBibliographyTitleZchn">
    <w:name w:val="EndNote Bibliography Title Zchn"/>
    <w:basedOn w:val="EndNoteBibliographyZchn"/>
    <w:link w:val="EndNoteBibliographyTitle"/>
    <w:rsid w:val="00222415"/>
    <w:rPr>
      <w:rFonts w:ascii="Helvetica Neue" w:eastAsia="Helvetica Neue" w:hAnsi="Helvetica Neue" w:cs="Helvetica Neue"/>
      <w:color w:val="000000"/>
      <w:kern w:val="2"/>
      <w:sz w:val="24"/>
      <w:szCs w:val="24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7618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bridgecognition.com" TargetMode="External"/><Relationship Id="rId13" Type="http://schemas.openxmlformats.org/officeDocument/2006/relationships/hyperlink" Target="https://doi.org/10.1176/appi.ajp.160.8.14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heim@charite.de" TargetMode="External"/><Relationship Id="rId12" Type="http://schemas.openxmlformats.org/officeDocument/2006/relationships/hyperlink" Target="https://doi.org/10.1177/10775595166692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12</Pages>
  <Words>2399</Words>
  <Characters>15114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- Universitätsmedizin Berlin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Fleck, Lara</dc:creator>
  <cp:keywords/>
  <dc:description/>
  <cp:lastModifiedBy>Calgéer, Lara</cp:lastModifiedBy>
  <cp:revision>8</cp:revision>
  <cp:lastPrinted>2024-07-04T14:17:00Z</cp:lastPrinted>
  <dcterms:created xsi:type="dcterms:W3CDTF">2024-09-17T09:08:00Z</dcterms:created>
  <dcterms:modified xsi:type="dcterms:W3CDTF">2024-10-01T09:57:00Z</dcterms:modified>
</cp:coreProperties>
</file>