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5FD03" w14:textId="5C9ED65F" w:rsidR="00CD79EF" w:rsidRPr="002517A0" w:rsidRDefault="00CC4901" w:rsidP="002517A0">
      <w:pPr>
        <w:spacing w:after="120"/>
        <w:rPr>
          <w:rFonts w:ascii="Times New Roman" w:hAnsi="Times New Roman" w:cs="Times New Roman"/>
          <w:b/>
          <w:bCs/>
          <w:lang w:val="en-US"/>
        </w:rPr>
      </w:pPr>
      <w:r w:rsidRPr="002517A0">
        <w:rPr>
          <w:rFonts w:ascii="Times New Roman" w:hAnsi="Times New Roman" w:cs="Times New Roman"/>
          <w:b/>
          <w:bCs/>
          <w:lang w:val="en-US"/>
        </w:rPr>
        <w:t>Supplementary Table 3: Construction of groups based on</w:t>
      </w:r>
      <w:r w:rsidR="00DA534F">
        <w:rPr>
          <w:rFonts w:ascii="Times New Roman" w:hAnsi="Times New Roman" w:cs="Times New Roman"/>
          <w:b/>
          <w:bCs/>
          <w:lang w:val="en-US"/>
        </w:rPr>
        <w:t xml:space="preserve"> CD163 measurements in different</w:t>
      </w:r>
      <w:r w:rsidRPr="002517A0">
        <w:rPr>
          <w:rFonts w:ascii="Times New Roman" w:hAnsi="Times New Roman" w:cs="Times New Roman"/>
          <w:b/>
          <w:bCs/>
          <w:lang w:val="en-US"/>
        </w:rPr>
        <w:t xml:space="preserve"> histo</w:t>
      </w:r>
      <w:r w:rsidR="00B92744" w:rsidRPr="002517A0">
        <w:rPr>
          <w:rFonts w:ascii="Times New Roman" w:hAnsi="Times New Roman" w:cs="Times New Roman"/>
          <w:b/>
          <w:bCs/>
          <w:lang w:val="en-US"/>
        </w:rPr>
        <w:t>patho</w:t>
      </w:r>
      <w:r w:rsidRPr="002517A0">
        <w:rPr>
          <w:rFonts w:ascii="Times New Roman" w:hAnsi="Times New Roman" w:cs="Times New Roman"/>
          <w:b/>
          <w:bCs/>
          <w:lang w:val="en-US"/>
        </w:rPr>
        <w:t>logical</w:t>
      </w:r>
      <w:r w:rsidR="00B92744" w:rsidRPr="002517A0">
        <w:rPr>
          <w:rFonts w:ascii="Times New Roman" w:hAnsi="Times New Roman" w:cs="Times New Roman"/>
          <w:b/>
          <w:bCs/>
          <w:lang w:val="en-US"/>
        </w:rPr>
        <w:t xml:space="preserve"> components and spatial</w:t>
      </w:r>
      <w:r w:rsidRPr="002517A0">
        <w:rPr>
          <w:rFonts w:ascii="Times New Roman" w:hAnsi="Times New Roman" w:cs="Times New Roman"/>
          <w:b/>
          <w:bCs/>
          <w:lang w:val="en-US"/>
        </w:rPr>
        <w:t xml:space="preserve"> localizations</w:t>
      </w:r>
    </w:p>
    <w:tbl>
      <w:tblPr>
        <w:tblStyle w:val="Tabel-Gitter"/>
        <w:tblW w:w="0" w:type="auto"/>
        <w:tblLook w:val="04A0" w:firstRow="1" w:lastRow="0" w:firstColumn="1" w:lastColumn="0" w:noHBand="0" w:noVBand="1"/>
      </w:tblPr>
      <w:tblGrid>
        <w:gridCol w:w="1925"/>
        <w:gridCol w:w="1925"/>
        <w:gridCol w:w="1926"/>
        <w:gridCol w:w="1926"/>
        <w:gridCol w:w="1926"/>
      </w:tblGrid>
      <w:tr w:rsidR="00CC4901" w:rsidRPr="00953B8D" w14:paraId="291AC54C" w14:textId="77777777" w:rsidTr="004706A7">
        <w:tc>
          <w:tcPr>
            <w:tcW w:w="1925" w:type="dxa"/>
            <w:shd w:val="clear" w:color="auto" w:fill="A5C9EB" w:themeFill="text2" w:themeFillTint="40"/>
            <w:vAlign w:val="center"/>
          </w:tcPr>
          <w:p w14:paraId="5ECD67EA" w14:textId="081F8A86" w:rsidR="00CC4901" w:rsidRPr="00C72373" w:rsidRDefault="00CC4901" w:rsidP="004706A7">
            <w:pPr>
              <w:spacing w:before="120" w:after="120"/>
              <w:jc w:val="center"/>
              <w:rPr>
                <w:rFonts w:ascii="Arial" w:hAnsi="Arial" w:cs="Arial"/>
                <w:b/>
                <w:bCs/>
                <w:sz w:val="20"/>
                <w:szCs w:val="20"/>
                <w:lang w:val="en-US"/>
              </w:rPr>
            </w:pPr>
            <w:r w:rsidRPr="00C72373">
              <w:rPr>
                <w:rFonts w:ascii="Arial" w:hAnsi="Arial" w:cs="Arial"/>
                <w:b/>
                <w:bCs/>
                <w:sz w:val="20"/>
                <w:szCs w:val="20"/>
                <w:lang w:val="en-US"/>
              </w:rPr>
              <w:t>Groups in the present review</w:t>
            </w:r>
          </w:p>
        </w:tc>
        <w:tc>
          <w:tcPr>
            <w:tcW w:w="1925" w:type="dxa"/>
            <w:shd w:val="clear" w:color="auto" w:fill="A5C9EB" w:themeFill="text2" w:themeFillTint="40"/>
            <w:vAlign w:val="center"/>
          </w:tcPr>
          <w:p w14:paraId="09186C7B" w14:textId="6386E968" w:rsidR="00CC4901" w:rsidRPr="00C72373" w:rsidRDefault="00CC4901" w:rsidP="004706A7">
            <w:pPr>
              <w:spacing w:before="120" w:after="120"/>
              <w:jc w:val="center"/>
              <w:rPr>
                <w:rFonts w:ascii="Arial" w:hAnsi="Arial" w:cs="Arial"/>
                <w:b/>
                <w:bCs/>
                <w:sz w:val="20"/>
                <w:szCs w:val="20"/>
                <w:lang w:val="en-US"/>
              </w:rPr>
            </w:pPr>
            <w:r w:rsidRPr="00C72373">
              <w:rPr>
                <w:rFonts w:ascii="Arial" w:hAnsi="Arial" w:cs="Arial"/>
                <w:b/>
                <w:bCs/>
                <w:sz w:val="20"/>
                <w:szCs w:val="20"/>
                <w:lang w:val="en-US"/>
              </w:rPr>
              <w:t>Tumor epithelium</w:t>
            </w:r>
          </w:p>
        </w:tc>
        <w:tc>
          <w:tcPr>
            <w:tcW w:w="1926" w:type="dxa"/>
            <w:shd w:val="clear" w:color="auto" w:fill="A5C9EB" w:themeFill="text2" w:themeFillTint="40"/>
            <w:vAlign w:val="center"/>
          </w:tcPr>
          <w:p w14:paraId="09065073" w14:textId="77DA62F4" w:rsidR="00CC4901" w:rsidRPr="00C72373" w:rsidRDefault="00CC4901" w:rsidP="004706A7">
            <w:pPr>
              <w:spacing w:before="120" w:after="120"/>
              <w:jc w:val="center"/>
              <w:rPr>
                <w:rFonts w:ascii="Arial" w:hAnsi="Arial" w:cs="Arial"/>
                <w:b/>
                <w:bCs/>
                <w:sz w:val="20"/>
                <w:szCs w:val="20"/>
                <w:lang w:val="en-US"/>
              </w:rPr>
            </w:pPr>
            <w:r w:rsidRPr="00C72373">
              <w:rPr>
                <w:rFonts w:ascii="Arial" w:hAnsi="Arial" w:cs="Arial"/>
                <w:b/>
                <w:bCs/>
                <w:sz w:val="20"/>
                <w:szCs w:val="20"/>
                <w:lang w:val="en-US"/>
              </w:rPr>
              <w:t>Tumor stroma</w:t>
            </w:r>
          </w:p>
        </w:tc>
        <w:tc>
          <w:tcPr>
            <w:tcW w:w="1926" w:type="dxa"/>
            <w:shd w:val="clear" w:color="auto" w:fill="A5C9EB" w:themeFill="text2" w:themeFillTint="40"/>
            <w:vAlign w:val="center"/>
          </w:tcPr>
          <w:p w14:paraId="5249143B" w14:textId="146585FF" w:rsidR="00CC4901" w:rsidRPr="00C72373" w:rsidRDefault="00C72373" w:rsidP="004706A7">
            <w:pPr>
              <w:spacing w:before="120" w:after="120"/>
              <w:jc w:val="center"/>
              <w:rPr>
                <w:rFonts w:ascii="Arial" w:hAnsi="Arial" w:cs="Arial"/>
                <w:b/>
                <w:bCs/>
                <w:sz w:val="20"/>
                <w:szCs w:val="20"/>
                <w:lang w:val="en-US"/>
              </w:rPr>
            </w:pPr>
            <w:r w:rsidRPr="00C72373">
              <w:rPr>
                <w:rFonts w:ascii="Arial" w:hAnsi="Arial" w:cs="Arial"/>
                <w:b/>
                <w:bCs/>
                <w:sz w:val="20"/>
                <w:szCs w:val="20"/>
                <w:lang w:val="en-US"/>
              </w:rPr>
              <w:t>Tumor center</w:t>
            </w:r>
          </w:p>
        </w:tc>
        <w:tc>
          <w:tcPr>
            <w:tcW w:w="1926" w:type="dxa"/>
            <w:shd w:val="clear" w:color="auto" w:fill="A5C9EB" w:themeFill="text2" w:themeFillTint="40"/>
            <w:vAlign w:val="center"/>
          </w:tcPr>
          <w:p w14:paraId="589A0E13" w14:textId="709FE3E6" w:rsidR="00CC4901" w:rsidRPr="00C72373" w:rsidRDefault="001A2069" w:rsidP="004706A7">
            <w:pPr>
              <w:spacing w:before="120" w:after="120"/>
              <w:jc w:val="center"/>
              <w:rPr>
                <w:rFonts w:ascii="Arial" w:hAnsi="Arial" w:cs="Arial"/>
                <w:b/>
                <w:bCs/>
                <w:sz w:val="20"/>
                <w:szCs w:val="20"/>
                <w:lang w:val="en-US"/>
              </w:rPr>
            </w:pPr>
            <w:r w:rsidRPr="00C72373">
              <w:rPr>
                <w:rFonts w:ascii="Arial" w:hAnsi="Arial" w:cs="Arial"/>
                <w:b/>
                <w:bCs/>
                <w:sz w:val="20"/>
                <w:szCs w:val="20"/>
                <w:lang w:val="en-US"/>
              </w:rPr>
              <w:t>Tumor periphery</w:t>
            </w:r>
          </w:p>
        </w:tc>
      </w:tr>
      <w:tr w:rsidR="00CC4901" w:rsidRPr="001A0960" w14:paraId="382D96F1" w14:textId="77777777" w:rsidTr="00CC4901">
        <w:trPr>
          <w:trHeight w:val="60"/>
        </w:trPr>
        <w:tc>
          <w:tcPr>
            <w:tcW w:w="1925" w:type="dxa"/>
            <w:shd w:val="clear" w:color="auto" w:fill="DAE9F7" w:themeFill="text2" w:themeFillTint="1A"/>
            <w:vAlign w:val="center"/>
          </w:tcPr>
          <w:p w14:paraId="030FB8A6" w14:textId="37F37DD1" w:rsidR="00CC4901" w:rsidRPr="00C72373" w:rsidRDefault="00CC4901" w:rsidP="00CC4901">
            <w:pPr>
              <w:spacing w:before="120"/>
              <w:jc w:val="center"/>
              <w:rPr>
                <w:rFonts w:ascii="Arial" w:hAnsi="Arial" w:cs="Arial"/>
                <w:b/>
                <w:bCs/>
                <w:sz w:val="20"/>
                <w:szCs w:val="20"/>
                <w:lang w:val="en-US"/>
              </w:rPr>
            </w:pPr>
            <w:r w:rsidRPr="00C72373">
              <w:rPr>
                <w:rFonts w:ascii="Arial" w:hAnsi="Arial" w:cs="Arial"/>
                <w:b/>
                <w:bCs/>
                <w:sz w:val="20"/>
                <w:szCs w:val="20"/>
                <w:lang w:val="en-US"/>
              </w:rPr>
              <w:t>Terms used the included studies</w:t>
            </w:r>
          </w:p>
        </w:tc>
        <w:tc>
          <w:tcPr>
            <w:tcW w:w="1925" w:type="dxa"/>
          </w:tcPr>
          <w:p w14:paraId="10E498A3" w14:textId="3191B1E0"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Tumor</w:t>
            </w:r>
          </w:p>
          <w:p w14:paraId="3A3E9D93" w14:textId="62E89903"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Intratumoral</w:t>
            </w:r>
          </w:p>
          <w:p w14:paraId="5E1840CF" w14:textId="44B153AC"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Intra-epithelial</w:t>
            </w:r>
          </w:p>
          <w:p w14:paraId="1404DE90" w14:textId="45CB95E9"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Epithelial</w:t>
            </w:r>
          </w:p>
          <w:p w14:paraId="0AE5B50D" w14:textId="7CD12B3D"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Tumor region</w:t>
            </w:r>
          </w:p>
          <w:p w14:paraId="1109CD25" w14:textId="58821175"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Tumor nest</w:t>
            </w:r>
          </w:p>
          <w:p w14:paraId="69B5D13F" w14:textId="3C614563"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Tumor islets</w:t>
            </w:r>
          </w:p>
          <w:p w14:paraId="79AD74F8" w14:textId="31F2DB31"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Tumor tissue cellular</w:t>
            </w:r>
          </w:p>
          <w:p w14:paraId="0D2B6916" w14:textId="5A6F7B8C"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Central</w:t>
            </w:r>
            <w:r w:rsidR="009A58A4" w:rsidRPr="00730705">
              <w:rPr>
                <w:rFonts w:ascii="Arial" w:hAnsi="Arial" w:cs="Arial"/>
                <w:sz w:val="20"/>
                <w:szCs w:val="20"/>
                <w:vertAlign w:val="superscript"/>
                <w:lang w:val="en-US"/>
              </w:rPr>
              <w:t>1</w:t>
            </w:r>
          </w:p>
        </w:tc>
        <w:tc>
          <w:tcPr>
            <w:tcW w:w="1926" w:type="dxa"/>
          </w:tcPr>
          <w:p w14:paraId="4222E06A" w14:textId="72A8BF94"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Stroma</w:t>
            </w:r>
            <w:r w:rsidR="00C72373" w:rsidRPr="00730705">
              <w:rPr>
                <w:rFonts w:ascii="Arial" w:hAnsi="Arial" w:cs="Arial"/>
                <w:sz w:val="20"/>
                <w:szCs w:val="20"/>
                <w:lang w:val="en-US"/>
              </w:rPr>
              <w:t>(l)</w:t>
            </w:r>
          </w:p>
          <w:p w14:paraId="5B611556" w14:textId="41ED1B47" w:rsidR="00612742" w:rsidRPr="00730705" w:rsidRDefault="00612742" w:rsidP="00CC4901">
            <w:pPr>
              <w:spacing w:before="120"/>
              <w:jc w:val="center"/>
              <w:rPr>
                <w:rFonts w:ascii="Arial" w:hAnsi="Arial" w:cs="Arial"/>
                <w:sz w:val="20"/>
                <w:szCs w:val="20"/>
                <w:lang w:val="en-US"/>
              </w:rPr>
            </w:pPr>
            <w:r w:rsidRPr="00730705">
              <w:rPr>
                <w:rFonts w:ascii="Arial" w:hAnsi="Arial" w:cs="Arial"/>
                <w:sz w:val="20"/>
                <w:szCs w:val="20"/>
                <w:lang w:val="en-US"/>
              </w:rPr>
              <w:t>Tumor stroma</w:t>
            </w:r>
          </w:p>
          <w:p w14:paraId="5066E02A" w14:textId="4370EE0E"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Stroma region</w:t>
            </w:r>
          </w:p>
          <w:p w14:paraId="5A9D12A9" w14:textId="2AB47262"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Tumor tissue stromal</w:t>
            </w:r>
          </w:p>
          <w:p w14:paraId="56CAD90D" w14:textId="0CF74EF8"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 xml:space="preserve">Tumor </w:t>
            </w:r>
            <w:r w:rsidR="00B92744" w:rsidRPr="00730705">
              <w:rPr>
                <w:rFonts w:ascii="Arial" w:hAnsi="Arial" w:cs="Arial"/>
                <w:sz w:val="20"/>
                <w:szCs w:val="20"/>
                <w:lang w:val="en-US"/>
              </w:rPr>
              <w:t>microenvironment</w:t>
            </w:r>
          </w:p>
          <w:p w14:paraId="556B2DFC" w14:textId="14AFA89E"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Margin</w:t>
            </w:r>
            <w:r w:rsidR="009A58A4" w:rsidRPr="00730705">
              <w:rPr>
                <w:rFonts w:ascii="Arial" w:hAnsi="Arial" w:cs="Arial"/>
                <w:sz w:val="20"/>
                <w:szCs w:val="20"/>
                <w:vertAlign w:val="superscript"/>
                <w:lang w:val="en-US"/>
              </w:rPr>
              <w:t>1</w:t>
            </w:r>
          </w:p>
        </w:tc>
        <w:tc>
          <w:tcPr>
            <w:tcW w:w="1926" w:type="dxa"/>
          </w:tcPr>
          <w:p w14:paraId="05475DA6" w14:textId="25330E26"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Center of tumor</w:t>
            </w:r>
            <w:r w:rsidR="007619AA" w:rsidRPr="00730705">
              <w:rPr>
                <w:rFonts w:ascii="Arial" w:hAnsi="Arial" w:cs="Arial"/>
                <w:sz w:val="20"/>
                <w:szCs w:val="20"/>
                <w:lang w:val="en-US"/>
              </w:rPr>
              <w:t xml:space="preserve"> / Tumor center</w:t>
            </w:r>
          </w:p>
          <w:p w14:paraId="61FE8230" w14:textId="50B76BFD"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Core of tumor</w:t>
            </w:r>
            <w:r w:rsidR="007619AA" w:rsidRPr="00730705">
              <w:rPr>
                <w:rFonts w:ascii="Arial" w:hAnsi="Arial" w:cs="Arial"/>
                <w:sz w:val="20"/>
                <w:szCs w:val="20"/>
                <w:lang w:val="en-US"/>
              </w:rPr>
              <w:t xml:space="preserve"> / tumor core</w:t>
            </w:r>
          </w:p>
          <w:p w14:paraId="27E442B3" w14:textId="3483F965" w:rsidR="001A0DCE" w:rsidRPr="00730705" w:rsidRDefault="00D26CF3" w:rsidP="00730705">
            <w:pPr>
              <w:spacing w:before="120"/>
              <w:jc w:val="center"/>
              <w:rPr>
                <w:rFonts w:ascii="Arial" w:hAnsi="Arial" w:cs="Arial"/>
                <w:sz w:val="20"/>
                <w:szCs w:val="20"/>
                <w:lang w:val="en-US"/>
              </w:rPr>
            </w:pPr>
            <w:r w:rsidRPr="00730705">
              <w:rPr>
                <w:rFonts w:ascii="Arial" w:hAnsi="Arial" w:cs="Arial"/>
                <w:sz w:val="20"/>
                <w:szCs w:val="20"/>
                <w:lang w:val="en-US"/>
              </w:rPr>
              <w:t>Tumor central area</w:t>
            </w:r>
          </w:p>
          <w:p w14:paraId="4B7333EA" w14:textId="77777777" w:rsidR="00454DBF" w:rsidRPr="00730705" w:rsidRDefault="00454DBF" w:rsidP="00CC4901">
            <w:pPr>
              <w:spacing w:before="120"/>
              <w:jc w:val="center"/>
              <w:rPr>
                <w:rFonts w:ascii="Arial" w:hAnsi="Arial" w:cs="Arial"/>
                <w:sz w:val="20"/>
                <w:szCs w:val="20"/>
                <w:lang w:val="en-US"/>
              </w:rPr>
            </w:pPr>
            <w:r w:rsidRPr="00730705">
              <w:rPr>
                <w:rFonts w:ascii="Arial" w:hAnsi="Arial" w:cs="Arial"/>
                <w:sz w:val="20"/>
                <w:szCs w:val="20"/>
                <w:lang w:val="en-US"/>
              </w:rPr>
              <w:t>Central tumor</w:t>
            </w:r>
          </w:p>
          <w:p w14:paraId="0ABA07A4" w14:textId="77777777" w:rsidR="00C72373" w:rsidRPr="00730705" w:rsidRDefault="00C72373" w:rsidP="00CC4901">
            <w:pPr>
              <w:spacing w:before="120"/>
              <w:jc w:val="center"/>
              <w:rPr>
                <w:rFonts w:ascii="Arial" w:hAnsi="Arial" w:cs="Arial"/>
                <w:sz w:val="20"/>
                <w:szCs w:val="20"/>
                <w:lang w:val="en-US"/>
              </w:rPr>
            </w:pPr>
            <w:r w:rsidRPr="00730705">
              <w:rPr>
                <w:rFonts w:ascii="Arial" w:hAnsi="Arial" w:cs="Arial"/>
                <w:sz w:val="20"/>
                <w:szCs w:val="20"/>
                <w:lang w:val="en-US"/>
              </w:rPr>
              <w:t>Intratumoral region</w:t>
            </w:r>
          </w:p>
          <w:p w14:paraId="63FDB52A" w14:textId="71AF1CE3" w:rsidR="00C72373" w:rsidRPr="00730705" w:rsidRDefault="00C72373" w:rsidP="00CC4901">
            <w:pPr>
              <w:spacing w:before="120"/>
              <w:jc w:val="center"/>
              <w:rPr>
                <w:rFonts w:ascii="Arial" w:hAnsi="Arial" w:cs="Arial"/>
                <w:sz w:val="20"/>
                <w:szCs w:val="20"/>
                <w:lang w:val="en-US"/>
              </w:rPr>
            </w:pPr>
            <w:r w:rsidRPr="00730705">
              <w:rPr>
                <w:rFonts w:ascii="Arial" w:hAnsi="Arial" w:cs="Arial"/>
                <w:sz w:val="20"/>
                <w:szCs w:val="20"/>
                <w:lang w:val="en-US"/>
              </w:rPr>
              <w:t>Intratumor</w:t>
            </w:r>
            <w:r w:rsidR="00730705" w:rsidRPr="00730705">
              <w:rPr>
                <w:rFonts w:ascii="Arial" w:hAnsi="Arial" w:cs="Arial"/>
                <w:sz w:val="20"/>
                <w:szCs w:val="20"/>
                <w:lang w:val="en-US"/>
              </w:rPr>
              <w:t>al</w:t>
            </w:r>
          </w:p>
          <w:p w14:paraId="208A8F18" w14:textId="77777777" w:rsidR="00C72373" w:rsidRPr="00730705" w:rsidRDefault="00C72373" w:rsidP="00CC4901">
            <w:pPr>
              <w:spacing w:before="120"/>
              <w:jc w:val="center"/>
              <w:rPr>
                <w:rFonts w:ascii="Arial" w:hAnsi="Arial" w:cs="Arial"/>
                <w:sz w:val="20"/>
                <w:szCs w:val="20"/>
                <w:lang w:val="en-US"/>
              </w:rPr>
            </w:pPr>
            <w:r w:rsidRPr="00730705">
              <w:rPr>
                <w:rFonts w:ascii="Arial" w:hAnsi="Arial" w:cs="Arial"/>
                <w:sz w:val="20"/>
                <w:szCs w:val="20"/>
                <w:lang w:val="en-US"/>
              </w:rPr>
              <w:t>Non-invasive front</w:t>
            </w:r>
          </w:p>
          <w:p w14:paraId="6371E813" w14:textId="77777777" w:rsidR="00C72373" w:rsidRPr="00730705" w:rsidRDefault="00C72373" w:rsidP="00CC4901">
            <w:pPr>
              <w:spacing w:before="120"/>
              <w:jc w:val="center"/>
              <w:rPr>
                <w:rFonts w:ascii="Arial" w:hAnsi="Arial" w:cs="Arial"/>
                <w:sz w:val="20"/>
                <w:szCs w:val="20"/>
                <w:lang w:val="en-US"/>
              </w:rPr>
            </w:pPr>
            <w:r w:rsidRPr="00730705">
              <w:rPr>
                <w:rFonts w:ascii="Arial" w:hAnsi="Arial" w:cs="Arial"/>
                <w:sz w:val="20"/>
                <w:szCs w:val="20"/>
                <w:lang w:val="en-US"/>
              </w:rPr>
              <w:t>Intratumor area</w:t>
            </w:r>
          </w:p>
          <w:p w14:paraId="0BD007D7" w14:textId="6427D0E3" w:rsidR="00730705" w:rsidRPr="00730705" w:rsidRDefault="00730705" w:rsidP="00CC4901">
            <w:pPr>
              <w:spacing w:before="120"/>
              <w:jc w:val="center"/>
              <w:rPr>
                <w:rFonts w:ascii="Arial" w:hAnsi="Arial" w:cs="Arial"/>
                <w:sz w:val="20"/>
                <w:szCs w:val="20"/>
                <w:lang w:val="en-US"/>
              </w:rPr>
            </w:pPr>
            <w:r w:rsidRPr="00730705">
              <w:rPr>
                <w:rFonts w:ascii="Arial" w:hAnsi="Arial" w:cs="Arial"/>
                <w:sz w:val="20"/>
                <w:szCs w:val="20"/>
                <w:lang w:val="en-US"/>
              </w:rPr>
              <w:t>Tumor tissue</w:t>
            </w:r>
          </w:p>
        </w:tc>
        <w:tc>
          <w:tcPr>
            <w:tcW w:w="1926" w:type="dxa"/>
          </w:tcPr>
          <w:p w14:paraId="4C1A209E" w14:textId="46B0A2C1"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Invasive front</w:t>
            </w:r>
          </w:p>
          <w:p w14:paraId="67253515" w14:textId="031B0AFC" w:rsidR="004369E0" w:rsidRPr="00730705" w:rsidRDefault="004369E0" w:rsidP="00CC4901">
            <w:pPr>
              <w:spacing w:before="120"/>
              <w:jc w:val="center"/>
              <w:rPr>
                <w:rFonts w:ascii="Arial" w:hAnsi="Arial" w:cs="Arial"/>
                <w:sz w:val="20"/>
                <w:szCs w:val="20"/>
                <w:lang w:val="en-US"/>
              </w:rPr>
            </w:pPr>
            <w:r w:rsidRPr="00730705">
              <w:rPr>
                <w:rFonts w:ascii="Arial" w:hAnsi="Arial" w:cs="Arial"/>
                <w:sz w:val="20"/>
                <w:szCs w:val="20"/>
                <w:lang w:val="en-US"/>
              </w:rPr>
              <w:t>Tumor invasive front</w:t>
            </w:r>
          </w:p>
          <w:p w14:paraId="56598401" w14:textId="418BF154"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Invasive tumor margin</w:t>
            </w:r>
          </w:p>
          <w:p w14:paraId="6FC35AD8" w14:textId="1A62671A"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Invasive margin</w:t>
            </w:r>
          </w:p>
          <w:p w14:paraId="75DC032B" w14:textId="77777777" w:rsidR="00CC4901" w:rsidRPr="00730705" w:rsidRDefault="00CC4901" w:rsidP="00CC4901">
            <w:pPr>
              <w:spacing w:before="120"/>
              <w:jc w:val="center"/>
              <w:rPr>
                <w:rFonts w:ascii="Arial" w:hAnsi="Arial" w:cs="Arial"/>
                <w:sz w:val="20"/>
                <w:szCs w:val="20"/>
                <w:lang w:val="en-US"/>
              </w:rPr>
            </w:pPr>
            <w:r w:rsidRPr="00730705">
              <w:rPr>
                <w:rFonts w:ascii="Arial" w:hAnsi="Arial" w:cs="Arial"/>
                <w:sz w:val="20"/>
                <w:szCs w:val="20"/>
                <w:lang w:val="en-US"/>
              </w:rPr>
              <w:t>Invasive border</w:t>
            </w:r>
          </w:p>
          <w:p w14:paraId="50E9B01A" w14:textId="2C536ABA" w:rsidR="001A0DCE" w:rsidRPr="00730705" w:rsidRDefault="00D26CF3" w:rsidP="00730705">
            <w:pPr>
              <w:spacing w:before="120"/>
              <w:jc w:val="center"/>
              <w:rPr>
                <w:rFonts w:ascii="Arial" w:hAnsi="Arial" w:cs="Arial"/>
                <w:sz w:val="20"/>
                <w:szCs w:val="20"/>
                <w:lang w:val="en-US"/>
              </w:rPr>
            </w:pPr>
            <w:r w:rsidRPr="00730705">
              <w:rPr>
                <w:rFonts w:ascii="Arial" w:hAnsi="Arial" w:cs="Arial"/>
                <w:sz w:val="20"/>
                <w:szCs w:val="20"/>
                <w:lang w:val="en-US"/>
              </w:rPr>
              <w:t>Inner margin</w:t>
            </w:r>
          </w:p>
          <w:p w14:paraId="42BE5252" w14:textId="6433F147"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Inner border</w:t>
            </w:r>
            <w:r w:rsidR="00924ED8" w:rsidRPr="00730705">
              <w:rPr>
                <w:rFonts w:ascii="Arial" w:hAnsi="Arial" w:cs="Arial"/>
                <w:sz w:val="20"/>
                <w:szCs w:val="20"/>
                <w:lang w:val="en-US"/>
              </w:rPr>
              <w:t xml:space="preserve"> area</w:t>
            </w:r>
          </w:p>
          <w:p w14:paraId="1CA83A6B" w14:textId="77777777"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Outer margin</w:t>
            </w:r>
          </w:p>
          <w:p w14:paraId="17EED449" w14:textId="1B140194"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Outer border</w:t>
            </w:r>
            <w:r w:rsidR="00924ED8" w:rsidRPr="00730705">
              <w:rPr>
                <w:rFonts w:ascii="Arial" w:hAnsi="Arial" w:cs="Arial"/>
                <w:sz w:val="20"/>
                <w:szCs w:val="20"/>
                <w:lang w:val="en-US"/>
              </w:rPr>
              <w:t xml:space="preserve"> area</w:t>
            </w:r>
          </w:p>
          <w:p w14:paraId="5F1728AE" w14:textId="77777777"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Tumor front</w:t>
            </w:r>
          </w:p>
          <w:p w14:paraId="0652A7CA" w14:textId="6CEE7980"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Tumor-infiltrating front</w:t>
            </w:r>
          </w:p>
          <w:p w14:paraId="46C96B7E" w14:textId="11114595" w:rsidR="00D26CF3" w:rsidRPr="00730705" w:rsidRDefault="00D26CF3" w:rsidP="00CC4901">
            <w:pPr>
              <w:spacing w:before="120"/>
              <w:jc w:val="center"/>
              <w:rPr>
                <w:rFonts w:ascii="Arial" w:hAnsi="Arial" w:cs="Arial"/>
                <w:sz w:val="20"/>
                <w:szCs w:val="20"/>
                <w:lang w:val="en-US"/>
              </w:rPr>
            </w:pPr>
            <w:r w:rsidRPr="00730705">
              <w:rPr>
                <w:rFonts w:ascii="Arial" w:hAnsi="Arial" w:cs="Arial"/>
                <w:sz w:val="20"/>
                <w:szCs w:val="20"/>
                <w:lang w:val="en-US"/>
              </w:rPr>
              <w:t>Peritumoral</w:t>
            </w:r>
          </w:p>
        </w:tc>
      </w:tr>
      <w:tr w:rsidR="00D26CF3" w:rsidRPr="00B25647" w14:paraId="6948BD72" w14:textId="77777777" w:rsidTr="00D26CF3">
        <w:trPr>
          <w:trHeight w:val="60"/>
        </w:trPr>
        <w:tc>
          <w:tcPr>
            <w:tcW w:w="9628" w:type="dxa"/>
            <w:gridSpan w:val="5"/>
            <w:shd w:val="clear" w:color="auto" w:fill="auto"/>
            <w:vAlign w:val="center"/>
          </w:tcPr>
          <w:p w14:paraId="08F99152" w14:textId="7DFE1594" w:rsidR="00D26CF3" w:rsidRPr="00C72373" w:rsidRDefault="009A58A4" w:rsidP="009A58A4">
            <w:pPr>
              <w:spacing w:before="120" w:after="120"/>
              <w:jc w:val="both"/>
              <w:rPr>
                <w:rFonts w:ascii="Arial" w:hAnsi="Arial" w:cs="Arial"/>
                <w:sz w:val="20"/>
                <w:szCs w:val="20"/>
                <w:lang w:val="en-US"/>
              </w:rPr>
            </w:pPr>
            <w:r w:rsidRPr="00C72373">
              <w:rPr>
                <w:rFonts w:ascii="Arial" w:hAnsi="Arial" w:cs="Arial"/>
                <w:sz w:val="16"/>
                <w:szCs w:val="16"/>
                <w:vertAlign w:val="superscript"/>
                <w:lang w:val="en-US"/>
              </w:rPr>
              <w:t>1</w:t>
            </w:r>
            <w:r w:rsidR="00D26CF3" w:rsidRPr="00C72373">
              <w:rPr>
                <w:rFonts w:ascii="Arial" w:hAnsi="Arial" w:cs="Arial"/>
                <w:sz w:val="16"/>
                <w:szCs w:val="16"/>
                <w:lang w:val="en-US"/>
              </w:rPr>
              <w:t xml:space="preserve">Cao et al. (2019), lung cancer: </w:t>
            </w:r>
            <w:r w:rsidR="00BB20C7" w:rsidRPr="00C72373">
              <w:rPr>
                <w:rFonts w:ascii="Arial" w:hAnsi="Arial" w:cs="Arial"/>
                <w:sz w:val="16"/>
                <w:szCs w:val="16"/>
                <w:lang w:val="en-US"/>
              </w:rPr>
              <w:t xml:space="preserve">The authors </w:t>
            </w:r>
            <w:r w:rsidR="00C72373" w:rsidRPr="00C72373">
              <w:rPr>
                <w:rFonts w:ascii="Arial" w:hAnsi="Arial" w:cs="Arial"/>
                <w:sz w:val="16"/>
                <w:szCs w:val="16"/>
                <w:lang w:val="en-US"/>
              </w:rPr>
              <w:t>state</w:t>
            </w:r>
            <w:r w:rsidR="00D26CF3" w:rsidRPr="00C72373">
              <w:rPr>
                <w:rFonts w:ascii="Arial" w:hAnsi="Arial" w:cs="Arial"/>
                <w:sz w:val="16"/>
                <w:szCs w:val="16"/>
                <w:lang w:val="en-US"/>
              </w:rPr>
              <w:t xml:space="preserve"> that</w:t>
            </w:r>
            <w:r w:rsidR="00BB20C7" w:rsidRPr="00C72373">
              <w:rPr>
                <w:rFonts w:ascii="Arial" w:hAnsi="Arial" w:cs="Arial"/>
                <w:sz w:val="16"/>
                <w:szCs w:val="16"/>
                <w:lang w:val="en-US"/>
              </w:rPr>
              <w:t xml:space="preserve"> the used terms </w:t>
            </w:r>
            <w:r w:rsidR="00D26CF3" w:rsidRPr="00C72373">
              <w:rPr>
                <w:rFonts w:ascii="Arial" w:hAnsi="Arial" w:cs="Arial"/>
                <w:sz w:val="16"/>
                <w:szCs w:val="16"/>
                <w:lang w:val="en-US"/>
              </w:rPr>
              <w:t xml:space="preserve">“margin” macrophages refer to stromal macrophages, while “central” macrophages refer to macrophages infiltrating the tumor islets. Thus, this paper </w:t>
            </w:r>
            <w:r w:rsidR="00B25647" w:rsidRPr="00C72373">
              <w:rPr>
                <w:rFonts w:ascii="Arial" w:hAnsi="Arial" w:cs="Arial"/>
                <w:sz w:val="16"/>
                <w:szCs w:val="16"/>
                <w:lang w:val="en-US"/>
              </w:rPr>
              <w:t xml:space="preserve">was </w:t>
            </w:r>
            <w:r w:rsidR="00D26CF3" w:rsidRPr="00C72373">
              <w:rPr>
                <w:rFonts w:ascii="Arial" w:hAnsi="Arial" w:cs="Arial"/>
                <w:sz w:val="16"/>
                <w:szCs w:val="16"/>
                <w:lang w:val="en-US"/>
              </w:rPr>
              <w:t>counted in the “Tumor stroma” and “Tumor epithelium” categories and not the “Center of tumor” vs. “Invasive front”.</w:t>
            </w:r>
          </w:p>
        </w:tc>
      </w:tr>
    </w:tbl>
    <w:p w14:paraId="301180FD" w14:textId="435FD2B8" w:rsidR="00D26CF3" w:rsidRPr="00953B8D" w:rsidRDefault="00D26CF3" w:rsidP="00CC4901">
      <w:pPr>
        <w:spacing w:before="240"/>
        <w:jc w:val="both"/>
        <w:rPr>
          <w:rFonts w:ascii="Cambria" w:hAnsi="Cambria"/>
          <w:lang w:val="en-US"/>
        </w:rPr>
      </w:pPr>
      <w:r w:rsidRPr="00953B8D">
        <w:rPr>
          <w:rFonts w:ascii="Cambria" w:hAnsi="Cambria"/>
          <w:b/>
          <w:bCs/>
          <w:noProof/>
          <w:lang w:val="en-US"/>
        </w:rPr>
        <mc:AlternateContent>
          <mc:Choice Requires="wps">
            <w:drawing>
              <wp:anchor distT="0" distB="0" distL="114300" distR="114300" simplePos="0" relativeHeight="251659264" behindDoc="0" locked="0" layoutInCell="1" allowOverlap="1" wp14:anchorId="137F8F6D" wp14:editId="1C26C88C">
                <wp:simplePos x="0" y="0"/>
                <wp:positionH relativeFrom="column">
                  <wp:posOffset>-53663</wp:posOffset>
                </wp:positionH>
                <wp:positionV relativeFrom="paragraph">
                  <wp:posOffset>46893</wp:posOffset>
                </wp:positionV>
                <wp:extent cx="6156434" cy="1402597"/>
                <wp:effectExtent l="0" t="0" r="0" b="0"/>
                <wp:wrapNone/>
                <wp:docPr id="1875418450" name="Tekstfelt 1"/>
                <wp:cNvGraphicFramePr/>
                <a:graphic xmlns:a="http://schemas.openxmlformats.org/drawingml/2006/main">
                  <a:graphicData uri="http://schemas.microsoft.com/office/word/2010/wordprocessingShape">
                    <wps:wsp>
                      <wps:cNvSpPr txBox="1"/>
                      <wps:spPr>
                        <a:xfrm>
                          <a:off x="0" y="0"/>
                          <a:ext cx="6156434" cy="1402597"/>
                        </a:xfrm>
                        <a:prstGeom prst="rect">
                          <a:avLst/>
                        </a:prstGeom>
                        <a:noFill/>
                        <a:ln w="6350">
                          <a:noFill/>
                        </a:ln>
                      </wps:spPr>
                      <wps:txbx>
                        <w:txbxContent>
                          <w:p w14:paraId="283C685B" w14:textId="6351B85D" w:rsidR="00131ED2" w:rsidRPr="002517A0" w:rsidRDefault="00D26CF3" w:rsidP="00D26CF3">
                            <w:pPr>
                              <w:jc w:val="both"/>
                              <w:rPr>
                                <w:rFonts w:ascii="Times New Roman" w:hAnsi="Times New Roman" w:cs="Times New Roman"/>
                                <w:sz w:val="20"/>
                                <w:szCs w:val="20"/>
                                <w:lang w:val="en-US"/>
                              </w:rPr>
                            </w:pPr>
                            <w:r w:rsidRPr="002517A0">
                              <w:rPr>
                                <w:rFonts w:ascii="Times New Roman" w:hAnsi="Times New Roman" w:cs="Times New Roman"/>
                                <w:b/>
                                <w:bCs/>
                                <w:sz w:val="20"/>
                                <w:szCs w:val="20"/>
                                <w:lang w:val="en-US"/>
                              </w:rPr>
                              <w:t>Supplementary Table 3</w:t>
                            </w:r>
                            <w:r w:rsidRPr="002517A0">
                              <w:rPr>
                                <w:rFonts w:ascii="Times New Roman" w:hAnsi="Times New Roman" w:cs="Times New Roman"/>
                                <w:sz w:val="20"/>
                                <w:szCs w:val="20"/>
                                <w:lang w:val="en-US"/>
                              </w:rPr>
                              <w:t xml:space="preserve">: </w:t>
                            </w:r>
                            <w:r w:rsidR="00131ED2">
                              <w:rPr>
                                <w:rFonts w:ascii="Times New Roman" w:hAnsi="Times New Roman" w:cs="Times New Roman"/>
                                <w:sz w:val="20"/>
                                <w:szCs w:val="20"/>
                                <w:lang w:val="en-US"/>
                              </w:rPr>
                              <w:t>Overview of terms</w:t>
                            </w:r>
                            <w:r w:rsidR="0005716D">
                              <w:rPr>
                                <w:rFonts w:ascii="Times New Roman" w:hAnsi="Times New Roman" w:cs="Times New Roman"/>
                                <w:sz w:val="20"/>
                                <w:szCs w:val="20"/>
                                <w:lang w:val="en-US"/>
                              </w:rPr>
                              <w:t xml:space="preserve"> from the included literature contributing to</w:t>
                            </w:r>
                            <w:r w:rsidR="00131ED2">
                              <w:rPr>
                                <w:rFonts w:ascii="Times New Roman" w:hAnsi="Times New Roman" w:cs="Times New Roman"/>
                                <w:sz w:val="20"/>
                                <w:szCs w:val="20"/>
                                <w:lang w:val="en-US"/>
                              </w:rPr>
                              <w:t xml:space="preserve"> our four constructed groups of histopathological components (tumor epithelium and tumor stroma) and spatial localizations (tumor center and tumor periphery. Importantly, the categorization of survival results was done based on full text assessment of each o</w:t>
                            </w:r>
                            <w:r w:rsidR="0005716D">
                              <w:rPr>
                                <w:rFonts w:ascii="Times New Roman" w:hAnsi="Times New Roman" w:cs="Times New Roman"/>
                                <w:sz w:val="20"/>
                                <w:szCs w:val="20"/>
                                <w:lang w:val="en-US"/>
                              </w:rPr>
                              <w:t>f</w:t>
                            </w:r>
                            <w:r w:rsidR="00131ED2">
                              <w:rPr>
                                <w:rFonts w:ascii="Times New Roman" w:hAnsi="Times New Roman" w:cs="Times New Roman"/>
                                <w:sz w:val="20"/>
                                <w:szCs w:val="20"/>
                                <w:lang w:val="en-US"/>
                              </w:rPr>
                              <w:t xml:space="preserve"> the included</w:t>
                            </w:r>
                            <w:r w:rsidR="0005716D">
                              <w:rPr>
                                <w:rFonts w:ascii="Times New Roman" w:hAnsi="Times New Roman" w:cs="Times New Roman"/>
                                <w:sz w:val="20"/>
                                <w:szCs w:val="20"/>
                                <w:lang w:val="en-US"/>
                              </w:rPr>
                              <w:t xml:space="preserve"> papers</w:t>
                            </w:r>
                            <w:r w:rsidR="00131ED2">
                              <w:rPr>
                                <w:rFonts w:ascii="Times New Roman" w:hAnsi="Times New Roman" w:cs="Times New Roman"/>
                                <w:sz w:val="20"/>
                                <w:szCs w:val="20"/>
                                <w:lang w:val="en-US"/>
                              </w:rPr>
                              <w:t xml:space="preserve">, and in this </w:t>
                            </w:r>
                            <w:r w:rsidR="0005716D">
                              <w:rPr>
                                <w:rFonts w:ascii="Times New Roman" w:hAnsi="Times New Roman" w:cs="Times New Roman"/>
                                <w:sz w:val="20"/>
                                <w:szCs w:val="20"/>
                                <w:lang w:val="en-US"/>
                              </w:rPr>
                              <w:t>t</w:t>
                            </w:r>
                            <w:r w:rsidR="00131ED2">
                              <w:rPr>
                                <w:rFonts w:ascii="Times New Roman" w:hAnsi="Times New Roman" w:cs="Times New Roman"/>
                                <w:sz w:val="20"/>
                                <w:szCs w:val="20"/>
                                <w:lang w:val="en-US"/>
                              </w:rPr>
                              <w:t>able, the terms are taken out of context</w:t>
                            </w:r>
                            <w:r w:rsidR="0005716D">
                              <w:rPr>
                                <w:rFonts w:ascii="Times New Roman" w:hAnsi="Times New Roman" w:cs="Times New Roman"/>
                                <w:sz w:val="20"/>
                                <w:szCs w:val="20"/>
                                <w:lang w:val="en-US"/>
                              </w:rPr>
                              <w:t xml:space="preserve"> to provide an overview of the heterogenous terminology used in the included literature</w:t>
                            </w:r>
                            <w:r w:rsidR="00131ED2">
                              <w:rPr>
                                <w:rFonts w:ascii="Times New Roman" w:hAnsi="Times New Roman" w:cs="Times New Roman"/>
                                <w:sz w:val="20"/>
                                <w:szCs w:val="20"/>
                                <w:lang w:val="en-US"/>
                              </w:rPr>
                              <w:t xml:space="preserve">. Supplementary Table </w:t>
                            </w:r>
                            <w:r w:rsidR="0005716D">
                              <w:rPr>
                                <w:rFonts w:ascii="Times New Roman" w:hAnsi="Times New Roman" w:cs="Times New Roman"/>
                                <w:sz w:val="20"/>
                                <w:szCs w:val="20"/>
                                <w:lang w:val="en-US"/>
                              </w:rPr>
                              <w:t xml:space="preserve">2 and 4 provide further details on the extracted data from each study. </w:t>
                            </w:r>
                          </w:p>
                          <w:p w14:paraId="53F2B1D9" w14:textId="5454644E" w:rsidR="00D26CF3" w:rsidRPr="002517A0" w:rsidRDefault="00D26CF3" w:rsidP="00D26CF3">
                            <w:pPr>
                              <w:jc w:val="both"/>
                              <w:rPr>
                                <w:rFonts w:ascii="Times New Roman" w:hAnsi="Times New Roman" w:cs="Times New Roman"/>
                                <w:sz w:val="20"/>
                                <w:szCs w:val="20"/>
                                <w:lang w:val="en-US"/>
                              </w:rPr>
                            </w:pPr>
                            <w:r w:rsidRPr="002517A0">
                              <w:rPr>
                                <w:rFonts w:ascii="Times New Roman" w:hAnsi="Times New Roman" w:cs="Times New Roman"/>
                                <w:sz w:val="20"/>
                                <w:szCs w:val="20"/>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7F8F6D" id="_x0000_t202" coordsize="21600,21600" o:spt="202" path="m,l,21600r21600,l21600,xe">
                <v:stroke joinstyle="miter"/>
                <v:path gradientshapeok="t" o:connecttype="rect"/>
              </v:shapetype>
              <v:shape id="Tekstfelt 1" o:spid="_x0000_s1026" type="#_x0000_t202" style="position:absolute;left:0;text-align:left;margin-left:-4.25pt;margin-top:3.7pt;width:484.75pt;height:11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" filled="f" stroked="f" strokeweight=".5pt">
                <v:textbox>
                  <w:txbxContent>
                    <w:p w14:paraId="283C685B" w14:textId="6351B85D" w:rsidR="00131ED2" w:rsidRPr="002517A0" w:rsidRDefault="00D26CF3" w:rsidP="00D26CF3">
                      <w:pPr>
                        <w:jc w:val="both"/>
                        <w:rPr>
                          <w:rFonts w:ascii="Times New Roman" w:hAnsi="Times New Roman" w:cs="Times New Roman"/>
                          <w:sz w:val="20"/>
                          <w:szCs w:val="20"/>
                          <w:lang w:val="en-US"/>
                        </w:rPr>
                      </w:pPr>
                      <w:r w:rsidRPr="002517A0">
                        <w:rPr>
                          <w:rFonts w:ascii="Times New Roman" w:hAnsi="Times New Roman" w:cs="Times New Roman"/>
                          <w:b/>
                          <w:bCs/>
                          <w:sz w:val="20"/>
                          <w:szCs w:val="20"/>
                          <w:lang w:val="en-US"/>
                        </w:rPr>
                        <w:t>Supplementary Table 3</w:t>
                      </w:r>
                      <w:r w:rsidRPr="002517A0">
                        <w:rPr>
                          <w:rFonts w:ascii="Times New Roman" w:hAnsi="Times New Roman" w:cs="Times New Roman"/>
                          <w:sz w:val="20"/>
                          <w:szCs w:val="20"/>
                          <w:lang w:val="en-US"/>
                        </w:rPr>
                        <w:t xml:space="preserve">: </w:t>
                      </w:r>
                      <w:r w:rsidR="00131ED2">
                        <w:rPr>
                          <w:rFonts w:ascii="Times New Roman" w:hAnsi="Times New Roman" w:cs="Times New Roman"/>
                          <w:sz w:val="20"/>
                          <w:szCs w:val="20"/>
                          <w:lang w:val="en-US"/>
                        </w:rPr>
                        <w:t>Overview of terms</w:t>
                      </w:r>
                      <w:r w:rsidR="0005716D">
                        <w:rPr>
                          <w:rFonts w:ascii="Times New Roman" w:hAnsi="Times New Roman" w:cs="Times New Roman"/>
                          <w:sz w:val="20"/>
                          <w:szCs w:val="20"/>
                          <w:lang w:val="en-US"/>
                        </w:rPr>
                        <w:t xml:space="preserve"> from the included literature contributing to</w:t>
                      </w:r>
                      <w:r w:rsidR="00131ED2">
                        <w:rPr>
                          <w:rFonts w:ascii="Times New Roman" w:hAnsi="Times New Roman" w:cs="Times New Roman"/>
                          <w:sz w:val="20"/>
                          <w:szCs w:val="20"/>
                          <w:lang w:val="en-US"/>
                        </w:rPr>
                        <w:t xml:space="preserve"> our four constructed groups of histopathological components (tumor epithelium and tumor stroma) and spatial localizations (tumor center and tumor periphery. Importantly, the categorization of survival results was done based on full text assessment of each o</w:t>
                      </w:r>
                      <w:r w:rsidR="0005716D">
                        <w:rPr>
                          <w:rFonts w:ascii="Times New Roman" w:hAnsi="Times New Roman" w:cs="Times New Roman"/>
                          <w:sz w:val="20"/>
                          <w:szCs w:val="20"/>
                          <w:lang w:val="en-US"/>
                        </w:rPr>
                        <w:t>f</w:t>
                      </w:r>
                      <w:r w:rsidR="00131ED2">
                        <w:rPr>
                          <w:rFonts w:ascii="Times New Roman" w:hAnsi="Times New Roman" w:cs="Times New Roman"/>
                          <w:sz w:val="20"/>
                          <w:szCs w:val="20"/>
                          <w:lang w:val="en-US"/>
                        </w:rPr>
                        <w:t xml:space="preserve"> the included</w:t>
                      </w:r>
                      <w:r w:rsidR="0005716D">
                        <w:rPr>
                          <w:rFonts w:ascii="Times New Roman" w:hAnsi="Times New Roman" w:cs="Times New Roman"/>
                          <w:sz w:val="20"/>
                          <w:szCs w:val="20"/>
                          <w:lang w:val="en-US"/>
                        </w:rPr>
                        <w:t xml:space="preserve"> papers</w:t>
                      </w:r>
                      <w:r w:rsidR="00131ED2">
                        <w:rPr>
                          <w:rFonts w:ascii="Times New Roman" w:hAnsi="Times New Roman" w:cs="Times New Roman"/>
                          <w:sz w:val="20"/>
                          <w:szCs w:val="20"/>
                          <w:lang w:val="en-US"/>
                        </w:rPr>
                        <w:t xml:space="preserve">, and in this </w:t>
                      </w:r>
                      <w:r w:rsidR="0005716D">
                        <w:rPr>
                          <w:rFonts w:ascii="Times New Roman" w:hAnsi="Times New Roman" w:cs="Times New Roman"/>
                          <w:sz w:val="20"/>
                          <w:szCs w:val="20"/>
                          <w:lang w:val="en-US"/>
                        </w:rPr>
                        <w:t>t</w:t>
                      </w:r>
                      <w:r w:rsidR="00131ED2">
                        <w:rPr>
                          <w:rFonts w:ascii="Times New Roman" w:hAnsi="Times New Roman" w:cs="Times New Roman"/>
                          <w:sz w:val="20"/>
                          <w:szCs w:val="20"/>
                          <w:lang w:val="en-US"/>
                        </w:rPr>
                        <w:t>able, the terms are taken out of context</w:t>
                      </w:r>
                      <w:r w:rsidR="0005716D">
                        <w:rPr>
                          <w:rFonts w:ascii="Times New Roman" w:hAnsi="Times New Roman" w:cs="Times New Roman"/>
                          <w:sz w:val="20"/>
                          <w:szCs w:val="20"/>
                          <w:lang w:val="en-US"/>
                        </w:rPr>
                        <w:t xml:space="preserve"> to provide an overview of the heterogenous terminology used in the included literature</w:t>
                      </w:r>
                      <w:r w:rsidR="00131ED2">
                        <w:rPr>
                          <w:rFonts w:ascii="Times New Roman" w:hAnsi="Times New Roman" w:cs="Times New Roman"/>
                          <w:sz w:val="20"/>
                          <w:szCs w:val="20"/>
                          <w:lang w:val="en-US"/>
                        </w:rPr>
                        <w:t xml:space="preserve">. Supplementary Table </w:t>
                      </w:r>
                      <w:r w:rsidR="0005716D">
                        <w:rPr>
                          <w:rFonts w:ascii="Times New Roman" w:hAnsi="Times New Roman" w:cs="Times New Roman"/>
                          <w:sz w:val="20"/>
                          <w:szCs w:val="20"/>
                          <w:lang w:val="en-US"/>
                        </w:rPr>
                        <w:t xml:space="preserve">2 and 4 provide further details on the extracted data from each study. </w:t>
                      </w:r>
                    </w:p>
                    <w:p w14:paraId="53F2B1D9" w14:textId="5454644E" w:rsidR="00D26CF3" w:rsidRPr="002517A0" w:rsidRDefault="00D26CF3" w:rsidP="00D26CF3">
                      <w:pPr>
                        <w:jc w:val="both"/>
                        <w:rPr>
                          <w:rFonts w:ascii="Times New Roman" w:hAnsi="Times New Roman" w:cs="Times New Roman"/>
                          <w:sz w:val="20"/>
                          <w:szCs w:val="20"/>
                          <w:lang w:val="en-US"/>
                        </w:rPr>
                      </w:pPr>
                      <w:r w:rsidRPr="002517A0">
                        <w:rPr>
                          <w:rFonts w:ascii="Times New Roman" w:hAnsi="Times New Roman" w:cs="Times New Roman"/>
                          <w:sz w:val="20"/>
                          <w:szCs w:val="20"/>
                          <w:lang w:val="en-US"/>
                        </w:rPr>
                        <w:t xml:space="preserve"> </w:t>
                      </w:r>
                    </w:p>
                  </w:txbxContent>
                </v:textbox>
              </v:shape>
            </w:pict>
          </mc:Fallback>
        </mc:AlternateContent>
      </w:r>
    </w:p>
    <w:sectPr w:rsidR="00D26CF3" w:rsidRPr="00953B8D" w:rsidSect="00E5570D">
      <w:pgSz w:w="11906" w:h="16838"/>
      <w:pgMar w:top="1043"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proofState w:spelling="clean" w:grammar="clean"/>
  <w:defaultTabStop w:val="1304"/>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901"/>
    <w:rsid w:val="00002D12"/>
    <w:rsid w:val="000060E5"/>
    <w:rsid w:val="000120DA"/>
    <w:rsid w:val="00015642"/>
    <w:rsid w:val="00015CB4"/>
    <w:rsid w:val="00030CD1"/>
    <w:rsid w:val="000317C6"/>
    <w:rsid w:val="00037CC1"/>
    <w:rsid w:val="000414CE"/>
    <w:rsid w:val="00047B74"/>
    <w:rsid w:val="0005716D"/>
    <w:rsid w:val="0008294F"/>
    <w:rsid w:val="000958EC"/>
    <w:rsid w:val="000A0426"/>
    <w:rsid w:val="000A09D1"/>
    <w:rsid w:val="000A5D99"/>
    <w:rsid w:val="000A63F1"/>
    <w:rsid w:val="000B5E2C"/>
    <w:rsid w:val="000C669C"/>
    <w:rsid w:val="000C6C14"/>
    <w:rsid w:val="000E5D7E"/>
    <w:rsid w:val="00115F48"/>
    <w:rsid w:val="0012768C"/>
    <w:rsid w:val="00131ED2"/>
    <w:rsid w:val="00131EE4"/>
    <w:rsid w:val="00132FF1"/>
    <w:rsid w:val="001335F9"/>
    <w:rsid w:val="00134628"/>
    <w:rsid w:val="00134BA5"/>
    <w:rsid w:val="00136CD8"/>
    <w:rsid w:val="00166CAC"/>
    <w:rsid w:val="00172EC2"/>
    <w:rsid w:val="00181028"/>
    <w:rsid w:val="00182673"/>
    <w:rsid w:val="00186183"/>
    <w:rsid w:val="0018634E"/>
    <w:rsid w:val="00186E02"/>
    <w:rsid w:val="00196CEC"/>
    <w:rsid w:val="001A0960"/>
    <w:rsid w:val="001A0DCE"/>
    <w:rsid w:val="001A2069"/>
    <w:rsid w:val="001C0FC4"/>
    <w:rsid w:val="001D15E5"/>
    <w:rsid w:val="001D7DDB"/>
    <w:rsid w:val="001E38E9"/>
    <w:rsid w:val="0020355D"/>
    <w:rsid w:val="0020707A"/>
    <w:rsid w:val="00216CA4"/>
    <w:rsid w:val="00231F6E"/>
    <w:rsid w:val="00236683"/>
    <w:rsid w:val="00245F77"/>
    <w:rsid w:val="00246389"/>
    <w:rsid w:val="002517A0"/>
    <w:rsid w:val="00273335"/>
    <w:rsid w:val="00286FF0"/>
    <w:rsid w:val="00292BC7"/>
    <w:rsid w:val="0029500E"/>
    <w:rsid w:val="002B0B7E"/>
    <w:rsid w:val="002C09DF"/>
    <w:rsid w:val="002C245A"/>
    <w:rsid w:val="002C6CD5"/>
    <w:rsid w:val="002C7707"/>
    <w:rsid w:val="002D07DE"/>
    <w:rsid w:val="002E4AD1"/>
    <w:rsid w:val="002E6D16"/>
    <w:rsid w:val="002F27D8"/>
    <w:rsid w:val="00300466"/>
    <w:rsid w:val="00301025"/>
    <w:rsid w:val="003148B6"/>
    <w:rsid w:val="00320004"/>
    <w:rsid w:val="00332111"/>
    <w:rsid w:val="0033612F"/>
    <w:rsid w:val="00336E67"/>
    <w:rsid w:val="00344CAA"/>
    <w:rsid w:val="00355470"/>
    <w:rsid w:val="0036001E"/>
    <w:rsid w:val="00360974"/>
    <w:rsid w:val="003634D5"/>
    <w:rsid w:val="00366E1A"/>
    <w:rsid w:val="00370CE6"/>
    <w:rsid w:val="00371F27"/>
    <w:rsid w:val="00376B64"/>
    <w:rsid w:val="00392869"/>
    <w:rsid w:val="003A7E13"/>
    <w:rsid w:val="003B1052"/>
    <w:rsid w:val="003B55E2"/>
    <w:rsid w:val="003B5FBA"/>
    <w:rsid w:val="003C2832"/>
    <w:rsid w:val="003C7DB5"/>
    <w:rsid w:val="003D7D32"/>
    <w:rsid w:val="003E33B5"/>
    <w:rsid w:val="003E5005"/>
    <w:rsid w:val="004002E6"/>
    <w:rsid w:val="00404B1C"/>
    <w:rsid w:val="0040559D"/>
    <w:rsid w:val="004322C2"/>
    <w:rsid w:val="004369E0"/>
    <w:rsid w:val="00440950"/>
    <w:rsid w:val="00444832"/>
    <w:rsid w:val="00450D69"/>
    <w:rsid w:val="004536F0"/>
    <w:rsid w:val="00453AD9"/>
    <w:rsid w:val="004541D4"/>
    <w:rsid w:val="00454DBF"/>
    <w:rsid w:val="00456FE4"/>
    <w:rsid w:val="00462FFA"/>
    <w:rsid w:val="00467D2F"/>
    <w:rsid w:val="004706A7"/>
    <w:rsid w:val="004720BB"/>
    <w:rsid w:val="0048437F"/>
    <w:rsid w:val="004859D2"/>
    <w:rsid w:val="00493D08"/>
    <w:rsid w:val="004A2165"/>
    <w:rsid w:val="004B6F89"/>
    <w:rsid w:val="004C05E9"/>
    <w:rsid w:val="004C22FD"/>
    <w:rsid w:val="004D14F4"/>
    <w:rsid w:val="004D1F5C"/>
    <w:rsid w:val="004D2546"/>
    <w:rsid w:val="004E0671"/>
    <w:rsid w:val="004E4335"/>
    <w:rsid w:val="004E7C1D"/>
    <w:rsid w:val="004F7714"/>
    <w:rsid w:val="005027B4"/>
    <w:rsid w:val="00504000"/>
    <w:rsid w:val="00512F12"/>
    <w:rsid w:val="00526B39"/>
    <w:rsid w:val="0052703B"/>
    <w:rsid w:val="00527893"/>
    <w:rsid w:val="00527EB3"/>
    <w:rsid w:val="00535BF3"/>
    <w:rsid w:val="00552041"/>
    <w:rsid w:val="00554BB8"/>
    <w:rsid w:val="00564FD3"/>
    <w:rsid w:val="005747A2"/>
    <w:rsid w:val="005760D7"/>
    <w:rsid w:val="005775C5"/>
    <w:rsid w:val="0059381D"/>
    <w:rsid w:val="005A2E9A"/>
    <w:rsid w:val="005A4FF0"/>
    <w:rsid w:val="005B5BE5"/>
    <w:rsid w:val="005B61D7"/>
    <w:rsid w:val="005D23DF"/>
    <w:rsid w:val="005F1F7C"/>
    <w:rsid w:val="006012A7"/>
    <w:rsid w:val="00602578"/>
    <w:rsid w:val="00612742"/>
    <w:rsid w:val="00637475"/>
    <w:rsid w:val="00642163"/>
    <w:rsid w:val="006534DF"/>
    <w:rsid w:val="00664684"/>
    <w:rsid w:val="00676339"/>
    <w:rsid w:val="006827FB"/>
    <w:rsid w:val="0068317A"/>
    <w:rsid w:val="00685FB4"/>
    <w:rsid w:val="00686E3B"/>
    <w:rsid w:val="00690609"/>
    <w:rsid w:val="00695DB5"/>
    <w:rsid w:val="006A3096"/>
    <w:rsid w:val="006B11EB"/>
    <w:rsid w:val="006B4A30"/>
    <w:rsid w:val="006D0ECD"/>
    <w:rsid w:val="006D74C4"/>
    <w:rsid w:val="006E3FF6"/>
    <w:rsid w:val="006F0429"/>
    <w:rsid w:val="006F339E"/>
    <w:rsid w:val="006F37C8"/>
    <w:rsid w:val="006F79FC"/>
    <w:rsid w:val="0070591C"/>
    <w:rsid w:val="0072310D"/>
    <w:rsid w:val="00730705"/>
    <w:rsid w:val="00736BD8"/>
    <w:rsid w:val="00746368"/>
    <w:rsid w:val="00761018"/>
    <w:rsid w:val="007619AA"/>
    <w:rsid w:val="00765FBE"/>
    <w:rsid w:val="00773C2B"/>
    <w:rsid w:val="00793CD4"/>
    <w:rsid w:val="007A19BE"/>
    <w:rsid w:val="007A4416"/>
    <w:rsid w:val="007D5A3C"/>
    <w:rsid w:val="007E508D"/>
    <w:rsid w:val="007F66E0"/>
    <w:rsid w:val="008144AB"/>
    <w:rsid w:val="00824352"/>
    <w:rsid w:val="0083742F"/>
    <w:rsid w:val="008553AF"/>
    <w:rsid w:val="008575C5"/>
    <w:rsid w:val="0086550A"/>
    <w:rsid w:val="008774A6"/>
    <w:rsid w:val="00880581"/>
    <w:rsid w:val="0088299B"/>
    <w:rsid w:val="00896583"/>
    <w:rsid w:val="008B22E2"/>
    <w:rsid w:val="008B37B0"/>
    <w:rsid w:val="008C1047"/>
    <w:rsid w:val="008F4B10"/>
    <w:rsid w:val="009002C7"/>
    <w:rsid w:val="00907A4E"/>
    <w:rsid w:val="00911955"/>
    <w:rsid w:val="00911CC8"/>
    <w:rsid w:val="00923C91"/>
    <w:rsid w:val="00924ED8"/>
    <w:rsid w:val="00931D1D"/>
    <w:rsid w:val="00935EA0"/>
    <w:rsid w:val="009425D6"/>
    <w:rsid w:val="00953B8D"/>
    <w:rsid w:val="0095413C"/>
    <w:rsid w:val="0097182F"/>
    <w:rsid w:val="00977A4B"/>
    <w:rsid w:val="0098223D"/>
    <w:rsid w:val="009853F8"/>
    <w:rsid w:val="00990192"/>
    <w:rsid w:val="00995FF6"/>
    <w:rsid w:val="009A58A4"/>
    <w:rsid w:val="009A5D2E"/>
    <w:rsid w:val="009A663E"/>
    <w:rsid w:val="009B4B2C"/>
    <w:rsid w:val="009C29A8"/>
    <w:rsid w:val="009C2E21"/>
    <w:rsid w:val="00A27863"/>
    <w:rsid w:val="00A44BB7"/>
    <w:rsid w:val="00A44E10"/>
    <w:rsid w:val="00A477D3"/>
    <w:rsid w:val="00A47EC8"/>
    <w:rsid w:val="00A602CC"/>
    <w:rsid w:val="00A72D8A"/>
    <w:rsid w:val="00A7590C"/>
    <w:rsid w:val="00A814AD"/>
    <w:rsid w:val="00A85282"/>
    <w:rsid w:val="00A85D26"/>
    <w:rsid w:val="00A95B17"/>
    <w:rsid w:val="00AC25B3"/>
    <w:rsid w:val="00AC2FA2"/>
    <w:rsid w:val="00AC3D7B"/>
    <w:rsid w:val="00AD21A3"/>
    <w:rsid w:val="00AE62A4"/>
    <w:rsid w:val="00AF0DDD"/>
    <w:rsid w:val="00AF5697"/>
    <w:rsid w:val="00B0011B"/>
    <w:rsid w:val="00B004DC"/>
    <w:rsid w:val="00B23C92"/>
    <w:rsid w:val="00B25647"/>
    <w:rsid w:val="00B3600C"/>
    <w:rsid w:val="00B4111E"/>
    <w:rsid w:val="00B416D5"/>
    <w:rsid w:val="00B42DAA"/>
    <w:rsid w:val="00B503B5"/>
    <w:rsid w:val="00B5496A"/>
    <w:rsid w:val="00B55678"/>
    <w:rsid w:val="00B55A0E"/>
    <w:rsid w:val="00B7082A"/>
    <w:rsid w:val="00B72BE7"/>
    <w:rsid w:val="00B91FF4"/>
    <w:rsid w:val="00B92744"/>
    <w:rsid w:val="00BB1E9F"/>
    <w:rsid w:val="00BB1EDF"/>
    <w:rsid w:val="00BB20C7"/>
    <w:rsid w:val="00BB2478"/>
    <w:rsid w:val="00BB5975"/>
    <w:rsid w:val="00BB79EE"/>
    <w:rsid w:val="00BB7AD5"/>
    <w:rsid w:val="00BC1DBA"/>
    <w:rsid w:val="00BC2F4B"/>
    <w:rsid w:val="00BC37CF"/>
    <w:rsid w:val="00BC531C"/>
    <w:rsid w:val="00BD47E1"/>
    <w:rsid w:val="00BE5124"/>
    <w:rsid w:val="00BF2D2A"/>
    <w:rsid w:val="00BF2D8E"/>
    <w:rsid w:val="00BF3ABF"/>
    <w:rsid w:val="00BF5D46"/>
    <w:rsid w:val="00C01706"/>
    <w:rsid w:val="00C05A00"/>
    <w:rsid w:val="00C12D95"/>
    <w:rsid w:val="00C14AD0"/>
    <w:rsid w:val="00C16255"/>
    <w:rsid w:val="00C22C1A"/>
    <w:rsid w:val="00C34CB1"/>
    <w:rsid w:val="00C35332"/>
    <w:rsid w:val="00C4036C"/>
    <w:rsid w:val="00C60F01"/>
    <w:rsid w:val="00C6251D"/>
    <w:rsid w:val="00C662AA"/>
    <w:rsid w:val="00C72373"/>
    <w:rsid w:val="00C72BAB"/>
    <w:rsid w:val="00C7315D"/>
    <w:rsid w:val="00C86A88"/>
    <w:rsid w:val="00C911EF"/>
    <w:rsid w:val="00CA28B5"/>
    <w:rsid w:val="00CA2A9E"/>
    <w:rsid w:val="00CA5F6D"/>
    <w:rsid w:val="00CB0458"/>
    <w:rsid w:val="00CB35DB"/>
    <w:rsid w:val="00CB6BF4"/>
    <w:rsid w:val="00CC4901"/>
    <w:rsid w:val="00CC5C04"/>
    <w:rsid w:val="00CD79EF"/>
    <w:rsid w:val="00CE5370"/>
    <w:rsid w:val="00CF13F9"/>
    <w:rsid w:val="00D06830"/>
    <w:rsid w:val="00D26CF3"/>
    <w:rsid w:val="00D30B4F"/>
    <w:rsid w:val="00D36208"/>
    <w:rsid w:val="00D56244"/>
    <w:rsid w:val="00D61F21"/>
    <w:rsid w:val="00D7238A"/>
    <w:rsid w:val="00D7300B"/>
    <w:rsid w:val="00D8241B"/>
    <w:rsid w:val="00D86174"/>
    <w:rsid w:val="00D91912"/>
    <w:rsid w:val="00D92EAC"/>
    <w:rsid w:val="00D97858"/>
    <w:rsid w:val="00DA534F"/>
    <w:rsid w:val="00DA62DA"/>
    <w:rsid w:val="00DB51AF"/>
    <w:rsid w:val="00DB5B41"/>
    <w:rsid w:val="00DC2DCB"/>
    <w:rsid w:val="00DC3D32"/>
    <w:rsid w:val="00DC44AC"/>
    <w:rsid w:val="00DD6990"/>
    <w:rsid w:val="00DE0CFF"/>
    <w:rsid w:val="00DF2C7E"/>
    <w:rsid w:val="00DF3D6C"/>
    <w:rsid w:val="00DF7CAD"/>
    <w:rsid w:val="00E079B8"/>
    <w:rsid w:val="00E117A2"/>
    <w:rsid w:val="00E21050"/>
    <w:rsid w:val="00E24642"/>
    <w:rsid w:val="00E41BD8"/>
    <w:rsid w:val="00E4225A"/>
    <w:rsid w:val="00E47B88"/>
    <w:rsid w:val="00E5570D"/>
    <w:rsid w:val="00E618C8"/>
    <w:rsid w:val="00E61D56"/>
    <w:rsid w:val="00E64B49"/>
    <w:rsid w:val="00E75660"/>
    <w:rsid w:val="00E81EB9"/>
    <w:rsid w:val="00E8527F"/>
    <w:rsid w:val="00E86C6D"/>
    <w:rsid w:val="00EA1C17"/>
    <w:rsid w:val="00EA6F33"/>
    <w:rsid w:val="00EC2363"/>
    <w:rsid w:val="00EC3349"/>
    <w:rsid w:val="00ED024B"/>
    <w:rsid w:val="00ED1198"/>
    <w:rsid w:val="00ED4394"/>
    <w:rsid w:val="00ED75F2"/>
    <w:rsid w:val="00EE034C"/>
    <w:rsid w:val="00EE5D81"/>
    <w:rsid w:val="00EF13D8"/>
    <w:rsid w:val="00F05DBB"/>
    <w:rsid w:val="00F34C2B"/>
    <w:rsid w:val="00F405DD"/>
    <w:rsid w:val="00F4400E"/>
    <w:rsid w:val="00F56D42"/>
    <w:rsid w:val="00F7526C"/>
    <w:rsid w:val="00F97B2B"/>
    <w:rsid w:val="00FA7315"/>
    <w:rsid w:val="00FB0173"/>
    <w:rsid w:val="00FB3C02"/>
    <w:rsid w:val="00FB4E43"/>
    <w:rsid w:val="00FE0A8F"/>
    <w:rsid w:val="00FF731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31E1F"/>
  <w15:chartTrackingRefBased/>
  <w15:docId w15:val="{AE90F777-ADBE-C946-979D-3883DD7C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E86C6D"/>
    <w:pPr>
      <w:keepNext/>
      <w:keepLines/>
      <w:spacing w:before="240"/>
      <w:outlineLvl w:val="0"/>
    </w:pPr>
    <w:rPr>
      <w:rFonts w:asciiTheme="majorHAnsi" w:eastAsiaTheme="majorEastAsia" w:hAnsiTheme="majorHAnsi" w:cstheme="majorBidi"/>
      <w:color w:val="0F4761" w:themeColor="accent1" w:themeShade="BF"/>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86C6D"/>
    <w:rPr>
      <w:rFonts w:asciiTheme="majorHAnsi" w:eastAsiaTheme="majorEastAsia" w:hAnsiTheme="majorHAnsi" w:cstheme="majorBidi"/>
      <w:color w:val="0F4761" w:themeColor="accent1" w:themeShade="BF"/>
      <w:sz w:val="32"/>
      <w:szCs w:val="32"/>
    </w:rPr>
  </w:style>
  <w:style w:type="table" w:styleId="Tabel-Gitter">
    <w:name w:val="Table Grid"/>
    <w:basedOn w:val="Tabel-Normal"/>
    <w:uiPriority w:val="39"/>
    <w:rsid w:val="00CC4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rrektur">
    <w:name w:val="Revision"/>
    <w:hidden/>
    <w:uiPriority w:val="99"/>
    <w:semiHidden/>
    <w:rsid w:val="00690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1017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Henriette Mathiesen</cp:lastModifiedBy>
  <cp:revision>3</cp:revision>
  <dcterms:created xsi:type="dcterms:W3CDTF">2024-10-07T19:57:00Z</dcterms:created>
  <dcterms:modified xsi:type="dcterms:W3CDTF">2024-10-07T19:57:00Z</dcterms:modified>
</cp:coreProperties>
</file>