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DA162" w14:textId="77777777" w:rsidR="00EA060B" w:rsidRPr="00AC6062" w:rsidRDefault="00835D3E">
      <w:pPr>
        <w:rPr>
          <w:rFonts w:ascii="Arial" w:hAnsi="Arial" w:cs="Arial"/>
          <w:b/>
          <w:sz w:val="24"/>
          <w:szCs w:val="24"/>
        </w:rPr>
      </w:pPr>
      <w:r w:rsidRPr="00AC6062">
        <w:rPr>
          <w:rFonts w:ascii="Arial" w:hAnsi="Arial" w:cs="Arial"/>
          <w:b/>
          <w:sz w:val="24"/>
          <w:szCs w:val="24"/>
        </w:rPr>
        <w:t xml:space="preserve">Supplementary Material - Efficacy of Repeat Immunoadsorption in Post-COVID ME/CFS Patients with Elevated β2-Adrenergic Receptor Autoantibodies: a Prospective Cohort Study </w:t>
      </w:r>
    </w:p>
    <w:p w14:paraId="2B650D8F" w14:textId="77777777" w:rsidR="00835D3E" w:rsidRPr="00AC6062" w:rsidRDefault="00835D3E">
      <w:pPr>
        <w:rPr>
          <w:rFonts w:ascii="Arial" w:hAnsi="Arial" w:cs="Arial"/>
          <w:b/>
          <w:sz w:val="20"/>
          <w:szCs w:val="20"/>
        </w:rPr>
      </w:pPr>
    </w:p>
    <w:p w14:paraId="6D585435" w14:textId="7E86BEBD" w:rsidR="00835D3E" w:rsidRPr="00AC6062" w:rsidRDefault="00EF5363">
      <w:pPr>
        <w:rPr>
          <w:rFonts w:ascii="Arial" w:hAnsi="Arial" w:cs="Arial"/>
          <w:sz w:val="20"/>
          <w:szCs w:val="20"/>
        </w:rPr>
      </w:pPr>
      <w:r w:rsidRPr="00AC6062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250483B" wp14:editId="480C5BFC">
            <wp:extent cx="6562725" cy="6076597"/>
            <wp:effectExtent l="0" t="0" r="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3155" cy="6104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36711" w14:textId="56ADD2F7" w:rsidR="00835D3E" w:rsidRPr="00AC6062" w:rsidRDefault="00835D3E">
      <w:pPr>
        <w:rPr>
          <w:rFonts w:ascii="Arial" w:hAnsi="Arial" w:cs="Arial"/>
          <w:sz w:val="20"/>
          <w:szCs w:val="20"/>
        </w:rPr>
      </w:pPr>
      <w:r w:rsidRPr="00AC6062">
        <w:rPr>
          <w:rFonts w:ascii="Arial" w:hAnsi="Arial" w:cs="Arial"/>
          <w:sz w:val="20"/>
          <w:szCs w:val="20"/>
        </w:rPr>
        <w:t xml:space="preserve">Figure S1: </w:t>
      </w:r>
      <w:r w:rsidR="00AC6062" w:rsidRPr="00AC6062">
        <w:rPr>
          <w:rFonts w:ascii="Arial" w:hAnsi="Arial" w:cs="Arial"/>
          <w:sz w:val="20"/>
          <w:szCs w:val="20"/>
        </w:rPr>
        <w:t xml:space="preserve">Clinical symptom progression </w:t>
      </w:r>
      <w:r w:rsidR="00AC6062">
        <w:rPr>
          <w:rFonts w:ascii="Arial" w:hAnsi="Arial" w:cs="Arial"/>
          <w:sz w:val="20"/>
          <w:szCs w:val="20"/>
        </w:rPr>
        <w:t xml:space="preserve">as assessed by a numeric rating scale (NRS) from </w:t>
      </w:r>
      <w:r w:rsidR="00AC6062" w:rsidRPr="00AC6062">
        <w:rPr>
          <w:rFonts w:ascii="Arial" w:hAnsi="Arial" w:cs="Arial"/>
          <w:sz w:val="20"/>
          <w:szCs w:val="20"/>
        </w:rPr>
        <w:t>1 to 10, with 10 indicating maximum symptom severity</w:t>
      </w:r>
      <w:r w:rsidR="00AC6062">
        <w:rPr>
          <w:rFonts w:ascii="Arial" w:hAnsi="Arial" w:cs="Arial"/>
          <w:sz w:val="20"/>
          <w:szCs w:val="20"/>
        </w:rPr>
        <w:t xml:space="preserve">, </w:t>
      </w:r>
      <w:r w:rsidR="00AC6062" w:rsidRPr="00AC6062">
        <w:rPr>
          <w:rFonts w:ascii="Arial" w:hAnsi="Arial" w:cs="Arial"/>
          <w:sz w:val="20"/>
          <w:szCs w:val="20"/>
        </w:rPr>
        <w:t>over the study period (</w:t>
      </w:r>
      <w:r w:rsidR="00AC6062" w:rsidRPr="00D656D9">
        <w:rPr>
          <w:rFonts w:ascii="Arial" w:hAnsi="Arial" w:cs="Arial"/>
          <w:i/>
          <w:sz w:val="20"/>
          <w:szCs w:val="20"/>
        </w:rPr>
        <w:t>n</w:t>
      </w:r>
      <w:r w:rsidR="00AC6062" w:rsidRPr="00AC6062">
        <w:rPr>
          <w:rFonts w:ascii="Arial" w:hAnsi="Arial" w:cs="Arial"/>
          <w:sz w:val="20"/>
          <w:szCs w:val="20"/>
        </w:rPr>
        <w:t xml:space="preserve">=20).  Error bars represent 95% confidence intervals. Data were </w:t>
      </w:r>
      <w:proofErr w:type="spellStart"/>
      <w:r w:rsidR="00AC6062" w:rsidRPr="00AC6062">
        <w:rPr>
          <w:rFonts w:ascii="Arial" w:hAnsi="Arial" w:cs="Arial"/>
          <w:sz w:val="20"/>
          <w:szCs w:val="20"/>
        </w:rPr>
        <w:t>analyzed</w:t>
      </w:r>
      <w:proofErr w:type="spellEnd"/>
      <w:r w:rsidR="00AC6062" w:rsidRPr="00AC6062">
        <w:rPr>
          <w:rFonts w:ascii="Arial" w:hAnsi="Arial" w:cs="Arial"/>
          <w:sz w:val="20"/>
          <w:szCs w:val="20"/>
        </w:rPr>
        <w:t xml:space="preserve"> using a linear mixed-effects model fitted by restricted maximum likelihood (REML), with t-tests computed using Satterthwaite's method for degrees of freedom with significance levels indicated as * </w:t>
      </w:r>
      <w:r w:rsidR="00AC6062" w:rsidRPr="00D656D9">
        <w:rPr>
          <w:rFonts w:ascii="Arial" w:hAnsi="Arial" w:cs="Arial"/>
          <w:i/>
          <w:sz w:val="20"/>
          <w:szCs w:val="20"/>
        </w:rPr>
        <w:t>p</w:t>
      </w:r>
      <w:r w:rsidR="00AC6062" w:rsidRPr="00AC6062">
        <w:rPr>
          <w:rFonts w:ascii="Arial" w:hAnsi="Arial" w:cs="Arial"/>
          <w:sz w:val="20"/>
          <w:szCs w:val="20"/>
        </w:rPr>
        <w:t xml:space="preserve"> &lt; 0·05, ** </w:t>
      </w:r>
      <w:r w:rsidR="00AC6062" w:rsidRPr="00D656D9">
        <w:rPr>
          <w:rFonts w:ascii="Arial" w:hAnsi="Arial" w:cs="Arial"/>
          <w:i/>
          <w:sz w:val="20"/>
          <w:szCs w:val="20"/>
        </w:rPr>
        <w:t>p</w:t>
      </w:r>
      <w:r w:rsidR="00AC6062" w:rsidRPr="00AC6062">
        <w:rPr>
          <w:rFonts w:ascii="Arial" w:hAnsi="Arial" w:cs="Arial"/>
          <w:sz w:val="20"/>
          <w:szCs w:val="20"/>
        </w:rPr>
        <w:t xml:space="preserve"> &lt; 0·01, *** </w:t>
      </w:r>
      <w:r w:rsidR="00AC6062" w:rsidRPr="00D656D9">
        <w:rPr>
          <w:rFonts w:ascii="Arial" w:hAnsi="Arial" w:cs="Arial"/>
          <w:i/>
          <w:sz w:val="20"/>
          <w:szCs w:val="20"/>
        </w:rPr>
        <w:t xml:space="preserve">p </w:t>
      </w:r>
      <w:r w:rsidR="00AC6062" w:rsidRPr="00AC6062">
        <w:rPr>
          <w:rFonts w:ascii="Arial" w:hAnsi="Arial" w:cs="Arial"/>
          <w:sz w:val="20"/>
          <w:szCs w:val="20"/>
        </w:rPr>
        <w:t xml:space="preserve">&lt; 0·001. From left to right, the panels display the trajectories of: a) </w:t>
      </w:r>
      <w:r w:rsidR="00AC6062">
        <w:rPr>
          <w:rFonts w:ascii="Arial" w:hAnsi="Arial" w:cs="Arial"/>
          <w:sz w:val="20"/>
          <w:szCs w:val="20"/>
        </w:rPr>
        <w:t>muscle pain</w:t>
      </w:r>
      <w:r w:rsidR="00AC6062" w:rsidRPr="00AC6062">
        <w:rPr>
          <w:rFonts w:ascii="Arial" w:hAnsi="Arial" w:cs="Arial"/>
          <w:sz w:val="20"/>
          <w:szCs w:val="20"/>
        </w:rPr>
        <w:t xml:space="preserve"> b) </w:t>
      </w:r>
      <w:r w:rsidR="00AC6062">
        <w:rPr>
          <w:rFonts w:ascii="Arial" w:hAnsi="Arial" w:cs="Arial"/>
          <w:sz w:val="20"/>
          <w:szCs w:val="20"/>
        </w:rPr>
        <w:t xml:space="preserve">immunological dysfunction (mean of </w:t>
      </w:r>
      <w:r w:rsidR="00D656D9">
        <w:rPr>
          <w:rFonts w:ascii="Arial" w:hAnsi="Arial" w:cs="Arial"/>
          <w:sz w:val="20"/>
          <w:szCs w:val="20"/>
        </w:rPr>
        <w:t>lymph</w:t>
      </w:r>
      <w:r w:rsidR="00AC6062" w:rsidRPr="00AC6062">
        <w:rPr>
          <w:rFonts w:ascii="Arial" w:hAnsi="Arial" w:cs="Arial"/>
          <w:sz w:val="20"/>
          <w:szCs w:val="20"/>
        </w:rPr>
        <w:t xml:space="preserve"> node pain, throat pain, and flu-like feeling</w:t>
      </w:r>
      <w:r w:rsidR="00AC6062">
        <w:rPr>
          <w:rFonts w:ascii="Arial" w:hAnsi="Arial" w:cs="Arial"/>
          <w:sz w:val="20"/>
          <w:szCs w:val="20"/>
        </w:rPr>
        <w:t>)</w:t>
      </w:r>
      <w:r w:rsidR="00AC6062" w:rsidRPr="00AC6062">
        <w:rPr>
          <w:rFonts w:ascii="Arial" w:hAnsi="Arial" w:cs="Arial"/>
          <w:sz w:val="20"/>
          <w:szCs w:val="20"/>
        </w:rPr>
        <w:t xml:space="preserve"> c) </w:t>
      </w:r>
      <w:r w:rsidR="00AC6062">
        <w:rPr>
          <w:rFonts w:ascii="Arial" w:hAnsi="Arial" w:cs="Arial"/>
          <w:sz w:val="20"/>
          <w:szCs w:val="20"/>
        </w:rPr>
        <w:t>cognitive dysfunction</w:t>
      </w:r>
      <w:r w:rsidR="00AC6062" w:rsidRPr="00AC6062">
        <w:rPr>
          <w:rFonts w:ascii="Arial" w:hAnsi="Arial" w:cs="Arial"/>
          <w:sz w:val="20"/>
          <w:szCs w:val="20"/>
        </w:rPr>
        <w:t xml:space="preserve"> </w:t>
      </w:r>
      <w:r w:rsidR="00AC6062">
        <w:rPr>
          <w:rFonts w:ascii="Arial" w:hAnsi="Arial" w:cs="Arial"/>
          <w:sz w:val="20"/>
          <w:szCs w:val="20"/>
        </w:rPr>
        <w:t xml:space="preserve">(mean of </w:t>
      </w:r>
      <w:r w:rsidR="00AC6062" w:rsidRPr="00AC6062">
        <w:rPr>
          <w:rFonts w:ascii="Arial" w:hAnsi="Arial" w:cs="Arial"/>
          <w:sz w:val="20"/>
          <w:szCs w:val="20"/>
        </w:rPr>
        <w:t xml:space="preserve">memory disturbance, concentration </w:t>
      </w:r>
      <w:r w:rsidR="00D656D9">
        <w:rPr>
          <w:rFonts w:ascii="Arial" w:hAnsi="Arial" w:cs="Arial"/>
          <w:sz w:val="20"/>
          <w:szCs w:val="20"/>
        </w:rPr>
        <w:t>problems</w:t>
      </w:r>
      <w:r w:rsidR="00AC6062" w:rsidRPr="00AC6062">
        <w:rPr>
          <w:rFonts w:ascii="Arial" w:hAnsi="Arial" w:cs="Arial"/>
          <w:sz w:val="20"/>
          <w:szCs w:val="20"/>
        </w:rPr>
        <w:t>, and mental tiredness</w:t>
      </w:r>
      <w:r w:rsidR="00AC6062">
        <w:rPr>
          <w:rFonts w:ascii="Arial" w:hAnsi="Arial" w:cs="Arial"/>
          <w:sz w:val="20"/>
          <w:szCs w:val="20"/>
        </w:rPr>
        <w:t>)</w:t>
      </w:r>
    </w:p>
    <w:p w14:paraId="47B5F415" w14:textId="77777777" w:rsidR="00835D3E" w:rsidRPr="00AC6062" w:rsidRDefault="00835D3E">
      <w:pPr>
        <w:rPr>
          <w:rFonts w:ascii="Arial" w:hAnsi="Arial" w:cs="Arial"/>
          <w:sz w:val="20"/>
          <w:szCs w:val="20"/>
        </w:rPr>
      </w:pPr>
      <w:r w:rsidRPr="00AC6062">
        <w:rPr>
          <w:rFonts w:ascii="Arial" w:hAnsi="Arial" w:cs="Arial"/>
          <w:sz w:val="20"/>
          <w:szCs w:val="20"/>
        </w:rPr>
        <w:br w:type="page"/>
      </w:r>
    </w:p>
    <w:p w14:paraId="2A619BAD" w14:textId="055F35CB" w:rsidR="00835D3E" w:rsidRPr="00AC6062" w:rsidRDefault="00AC6062">
      <w:pPr>
        <w:rPr>
          <w:rFonts w:ascii="Arial" w:hAnsi="Arial" w:cs="Arial"/>
          <w:sz w:val="20"/>
          <w:szCs w:val="20"/>
        </w:rPr>
      </w:pPr>
      <w:r w:rsidRPr="00AC6062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34822EA1" wp14:editId="0E58F297">
            <wp:extent cx="5400675" cy="5400675"/>
            <wp:effectExtent l="0" t="0" r="952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C84F9" w14:textId="704E748E" w:rsidR="001D2F34" w:rsidRPr="00AC6062" w:rsidRDefault="001D2F34" w:rsidP="001D2F34">
      <w:pPr>
        <w:rPr>
          <w:rFonts w:ascii="Arial" w:hAnsi="Arial" w:cs="Arial"/>
          <w:sz w:val="20"/>
          <w:szCs w:val="20"/>
        </w:rPr>
      </w:pPr>
      <w:r w:rsidRPr="00AC6062">
        <w:rPr>
          <w:rFonts w:ascii="Arial" w:hAnsi="Arial" w:cs="Arial"/>
          <w:sz w:val="20"/>
          <w:szCs w:val="20"/>
        </w:rPr>
        <w:t>Figure S</w:t>
      </w:r>
      <w:r>
        <w:rPr>
          <w:rFonts w:ascii="Arial" w:hAnsi="Arial" w:cs="Arial"/>
          <w:sz w:val="20"/>
          <w:szCs w:val="20"/>
        </w:rPr>
        <w:t>2</w:t>
      </w:r>
      <w:r w:rsidRPr="00AC6062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Disease severity</w:t>
      </w:r>
      <w:r w:rsidRPr="00AC60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as assessed by </w:t>
      </w:r>
      <w:r>
        <w:rPr>
          <w:rFonts w:ascii="Arial" w:hAnsi="Arial" w:cs="Arial"/>
          <w:sz w:val="20"/>
          <w:szCs w:val="20"/>
        </w:rPr>
        <w:t>the Bell Score</w:t>
      </w:r>
      <w:r w:rsidRPr="00AC6062">
        <w:rPr>
          <w:rFonts w:ascii="Arial" w:hAnsi="Arial" w:cs="Arial"/>
          <w:sz w:val="20"/>
          <w:szCs w:val="20"/>
        </w:rPr>
        <w:t>, with 1</w:t>
      </w:r>
      <w:r>
        <w:rPr>
          <w:rFonts w:ascii="Arial" w:hAnsi="Arial" w:cs="Arial"/>
          <w:sz w:val="20"/>
          <w:szCs w:val="20"/>
        </w:rPr>
        <w:t>0</w:t>
      </w:r>
      <w:r w:rsidRPr="00AC6062">
        <w:rPr>
          <w:rFonts w:ascii="Arial" w:hAnsi="Arial" w:cs="Arial"/>
          <w:sz w:val="20"/>
          <w:szCs w:val="20"/>
        </w:rPr>
        <w:t xml:space="preserve">0 indicating maximum </w:t>
      </w:r>
      <w:r w:rsidR="005660C5">
        <w:rPr>
          <w:rFonts w:ascii="Arial" w:hAnsi="Arial" w:cs="Arial"/>
          <w:sz w:val="20"/>
          <w:szCs w:val="20"/>
        </w:rPr>
        <w:t>disease</w:t>
      </w:r>
      <w:bookmarkStart w:id="0" w:name="_GoBack"/>
      <w:bookmarkEnd w:id="0"/>
      <w:r w:rsidRPr="00AC6062">
        <w:rPr>
          <w:rFonts w:ascii="Arial" w:hAnsi="Arial" w:cs="Arial"/>
          <w:sz w:val="20"/>
          <w:szCs w:val="20"/>
        </w:rPr>
        <w:t xml:space="preserve"> severity</w:t>
      </w:r>
      <w:r>
        <w:rPr>
          <w:rFonts w:ascii="Arial" w:hAnsi="Arial" w:cs="Arial"/>
          <w:sz w:val="20"/>
          <w:szCs w:val="20"/>
        </w:rPr>
        <w:t xml:space="preserve">, </w:t>
      </w:r>
      <w:r w:rsidRPr="00AC6062">
        <w:rPr>
          <w:rFonts w:ascii="Arial" w:hAnsi="Arial" w:cs="Arial"/>
          <w:sz w:val="20"/>
          <w:szCs w:val="20"/>
        </w:rPr>
        <w:t>over the study period (</w:t>
      </w:r>
      <w:r w:rsidRPr="00D656D9">
        <w:rPr>
          <w:rFonts w:ascii="Arial" w:hAnsi="Arial" w:cs="Arial"/>
          <w:i/>
          <w:sz w:val="20"/>
          <w:szCs w:val="20"/>
        </w:rPr>
        <w:t>n</w:t>
      </w:r>
      <w:r w:rsidRPr="00AC6062">
        <w:rPr>
          <w:rFonts w:ascii="Arial" w:hAnsi="Arial" w:cs="Arial"/>
          <w:sz w:val="20"/>
          <w:szCs w:val="20"/>
        </w:rPr>
        <w:t xml:space="preserve">=20).  Error bars represent 95% confidence intervals. Data were </w:t>
      </w:r>
      <w:proofErr w:type="spellStart"/>
      <w:r w:rsidRPr="00AC6062">
        <w:rPr>
          <w:rFonts w:ascii="Arial" w:hAnsi="Arial" w:cs="Arial"/>
          <w:sz w:val="20"/>
          <w:szCs w:val="20"/>
        </w:rPr>
        <w:t>analyzed</w:t>
      </w:r>
      <w:proofErr w:type="spellEnd"/>
      <w:r w:rsidRPr="00AC6062">
        <w:rPr>
          <w:rFonts w:ascii="Arial" w:hAnsi="Arial" w:cs="Arial"/>
          <w:sz w:val="20"/>
          <w:szCs w:val="20"/>
        </w:rPr>
        <w:t xml:space="preserve"> using a linear mixed-effects model fitted by restricted maximum likelihood (REML), with t-tests computed using Satterthwaite's method for degrees of freedom with significance levels indicated as * </w:t>
      </w:r>
      <w:r w:rsidRPr="00D656D9">
        <w:rPr>
          <w:rFonts w:ascii="Arial" w:hAnsi="Arial" w:cs="Arial"/>
          <w:i/>
          <w:sz w:val="20"/>
          <w:szCs w:val="20"/>
        </w:rPr>
        <w:t>p</w:t>
      </w:r>
      <w:r w:rsidRPr="00AC6062">
        <w:rPr>
          <w:rFonts w:ascii="Arial" w:hAnsi="Arial" w:cs="Arial"/>
          <w:sz w:val="20"/>
          <w:szCs w:val="20"/>
        </w:rPr>
        <w:t xml:space="preserve"> &lt; 0·05, ** </w:t>
      </w:r>
      <w:r w:rsidRPr="00D656D9">
        <w:rPr>
          <w:rFonts w:ascii="Arial" w:hAnsi="Arial" w:cs="Arial"/>
          <w:i/>
          <w:sz w:val="20"/>
          <w:szCs w:val="20"/>
        </w:rPr>
        <w:t>p</w:t>
      </w:r>
      <w:r w:rsidRPr="00AC6062">
        <w:rPr>
          <w:rFonts w:ascii="Arial" w:hAnsi="Arial" w:cs="Arial"/>
          <w:sz w:val="20"/>
          <w:szCs w:val="20"/>
        </w:rPr>
        <w:t xml:space="preserve"> &lt; 0·01, *** </w:t>
      </w:r>
      <w:r w:rsidRPr="00D656D9">
        <w:rPr>
          <w:rFonts w:ascii="Arial" w:hAnsi="Arial" w:cs="Arial"/>
          <w:i/>
          <w:sz w:val="20"/>
          <w:szCs w:val="20"/>
        </w:rPr>
        <w:t xml:space="preserve">p </w:t>
      </w:r>
      <w:r w:rsidRPr="00AC6062">
        <w:rPr>
          <w:rFonts w:ascii="Arial" w:hAnsi="Arial" w:cs="Arial"/>
          <w:sz w:val="20"/>
          <w:szCs w:val="20"/>
        </w:rPr>
        <w:t xml:space="preserve">&lt; 0·001. </w:t>
      </w:r>
    </w:p>
    <w:p w14:paraId="341A7977" w14:textId="77777777" w:rsidR="00835D3E" w:rsidRPr="00AC6062" w:rsidRDefault="00835D3E">
      <w:pPr>
        <w:rPr>
          <w:rFonts w:ascii="Arial" w:hAnsi="Arial" w:cs="Arial"/>
          <w:sz w:val="20"/>
          <w:szCs w:val="20"/>
        </w:rPr>
      </w:pPr>
      <w:r w:rsidRPr="00AC6062">
        <w:rPr>
          <w:rFonts w:ascii="Arial" w:hAnsi="Arial" w:cs="Arial"/>
          <w:sz w:val="20"/>
          <w:szCs w:val="20"/>
        </w:rPr>
        <w:br w:type="page"/>
      </w:r>
    </w:p>
    <w:p w14:paraId="76B297EE" w14:textId="359807EA" w:rsidR="0053063F" w:rsidRPr="00AC6062" w:rsidRDefault="00AC6062" w:rsidP="00835D3E">
      <w:pPr>
        <w:rPr>
          <w:rFonts w:ascii="Arial" w:hAnsi="Arial" w:cs="Arial"/>
          <w:sz w:val="20"/>
          <w:szCs w:val="20"/>
        </w:rPr>
      </w:pPr>
      <w:r w:rsidRPr="00AC6062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41033146" wp14:editId="5BA3CA62">
            <wp:extent cx="5400675" cy="5400675"/>
            <wp:effectExtent l="0" t="0" r="9525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97105" w14:textId="1A7FA537" w:rsidR="00D063F1" w:rsidRPr="00AC6062" w:rsidRDefault="00D063F1" w:rsidP="00D063F1">
      <w:pPr>
        <w:rPr>
          <w:rFonts w:ascii="Arial" w:hAnsi="Arial" w:cs="Arial"/>
          <w:sz w:val="20"/>
          <w:szCs w:val="20"/>
        </w:rPr>
      </w:pPr>
      <w:r w:rsidRPr="00AC6062">
        <w:rPr>
          <w:rFonts w:ascii="Arial" w:hAnsi="Arial" w:cs="Arial"/>
          <w:sz w:val="20"/>
          <w:szCs w:val="20"/>
        </w:rPr>
        <w:t>Figure S</w:t>
      </w:r>
      <w:r>
        <w:rPr>
          <w:rFonts w:ascii="Arial" w:hAnsi="Arial" w:cs="Arial"/>
          <w:sz w:val="20"/>
          <w:szCs w:val="20"/>
        </w:rPr>
        <w:t>3</w:t>
      </w:r>
      <w:r w:rsidRPr="00AC6062">
        <w:rPr>
          <w:rFonts w:ascii="Arial" w:hAnsi="Arial" w:cs="Arial"/>
          <w:sz w:val="20"/>
          <w:szCs w:val="20"/>
        </w:rPr>
        <w:t xml:space="preserve">: </w:t>
      </w:r>
      <w:r w:rsidR="000E5D5D">
        <w:rPr>
          <w:rFonts w:ascii="Arial" w:hAnsi="Arial" w:cs="Arial"/>
          <w:sz w:val="20"/>
          <w:szCs w:val="20"/>
        </w:rPr>
        <w:t>Fatigue</w:t>
      </w:r>
      <w:r w:rsidRPr="00AC60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as assessed by </w:t>
      </w:r>
      <w:r w:rsidR="000E5D5D">
        <w:rPr>
          <w:rFonts w:ascii="Arial" w:hAnsi="Arial" w:cs="Arial"/>
          <w:sz w:val="20"/>
          <w:szCs w:val="20"/>
        </w:rPr>
        <w:t>the Fatigue Severity Scale (FSS)</w:t>
      </w:r>
      <w:r w:rsidRPr="00AC6062">
        <w:rPr>
          <w:rFonts w:ascii="Arial" w:hAnsi="Arial" w:cs="Arial"/>
          <w:sz w:val="20"/>
          <w:szCs w:val="20"/>
        </w:rPr>
        <w:t xml:space="preserve">, with </w:t>
      </w:r>
      <w:r w:rsidR="000E5D5D">
        <w:rPr>
          <w:rFonts w:ascii="Arial" w:hAnsi="Arial" w:cs="Arial"/>
          <w:sz w:val="20"/>
          <w:szCs w:val="20"/>
        </w:rPr>
        <w:t>higher values indicating more severe fatigue</w:t>
      </w:r>
      <w:r>
        <w:rPr>
          <w:rFonts w:ascii="Arial" w:hAnsi="Arial" w:cs="Arial"/>
          <w:sz w:val="20"/>
          <w:szCs w:val="20"/>
        </w:rPr>
        <w:t xml:space="preserve">, </w:t>
      </w:r>
      <w:r w:rsidRPr="00AC6062">
        <w:rPr>
          <w:rFonts w:ascii="Arial" w:hAnsi="Arial" w:cs="Arial"/>
          <w:sz w:val="20"/>
          <w:szCs w:val="20"/>
        </w:rPr>
        <w:t>over the study period (</w:t>
      </w:r>
      <w:r w:rsidRPr="00D656D9">
        <w:rPr>
          <w:rFonts w:ascii="Arial" w:hAnsi="Arial" w:cs="Arial"/>
          <w:i/>
          <w:sz w:val="20"/>
          <w:szCs w:val="20"/>
        </w:rPr>
        <w:t>n</w:t>
      </w:r>
      <w:r w:rsidRPr="00AC6062">
        <w:rPr>
          <w:rFonts w:ascii="Arial" w:hAnsi="Arial" w:cs="Arial"/>
          <w:sz w:val="20"/>
          <w:szCs w:val="20"/>
        </w:rPr>
        <w:t xml:space="preserve">=20). Error bars represent 95% confidence intervals. Data were </w:t>
      </w:r>
      <w:proofErr w:type="spellStart"/>
      <w:r w:rsidRPr="00AC6062">
        <w:rPr>
          <w:rFonts w:ascii="Arial" w:hAnsi="Arial" w:cs="Arial"/>
          <w:sz w:val="20"/>
          <w:szCs w:val="20"/>
        </w:rPr>
        <w:t>analyzed</w:t>
      </w:r>
      <w:proofErr w:type="spellEnd"/>
      <w:r w:rsidRPr="00AC6062">
        <w:rPr>
          <w:rFonts w:ascii="Arial" w:hAnsi="Arial" w:cs="Arial"/>
          <w:sz w:val="20"/>
          <w:szCs w:val="20"/>
        </w:rPr>
        <w:t xml:space="preserve"> using a linear mixed-effects model fitted by restricted maximum likelihood (REML), with t-tests computed using Satterthwaite's method for degrees of freedom with significance levels indicated as * </w:t>
      </w:r>
      <w:r w:rsidRPr="00D656D9">
        <w:rPr>
          <w:rFonts w:ascii="Arial" w:hAnsi="Arial" w:cs="Arial"/>
          <w:i/>
          <w:sz w:val="20"/>
          <w:szCs w:val="20"/>
        </w:rPr>
        <w:t>p</w:t>
      </w:r>
      <w:r w:rsidRPr="00AC6062">
        <w:rPr>
          <w:rFonts w:ascii="Arial" w:hAnsi="Arial" w:cs="Arial"/>
          <w:sz w:val="20"/>
          <w:szCs w:val="20"/>
        </w:rPr>
        <w:t xml:space="preserve"> &lt; 0·05, ** </w:t>
      </w:r>
      <w:r w:rsidRPr="00D656D9">
        <w:rPr>
          <w:rFonts w:ascii="Arial" w:hAnsi="Arial" w:cs="Arial"/>
          <w:i/>
          <w:sz w:val="20"/>
          <w:szCs w:val="20"/>
        </w:rPr>
        <w:t>p</w:t>
      </w:r>
      <w:r w:rsidRPr="00AC6062">
        <w:rPr>
          <w:rFonts w:ascii="Arial" w:hAnsi="Arial" w:cs="Arial"/>
          <w:sz w:val="20"/>
          <w:szCs w:val="20"/>
        </w:rPr>
        <w:t xml:space="preserve"> &lt; 0·01, *** </w:t>
      </w:r>
      <w:r w:rsidRPr="00D656D9">
        <w:rPr>
          <w:rFonts w:ascii="Arial" w:hAnsi="Arial" w:cs="Arial"/>
          <w:i/>
          <w:sz w:val="20"/>
          <w:szCs w:val="20"/>
        </w:rPr>
        <w:t xml:space="preserve">p </w:t>
      </w:r>
      <w:r w:rsidRPr="00AC6062">
        <w:rPr>
          <w:rFonts w:ascii="Arial" w:hAnsi="Arial" w:cs="Arial"/>
          <w:sz w:val="20"/>
          <w:szCs w:val="20"/>
        </w:rPr>
        <w:t xml:space="preserve">&lt; 0·001. </w:t>
      </w:r>
    </w:p>
    <w:p w14:paraId="6617A6B8" w14:textId="77777777" w:rsidR="0053063F" w:rsidRPr="00AC6062" w:rsidRDefault="0053063F">
      <w:pPr>
        <w:rPr>
          <w:rFonts w:ascii="Arial" w:hAnsi="Arial" w:cs="Arial"/>
          <w:sz w:val="20"/>
          <w:szCs w:val="20"/>
        </w:rPr>
      </w:pPr>
      <w:r w:rsidRPr="00AC6062">
        <w:rPr>
          <w:rFonts w:ascii="Arial" w:hAnsi="Arial" w:cs="Arial"/>
          <w:sz w:val="20"/>
          <w:szCs w:val="20"/>
        </w:rPr>
        <w:br w:type="page"/>
      </w:r>
    </w:p>
    <w:p w14:paraId="3463BF1B" w14:textId="2E6F53DC" w:rsidR="0053063F" w:rsidRPr="00AC6062" w:rsidRDefault="00AC6062">
      <w:pPr>
        <w:rPr>
          <w:rFonts w:ascii="Arial" w:hAnsi="Arial" w:cs="Arial"/>
          <w:sz w:val="20"/>
          <w:szCs w:val="20"/>
        </w:rPr>
      </w:pPr>
      <w:r w:rsidRPr="00AC6062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6E3F3231" wp14:editId="2F83DA67">
            <wp:extent cx="6562725" cy="6014138"/>
            <wp:effectExtent l="0" t="0" r="0" b="571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465" cy="6031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6BA65" w14:textId="5BE092E7" w:rsidR="00D063F1" w:rsidRPr="00AC6062" w:rsidRDefault="00D063F1" w:rsidP="00D063F1">
      <w:pPr>
        <w:rPr>
          <w:rFonts w:ascii="Arial" w:hAnsi="Arial" w:cs="Arial"/>
          <w:sz w:val="20"/>
          <w:szCs w:val="20"/>
        </w:rPr>
      </w:pPr>
      <w:r w:rsidRPr="00AC6062">
        <w:rPr>
          <w:rFonts w:ascii="Arial" w:hAnsi="Arial" w:cs="Arial"/>
          <w:sz w:val="20"/>
          <w:szCs w:val="20"/>
        </w:rPr>
        <w:t>Figure S</w:t>
      </w:r>
      <w:r>
        <w:rPr>
          <w:rFonts w:ascii="Arial" w:hAnsi="Arial" w:cs="Arial"/>
          <w:sz w:val="20"/>
          <w:szCs w:val="20"/>
        </w:rPr>
        <w:t>4</w:t>
      </w:r>
      <w:r w:rsidRPr="00AC6062">
        <w:rPr>
          <w:rFonts w:ascii="Arial" w:hAnsi="Arial" w:cs="Arial"/>
          <w:sz w:val="20"/>
          <w:szCs w:val="20"/>
        </w:rPr>
        <w:t xml:space="preserve">: </w:t>
      </w:r>
      <w:r w:rsidR="00FF1F79">
        <w:rPr>
          <w:rFonts w:ascii="Arial" w:hAnsi="Arial" w:cs="Arial"/>
          <w:sz w:val="20"/>
          <w:szCs w:val="20"/>
        </w:rPr>
        <w:t>Autonomic</w:t>
      </w:r>
      <w:r w:rsidRPr="00AC6062">
        <w:rPr>
          <w:rFonts w:ascii="Arial" w:hAnsi="Arial" w:cs="Arial"/>
          <w:sz w:val="20"/>
          <w:szCs w:val="20"/>
        </w:rPr>
        <w:t xml:space="preserve"> symptom</w:t>
      </w:r>
      <w:r w:rsidR="00FF1F79"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z w:val="20"/>
          <w:szCs w:val="20"/>
        </w:rPr>
        <w:t xml:space="preserve">as assessed by </w:t>
      </w:r>
      <w:r w:rsidR="00FF1F79">
        <w:rPr>
          <w:rFonts w:ascii="Arial" w:hAnsi="Arial" w:cs="Arial"/>
          <w:sz w:val="20"/>
          <w:szCs w:val="20"/>
        </w:rPr>
        <w:t xml:space="preserve">the </w:t>
      </w:r>
      <w:r w:rsidR="00FF1F79" w:rsidRPr="00FF1F79">
        <w:rPr>
          <w:rFonts w:ascii="Arial" w:hAnsi="Arial" w:cs="Arial"/>
          <w:sz w:val="20"/>
          <w:szCs w:val="20"/>
        </w:rPr>
        <w:t>Composite Autonomic Symptom Score (COMPASS31), where a higher score indicates more autonomic symptoms</w:t>
      </w:r>
      <w:r w:rsidR="00FF1F7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AC6062">
        <w:rPr>
          <w:rFonts w:ascii="Arial" w:hAnsi="Arial" w:cs="Arial"/>
          <w:sz w:val="20"/>
          <w:szCs w:val="20"/>
        </w:rPr>
        <w:t>over the study period (</w:t>
      </w:r>
      <w:r w:rsidRPr="00D656D9">
        <w:rPr>
          <w:rFonts w:ascii="Arial" w:hAnsi="Arial" w:cs="Arial"/>
          <w:i/>
          <w:sz w:val="20"/>
          <w:szCs w:val="20"/>
        </w:rPr>
        <w:t>n</w:t>
      </w:r>
      <w:r w:rsidRPr="00AC6062">
        <w:rPr>
          <w:rFonts w:ascii="Arial" w:hAnsi="Arial" w:cs="Arial"/>
          <w:sz w:val="20"/>
          <w:szCs w:val="20"/>
        </w:rPr>
        <w:t xml:space="preserve">=20). Error bars represent 95% confidence intervals. Data were </w:t>
      </w:r>
      <w:proofErr w:type="spellStart"/>
      <w:r w:rsidRPr="00AC6062">
        <w:rPr>
          <w:rFonts w:ascii="Arial" w:hAnsi="Arial" w:cs="Arial"/>
          <w:sz w:val="20"/>
          <w:szCs w:val="20"/>
        </w:rPr>
        <w:t>analyzed</w:t>
      </w:r>
      <w:proofErr w:type="spellEnd"/>
      <w:r w:rsidRPr="00AC6062">
        <w:rPr>
          <w:rFonts w:ascii="Arial" w:hAnsi="Arial" w:cs="Arial"/>
          <w:sz w:val="20"/>
          <w:szCs w:val="20"/>
        </w:rPr>
        <w:t xml:space="preserve"> using a linear mixed-effects model fitted by restricted maximum likelihood (REML), with t-tests computed using Satterthwaite's method for degrees of freedom with significance levels indicated as * </w:t>
      </w:r>
      <w:r w:rsidRPr="00D656D9">
        <w:rPr>
          <w:rFonts w:ascii="Arial" w:hAnsi="Arial" w:cs="Arial"/>
          <w:i/>
          <w:sz w:val="20"/>
          <w:szCs w:val="20"/>
        </w:rPr>
        <w:t>p</w:t>
      </w:r>
      <w:r w:rsidRPr="00AC6062">
        <w:rPr>
          <w:rFonts w:ascii="Arial" w:hAnsi="Arial" w:cs="Arial"/>
          <w:sz w:val="20"/>
          <w:szCs w:val="20"/>
        </w:rPr>
        <w:t xml:space="preserve"> &lt; 0·05, ** </w:t>
      </w:r>
      <w:r w:rsidRPr="00D656D9">
        <w:rPr>
          <w:rFonts w:ascii="Arial" w:hAnsi="Arial" w:cs="Arial"/>
          <w:i/>
          <w:sz w:val="20"/>
          <w:szCs w:val="20"/>
        </w:rPr>
        <w:t>p</w:t>
      </w:r>
      <w:r w:rsidRPr="00AC6062">
        <w:rPr>
          <w:rFonts w:ascii="Arial" w:hAnsi="Arial" w:cs="Arial"/>
          <w:sz w:val="20"/>
          <w:szCs w:val="20"/>
        </w:rPr>
        <w:t xml:space="preserve"> &lt; 0·01, *** </w:t>
      </w:r>
      <w:r w:rsidRPr="00D656D9">
        <w:rPr>
          <w:rFonts w:ascii="Arial" w:hAnsi="Arial" w:cs="Arial"/>
          <w:i/>
          <w:sz w:val="20"/>
          <w:szCs w:val="20"/>
        </w:rPr>
        <w:t xml:space="preserve">p </w:t>
      </w:r>
      <w:r w:rsidRPr="00AC6062">
        <w:rPr>
          <w:rFonts w:ascii="Arial" w:hAnsi="Arial" w:cs="Arial"/>
          <w:sz w:val="20"/>
          <w:szCs w:val="20"/>
        </w:rPr>
        <w:t>&lt; 0·001. From left to right, the panels display the trajectories of</w:t>
      </w:r>
      <w:r w:rsidR="00FF1F79">
        <w:rPr>
          <w:rFonts w:ascii="Arial" w:hAnsi="Arial" w:cs="Arial"/>
          <w:sz w:val="20"/>
          <w:szCs w:val="20"/>
        </w:rPr>
        <w:t xml:space="preserve"> the</w:t>
      </w:r>
      <w:r w:rsidRPr="00AC6062">
        <w:rPr>
          <w:rFonts w:ascii="Arial" w:hAnsi="Arial" w:cs="Arial"/>
          <w:sz w:val="20"/>
          <w:szCs w:val="20"/>
        </w:rPr>
        <w:t xml:space="preserve">: a) </w:t>
      </w:r>
      <w:r w:rsidR="00FF1F79">
        <w:rPr>
          <w:rFonts w:ascii="Arial" w:hAnsi="Arial" w:cs="Arial"/>
          <w:sz w:val="20"/>
          <w:szCs w:val="20"/>
        </w:rPr>
        <w:t>orthostatic intolerance domain</w:t>
      </w:r>
      <w:r w:rsidRPr="00AC6062">
        <w:rPr>
          <w:rFonts w:ascii="Arial" w:hAnsi="Arial" w:cs="Arial"/>
          <w:sz w:val="20"/>
          <w:szCs w:val="20"/>
        </w:rPr>
        <w:t xml:space="preserve"> b)</w:t>
      </w:r>
      <w:r w:rsidR="00FF1F79">
        <w:rPr>
          <w:rFonts w:ascii="Arial" w:hAnsi="Arial" w:cs="Arial"/>
          <w:sz w:val="20"/>
          <w:szCs w:val="20"/>
        </w:rPr>
        <w:t xml:space="preserve"> secretomotor domain</w:t>
      </w:r>
      <w:r w:rsidRPr="00AC6062">
        <w:rPr>
          <w:rFonts w:ascii="Arial" w:hAnsi="Arial" w:cs="Arial"/>
          <w:sz w:val="20"/>
          <w:szCs w:val="20"/>
        </w:rPr>
        <w:t xml:space="preserve"> c) </w:t>
      </w:r>
      <w:r w:rsidR="00FF1F79">
        <w:rPr>
          <w:rFonts w:ascii="Arial" w:hAnsi="Arial" w:cs="Arial"/>
          <w:sz w:val="20"/>
          <w:szCs w:val="20"/>
        </w:rPr>
        <w:t>gastrointestinal domain</w:t>
      </w:r>
    </w:p>
    <w:p w14:paraId="71A7359D" w14:textId="20D57002" w:rsidR="00835D3E" w:rsidRPr="00AC6062" w:rsidRDefault="00835D3E" w:rsidP="00D063F1">
      <w:pPr>
        <w:rPr>
          <w:rFonts w:ascii="Arial" w:hAnsi="Arial" w:cs="Arial"/>
          <w:sz w:val="20"/>
          <w:szCs w:val="20"/>
        </w:rPr>
      </w:pPr>
    </w:p>
    <w:sectPr w:rsidR="00835D3E" w:rsidRPr="00AC6062" w:rsidSect="00835D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D3E"/>
    <w:rsid w:val="000E5D5D"/>
    <w:rsid w:val="001D2F34"/>
    <w:rsid w:val="003F30AA"/>
    <w:rsid w:val="00473CA8"/>
    <w:rsid w:val="0053063F"/>
    <w:rsid w:val="005660C5"/>
    <w:rsid w:val="00600BC4"/>
    <w:rsid w:val="0060359D"/>
    <w:rsid w:val="00835D3E"/>
    <w:rsid w:val="00AC6062"/>
    <w:rsid w:val="00D063F1"/>
    <w:rsid w:val="00D656D9"/>
    <w:rsid w:val="00EA060B"/>
    <w:rsid w:val="00EF5363"/>
    <w:rsid w:val="00FF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4A8F"/>
  <w15:chartTrackingRefBased/>
  <w15:docId w15:val="{04775359-25F8-4E6F-BAF1-7F45D50E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F6F0233BA11247880805603E53006B" ma:contentTypeVersion="15" ma:contentTypeDescription="Create a new document." ma:contentTypeScope="" ma:versionID="2ceb4b72e81717134da4ffd51fce2783">
  <xsd:schema xmlns:xsd="http://www.w3.org/2001/XMLSchema" xmlns:xs="http://www.w3.org/2001/XMLSchema" xmlns:p="http://schemas.microsoft.com/office/2006/metadata/properties" xmlns:ns3="c0e0d041-fb3d-4faa-a9ae-a1296886f10f" xmlns:ns4="b4bb853b-14c5-4cdc-8593-64a2eecc6256" targetNamespace="http://schemas.microsoft.com/office/2006/metadata/properties" ma:root="true" ma:fieldsID="9a0da739bbbccb0bf4ab177b4a7fb63d" ns3:_="" ns4:_="">
    <xsd:import namespace="c0e0d041-fb3d-4faa-a9ae-a1296886f10f"/>
    <xsd:import namespace="b4bb853b-14c5-4cdc-8593-64a2eecc625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_activity" minOccurs="0"/>
                <xsd:element ref="ns4:MediaServiceDateTaken" minOccurs="0"/>
                <xsd:element ref="ns4:MediaServiceLocation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e0d041-fb3d-4faa-a9ae-a1296886f1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bb853b-14c5-4cdc-8593-64a2eecc62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4bb853b-14c5-4cdc-8593-64a2eecc6256" xsi:nil="true"/>
  </documentManagement>
</p:properties>
</file>

<file path=customXml/itemProps1.xml><?xml version="1.0" encoding="utf-8"?>
<ds:datastoreItem xmlns:ds="http://schemas.openxmlformats.org/officeDocument/2006/customXml" ds:itemID="{3C6413E2-2C17-43D8-945C-34546908F7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DF749B-A9F1-4C35-80D8-CEFAF32E0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e0d041-fb3d-4faa-a9ae-a1296886f10f"/>
    <ds:schemaRef ds:uri="b4bb853b-14c5-4cdc-8593-64a2eecc62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4E3227-7B8F-40B5-9491-2B46F17E40E2}">
  <ds:schemaRefs>
    <ds:schemaRef ds:uri="http://schemas.microsoft.com/office/2006/metadata/properties"/>
    <ds:schemaRef ds:uri="http://schemas.microsoft.com/office/infopath/2007/PartnerControls"/>
    <ds:schemaRef ds:uri="b4bb853b-14c5-4cdc-8593-64a2eecc62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Kim, Laura</dc:creator>
  <cp:keywords/>
  <dc:description/>
  <cp:lastModifiedBy>Kim, Laura</cp:lastModifiedBy>
  <cp:revision>11</cp:revision>
  <dcterms:created xsi:type="dcterms:W3CDTF">2024-07-30T13:39:00Z</dcterms:created>
  <dcterms:modified xsi:type="dcterms:W3CDTF">2024-09-24T14:16:00Z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0x01010024F6F0233BA11247880805603E53006B</vt:lpwstr>
  </property>
</Properties>
</file>