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7F54" w14:textId="77777777" w:rsidR="00852C6D" w:rsidRPr="00142F7D" w:rsidRDefault="00852C6D" w:rsidP="0023529B">
      <w:pPr>
        <w:spacing w:line="480" w:lineRule="auto"/>
        <w:jc w:val="both"/>
        <w:rPr>
          <w:b/>
          <w:color w:val="212121"/>
          <w:sz w:val="24"/>
          <w:highlight w:val="white"/>
          <w:lang w:val="en-US"/>
        </w:rPr>
      </w:pPr>
      <w:r w:rsidRPr="00142F7D">
        <w:rPr>
          <w:b/>
          <w:color w:val="212121"/>
          <w:sz w:val="24"/>
          <w:highlight w:val="white"/>
          <w:lang w:val="en-US"/>
        </w:rPr>
        <w:t>Supplementary Material</w:t>
      </w:r>
    </w:p>
    <w:p w14:paraId="3CFD286E" w14:textId="4BECDDE8" w:rsidR="00FA28CF" w:rsidRDefault="00FA28CF" w:rsidP="0065383F">
      <w:pPr>
        <w:spacing w:after="240" w:line="480" w:lineRule="auto"/>
        <w:jc w:val="both"/>
        <w:rPr>
          <w:lang w:val="en-US"/>
        </w:rPr>
      </w:pPr>
      <w:r w:rsidRPr="004E72C6">
        <w:rPr>
          <w:b/>
          <w:lang w:val="en-US"/>
        </w:rPr>
        <w:t xml:space="preserve">Supplemental Item </w:t>
      </w:r>
      <w:r>
        <w:rPr>
          <w:b/>
          <w:lang w:val="en-US"/>
        </w:rPr>
        <w:t>1</w:t>
      </w:r>
      <w:r w:rsidRPr="004E72C6">
        <w:rPr>
          <w:lang w:val="en-US"/>
        </w:rPr>
        <w:t xml:space="preserve">: Detailed description of HLA-typing methods and </w:t>
      </w:r>
      <w:r>
        <w:rPr>
          <w:lang w:val="en-US"/>
        </w:rPr>
        <w:t>dn</w:t>
      </w:r>
      <w:r w:rsidRPr="004E72C6">
        <w:rPr>
          <w:lang w:val="en-US"/>
        </w:rPr>
        <w:t>DSA detection</w:t>
      </w:r>
      <w:r>
        <w:rPr>
          <w:lang w:val="en-US"/>
        </w:rPr>
        <w:t>.</w:t>
      </w:r>
    </w:p>
    <w:p w14:paraId="5E3DAC45" w14:textId="77777777" w:rsidR="0065383F" w:rsidRDefault="00E54E0D" w:rsidP="0065383F">
      <w:pPr>
        <w:spacing w:after="240" w:line="480" w:lineRule="auto"/>
        <w:jc w:val="both"/>
        <w:rPr>
          <w:lang w:val="en-US"/>
        </w:rPr>
      </w:pPr>
      <w:r>
        <w:rPr>
          <w:b/>
          <w:lang w:val="en-US"/>
        </w:rPr>
        <w:t xml:space="preserve">Supplemental Item </w:t>
      </w:r>
      <w:r w:rsidR="00FA28CF">
        <w:rPr>
          <w:b/>
          <w:lang w:val="en-US"/>
        </w:rPr>
        <w:t>2</w:t>
      </w:r>
      <w:r w:rsidR="0023529B">
        <w:rPr>
          <w:b/>
          <w:lang w:val="en-US"/>
        </w:rPr>
        <w:t xml:space="preserve">. </w:t>
      </w:r>
      <w:r w:rsidR="0023529B">
        <w:rPr>
          <w:lang w:val="en-US"/>
        </w:rPr>
        <w:t>Detailed method description for donor-derived cell-free DNA quantification.</w:t>
      </w:r>
    </w:p>
    <w:p w14:paraId="5F4144CF" w14:textId="3B73A2EA" w:rsidR="00B45F1B" w:rsidRDefault="00B45F1B" w:rsidP="0065383F">
      <w:pPr>
        <w:spacing w:after="240" w:line="480" w:lineRule="auto"/>
        <w:jc w:val="both"/>
        <w:rPr>
          <w:lang w:val="en-US"/>
        </w:rPr>
      </w:pPr>
      <w:r>
        <w:rPr>
          <w:b/>
          <w:lang w:val="en-US"/>
        </w:rPr>
        <w:t xml:space="preserve">Supplemental Item </w:t>
      </w:r>
      <w:r w:rsidR="00FA28CF">
        <w:rPr>
          <w:b/>
          <w:lang w:val="en-US"/>
        </w:rPr>
        <w:t>3</w:t>
      </w:r>
      <w:r>
        <w:rPr>
          <w:b/>
          <w:lang w:val="en-US"/>
        </w:rPr>
        <w:t xml:space="preserve">. </w:t>
      </w:r>
      <w:r>
        <w:rPr>
          <w:lang w:val="en-US"/>
        </w:rPr>
        <w:t>Detailed secondary endpoint definitions.</w:t>
      </w:r>
    </w:p>
    <w:p w14:paraId="41C05A76" w14:textId="26F7B827" w:rsidR="0023529B" w:rsidRDefault="0023529B" w:rsidP="0065383F">
      <w:pPr>
        <w:spacing w:line="480" w:lineRule="auto"/>
        <w:jc w:val="both"/>
        <w:rPr>
          <w:lang w:val="en-US"/>
        </w:rPr>
      </w:pPr>
      <w:r w:rsidRPr="00B05F81">
        <w:rPr>
          <w:b/>
          <w:lang w:val="en-US"/>
        </w:rPr>
        <w:t>Supplemental Item</w:t>
      </w:r>
      <w:r>
        <w:rPr>
          <w:b/>
          <w:lang w:val="en-US"/>
        </w:rPr>
        <w:t xml:space="preserve"> </w:t>
      </w:r>
      <w:r w:rsidR="00FA28CF">
        <w:rPr>
          <w:b/>
          <w:lang w:val="en-US"/>
        </w:rPr>
        <w:t>4</w:t>
      </w:r>
      <w:r w:rsidRPr="00B05F81">
        <w:rPr>
          <w:b/>
          <w:lang w:val="en-US"/>
        </w:rPr>
        <w:t>.</w:t>
      </w:r>
      <w:r>
        <w:rPr>
          <w:lang w:val="en-US"/>
        </w:rPr>
        <w:t xml:space="preserve"> Sample size calculation.</w:t>
      </w:r>
    </w:p>
    <w:p w14:paraId="666C6904" w14:textId="6398A140" w:rsidR="00E96EE3" w:rsidRDefault="00B45F1B" w:rsidP="0065383F">
      <w:pPr>
        <w:spacing w:line="480" w:lineRule="auto"/>
        <w:rPr>
          <w:lang w:val="en-US"/>
        </w:rPr>
      </w:pPr>
      <w:r>
        <w:rPr>
          <w:b/>
          <w:lang w:val="en-US"/>
        </w:rPr>
        <w:t xml:space="preserve">Supplemental Item </w:t>
      </w:r>
      <w:r w:rsidR="00FA28CF">
        <w:rPr>
          <w:b/>
          <w:lang w:val="en-US"/>
        </w:rPr>
        <w:t>5</w:t>
      </w:r>
      <w:r w:rsidR="00E96EE3">
        <w:rPr>
          <w:b/>
          <w:lang w:val="en-US"/>
        </w:rPr>
        <w:t xml:space="preserve">. </w:t>
      </w:r>
      <w:r w:rsidR="00E96EE3">
        <w:rPr>
          <w:lang w:val="en-US"/>
        </w:rPr>
        <w:t xml:space="preserve">Clinical outcome parameters including eGFR slope, </w:t>
      </w:r>
      <w:proofErr w:type="spellStart"/>
      <w:r w:rsidR="00E96EE3">
        <w:rPr>
          <w:lang w:val="en-US"/>
        </w:rPr>
        <w:t>uACR</w:t>
      </w:r>
      <w:proofErr w:type="spellEnd"/>
      <w:r w:rsidR="00E96EE3">
        <w:rPr>
          <w:lang w:val="en-US"/>
        </w:rPr>
        <w:t>, hospitalization and infection.</w:t>
      </w:r>
    </w:p>
    <w:p w14:paraId="12DA61E3" w14:textId="4B906D69" w:rsidR="00BC111B" w:rsidRPr="00AA0ADD" w:rsidRDefault="00BC111B" w:rsidP="0065383F">
      <w:pPr>
        <w:spacing w:line="480" w:lineRule="auto"/>
        <w:rPr>
          <w:lang w:val="en-US"/>
        </w:rPr>
      </w:pPr>
      <w:r w:rsidRPr="00413626">
        <w:rPr>
          <w:b/>
          <w:lang w:val="en-US"/>
        </w:rPr>
        <w:t xml:space="preserve">Supplementary Item </w:t>
      </w:r>
      <w:r w:rsidR="00FA28CF">
        <w:rPr>
          <w:b/>
          <w:lang w:val="en-US"/>
        </w:rPr>
        <w:t>6</w:t>
      </w:r>
      <w:r>
        <w:rPr>
          <w:lang w:val="en-US"/>
        </w:rPr>
        <w:t xml:space="preserve">. Sensitivity analysis </w:t>
      </w:r>
      <w:r w:rsidR="00413626">
        <w:rPr>
          <w:lang w:val="en-US"/>
        </w:rPr>
        <w:t>comparing “ideal” time from study inc</w:t>
      </w:r>
      <w:r w:rsidR="00F63ECE">
        <w:rPr>
          <w:lang w:val="en-US"/>
        </w:rPr>
        <w:t>l</w:t>
      </w:r>
      <w:r w:rsidR="00413626">
        <w:rPr>
          <w:lang w:val="en-US"/>
        </w:rPr>
        <w:t>usion to diagnosis between both groups.</w:t>
      </w:r>
    </w:p>
    <w:p w14:paraId="520E0095" w14:textId="7A29CFDF" w:rsidR="00E96EE3" w:rsidRDefault="00E96EE3" w:rsidP="0065383F">
      <w:pPr>
        <w:spacing w:line="480" w:lineRule="auto"/>
        <w:jc w:val="both"/>
        <w:rPr>
          <w:lang w:val="en-US"/>
        </w:rPr>
      </w:pPr>
      <w:r w:rsidRPr="00B05F81">
        <w:rPr>
          <w:b/>
          <w:lang w:val="en-US"/>
        </w:rPr>
        <w:t>Supplemental Item</w:t>
      </w:r>
      <w:r>
        <w:rPr>
          <w:b/>
          <w:lang w:val="en-US"/>
        </w:rPr>
        <w:t xml:space="preserve"> </w:t>
      </w:r>
      <w:r w:rsidR="00FA28CF">
        <w:rPr>
          <w:b/>
          <w:lang w:val="en-US"/>
        </w:rPr>
        <w:t>7</w:t>
      </w:r>
      <w:r w:rsidRPr="00B05F81">
        <w:rPr>
          <w:b/>
          <w:lang w:val="en-US"/>
        </w:rPr>
        <w:t>.</w:t>
      </w:r>
      <w:r>
        <w:rPr>
          <w:lang w:val="en-US"/>
        </w:rPr>
        <w:t xml:space="preserve"> Detailed analysis of dd-cfDNA test metrics with prespecified decision thresholds.</w:t>
      </w:r>
    </w:p>
    <w:p w14:paraId="656F4E93" w14:textId="6C385B55" w:rsidR="00E96EE3" w:rsidRDefault="00E96EE3" w:rsidP="0065383F">
      <w:pPr>
        <w:spacing w:line="480" w:lineRule="auto"/>
        <w:jc w:val="both"/>
        <w:rPr>
          <w:lang w:val="en-US"/>
        </w:rPr>
      </w:pPr>
      <w:r w:rsidRPr="00B05F81">
        <w:rPr>
          <w:b/>
          <w:lang w:val="en-US"/>
        </w:rPr>
        <w:t>Supplemental Item</w:t>
      </w:r>
      <w:r>
        <w:rPr>
          <w:b/>
          <w:lang w:val="en-US"/>
        </w:rPr>
        <w:t xml:space="preserve"> </w:t>
      </w:r>
      <w:r w:rsidR="00FA28CF">
        <w:rPr>
          <w:b/>
          <w:lang w:val="en-US"/>
        </w:rPr>
        <w:t>8</w:t>
      </w:r>
      <w:r>
        <w:rPr>
          <w:b/>
          <w:lang w:val="en-US"/>
        </w:rPr>
        <w:t>.</w:t>
      </w:r>
      <w:r>
        <w:rPr>
          <w:lang w:val="en-US"/>
        </w:rPr>
        <w:t xml:space="preserve"> Analysis of routine biomarkers, dnDSA mean fluorescence intensity (MFI) and PIRCHE-II sum scores for the detection of </w:t>
      </w:r>
      <w:r w:rsidR="00042DED">
        <w:rPr>
          <w:lang w:val="en-US"/>
        </w:rPr>
        <w:t>AMR</w:t>
      </w:r>
      <w:r>
        <w:rPr>
          <w:lang w:val="en-US"/>
        </w:rPr>
        <w:t>.</w:t>
      </w:r>
    </w:p>
    <w:p w14:paraId="4C1F0382" w14:textId="0D0199D2" w:rsidR="00142F7D" w:rsidRDefault="00142F7D" w:rsidP="0065383F">
      <w:pPr>
        <w:spacing w:line="480" w:lineRule="auto"/>
        <w:jc w:val="both"/>
        <w:rPr>
          <w:lang w:val="en-US"/>
        </w:rPr>
      </w:pPr>
      <w:r>
        <w:rPr>
          <w:b/>
          <w:lang w:val="en-US"/>
        </w:rPr>
        <w:t xml:space="preserve">Supplemental Item </w:t>
      </w:r>
      <w:r>
        <w:rPr>
          <w:b/>
          <w:lang w:val="en-US"/>
        </w:rPr>
        <w:t>9</w:t>
      </w:r>
      <w:r>
        <w:rPr>
          <w:b/>
          <w:lang w:val="en-US"/>
        </w:rPr>
        <w:t xml:space="preserve">. </w:t>
      </w:r>
      <w:r>
        <w:rPr>
          <w:lang w:val="en-US"/>
        </w:rPr>
        <w:t xml:space="preserve">In-depth analysis of </w:t>
      </w:r>
      <w:r>
        <w:rPr>
          <w:lang w:val="en-US"/>
        </w:rPr>
        <w:t>histopathology</w:t>
      </w:r>
      <w:r>
        <w:rPr>
          <w:lang w:val="en-US"/>
        </w:rPr>
        <w:t xml:space="preserve"> and molecular rejection phenotypes in patients with biopsy showing antibody-mediated rejection (AMR).</w:t>
      </w:r>
    </w:p>
    <w:p w14:paraId="5CD67488" w14:textId="1176BD06" w:rsidR="00142F7D" w:rsidRDefault="00142F7D" w:rsidP="0065383F">
      <w:pPr>
        <w:spacing w:line="480" w:lineRule="auto"/>
        <w:jc w:val="both"/>
        <w:rPr>
          <w:lang w:val="en-US"/>
        </w:rPr>
      </w:pPr>
      <w:r w:rsidRPr="00B05F81">
        <w:rPr>
          <w:b/>
          <w:lang w:val="en-US"/>
        </w:rPr>
        <w:t>Supplemental Item</w:t>
      </w:r>
      <w:r>
        <w:rPr>
          <w:b/>
          <w:lang w:val="en-US"/>
        </w:rPr>
        <w:t xml:space="preserve"> </w:t>
      </w:r>
      <w:r>
        <w:rPr>
          <w:b/>
          <w:lang w:val="en-US"/>
        </w:rPr>
        <w:t>10</w:t>
      </w:r>
      <w:r>
        <w:rPr>
          <w:b/>
          <w:lang w:val="en-US"/>
        </w:rPr>
        <w:t>.</w:t>
      </w:r>
      <w:r>
        <w:rPr>
          <w:lang w:val="en-US"/>
        </w:rPr>
        <w:t xml:space="preserve"> In-depth analysis of cases that were reclassified as AMR or probable AMR according to Banff 2022 classification.</w:t>
      </w:r>
    </w:p>
    <w:p w14:paraId="133E3758" w14:textId="77777777" w:rsidR="00142F7D" w:rsidRDefault="00142F7D" w:rsidP="00142F7D">
      <w:pPr>
        <w:spacing w:line="480" w:lineRule="auto"/>
        <w:jc w:val="both"/>
        <w:rPr>
          <w:lang w:val="en-US"/>
        </w:rPr>
      </w:pPr>
    </w:p>
    <w:p w14:paraId="6FDAE59D" w14:textId="3C12ACC8" w:rsidR="00AB491A" w:rsidRDefault="00AB491A" w:rsidP="0023529B">
      <w:pPr>
        <w:spacing w:line="480" w:lineRule="auto"/>
        <w:rPr>
          <w:b/>
          <w:lang w:val="en-US"/>
        </w:rPr>
      </w:pPr>
      <w:r w:rsidRPr="001E1A15">
        <w:rPr>
          <w:b/>
          <w:lang w:val="en-US"/>
        </w:rPr>
        <w:t xml:space="preserve">Supplemental Figure </w:t>
      </w:r>
      <w:r>
        <w:rPr>
          <w:b/>
          <w:lang w:val="en-US"/>
        </w:rPr>
        <w:t xml:space="preserve">1. </w:t>
      </w:r>
      <w:r w:rsidRPr="00DB29D2">
        <w:rPr>
          <w:lang w:val="en-US"/>
        </w:rPr>
        <w:t xml:space="preserve">Absolute donor-derived cell-free DNA in </w:t>
      </w:r>
      <w:r w:rsidR="005D5BDE">
        <w:rPr>
          <w:lang w:val="en-US"/>
        </w:rPr>
        <w:t xml:space="preserve">14 </w:t>
      </w:r>
      <w:r w:rsidRPr="00DB29D2">
        <w:rPr>
          <w:lang w:val="en-US"/>
        </w:rPr>
        <w:t>patients</w:t>
      </w:r>
      <w:r>
        <w:rPr>
          <w:lang w:val="en-US"/>
        </w:rPr>
        <w:t xml:space="preserve"> without kidney </w:t>
      </w:r>
      <w:r w:rsidRPr="00DB29D2">
        <w:rPr>
          <w:lang w:val="en-US"/>
        </w:rPr>
        <w:t>biopsy</w:t>
      </w:r>
      <w:r w:rsidR="005D5BDE">
        <w:rPr>
          <w:lang w:val="en-US"/>
        </w:rPr>
        <w:t>.</w:t>
      </w:r>
    </w:p>
    <w:p w14:paraId="57C2A1E4" w14:textId="61D3F372" w:rsidR="001E1A15" w:rsidRPr="00B05F81" w:rsidRDefault="00852C6D" w:rsidP="0023529B">
      <w:pPr>
        <w:spacing w:line="480" w:lineRule="auto"/>
        <w:rPr>
          <w:lang w:val="en-US"/>
        </w:rPr>
      </w:pPr>
      <w:r w:rsidRPr="001E1A15">
        <w:rPr>
          <w:b/>
          <w:lang w:val="en-US"/>
        </w:rPr>
        <w:t xml:space="preserve">Supplemental Figure </w:t>
      </w:r>
      <w:r w:rsidR="00AB491A">
        <w:rPr>
          <w:b/>
          <w:lang w:val="en-US"/>
        </w:rPr>
        <w:t>2</w:t>
      </w:r>
      <w:r w:rsidR="001E1A15">
        <w:rPr>
          <w:b/>
          <w:lang w:val="en-US"/>
        </w:rPr>
        <w:t xml:space="preserve">. </w:t>
      </w:r>
      <w:r w:rsidR="001E1A15" w:rsidRPr="001E1A15">
        <w:rPr>
          <w:lang w:val="en-US"/>
        </w:rPr>
        <w:t xml:space="preserve">Absolute donor-derived cell-free DNA in </w:t>
      </w:r>
      <w:r w:rsidR="001E1A15" w:rsidRPr="001E1A15">
        <w:rPr>
          <w:b/>
          <w:lang w:val="en-US"/>
        </w:rPr>
        <w:t>A</w:t>
      </w:r>
      <w:r w:rsidR="001E1A15">
        <w:rPr>
          <w:b/>
          <w:lang w:val="en-US"/>
        </w:rPr>
        <w:t>)</w:t>
      </w:r>
      <w:r w:rsidR="001E1A15" w:rsidRPr="001E1A15">
        <w:rPr>
          <w:b/>
          <w:lang w:val="en-US"/>
        </w:rPr>
        <w:t xml:space="preserve"> </w:t>
      </w:r>
      <w:r w:rsidR="001E1A15" w:rsidRPr="001E1A15">
        <w:rPr>
          <w:lang w:val="en-US"/>
        </w:rPr>
        <w:t>p</w:t>
      </w:r>
      <w:r w:rsidRPr="001E1A15">
        <w:rPr>
          <w:lang w:val="en-US"/>
        </w:rPr>
        <w:t xml:space="preserve">atients with biopsy-proven </w:t>
      </w:r>
      <w:r w:rsidR="00042DED">
        <w:rPr>
          <w:lang w:val="en-US"/>
        </w:rPr>
        <w:t>AMR</w:t>
      </w:r>
      <w:r w:rsidRPr="001E1A15">
        <w:rPr>
          <w:lang w:val="en-US"/>
        </w:rPr>
        <w:t xml:space="preserve">, grouped by the time since first DSA occurrence </w:t>
      </w:r>
      <w:r w:rsidRPr="001E1A15">
        <w:rPr>
          <w:rFonts w:eastAsia="Arial Unicode MS"/>
          <w:lang w:val="en-US"/>
        </w:rPr>
        <w:t>according to the strata used for randomization (0-24 months vs. ≥ 25 months)</w:t>
      </w:r>
      <w:r w:rsidR="001E1A15">
        <w:rPr>
          <w:rFonts w:eastAsia="Arial Unicode MS"/>
          <w:lang w:val="en-US"/>
        </w:rPr>
        <w:t>.</w:t>
      </w:r>
      <w:r w:rsidR="001E1A15" w:rsidRPr="001E1A15">
        <w:rPr>
          <w:rFonts w:eastAsia="Arial Unicode MS"/>
          <w:lang w:val="en-US"/>
        </w:rPr>
        <w:t xml:space="preserve"> </w:t>
      </w:r>
      <w:r w:rsidR="001E1A15" w:rsidRPr="001E1A15">
        <w:rPr>
          <w:rFonts w:eastAsia="Arial Unicode MS"/>
          <w:b/>
          <w:lang w:val="en-US"/>
        </w:rPr>
        <w:t xml:space="preserve">B) </w:t>
      </w:r>
      <w:r w:rsidR="001E1A15">
        <w:rPr>
          <w:lang w:val="en-US"/>
        </w:rPr>
        <w:t>p</w:t>
      </w:r>
      <w:r w:rsidR="001E1A15" w:rsidRPr="001E1A15">
        <w:rPr>
          <w:lang w:val="en-US"/>
        </w:rPr>
        <w:t>atients with non-</w:t>
      </w:r>
      <w:r w:rsidR="00042DED">
        <w:rPr>
          <w:lang w:val="en-US"/>
        </w:rPr>
        <w:t>AMR</w:t>
      </w:r>
      <w:r w:rsidR="001E1A15" w:rsidRPr="001E1A15">
        <w:rPr>
          <w:lang w:val="en-US"/>
        </w:rPr>
        <w:t xml:space="preserve"> histopathological diagnosis, grouped by the time since first DSA occurrence </w:t>
      </w:r>
      <w:r w:rsidR="001E1A15" w:rsidRPr="001E1A15">
        <w:rPr>
          <w:rFonts w:eastAsia="Arial Unicode MS"/>
          <w:lang w:val="en-US"/>
        </w:rPr>
        <w:t>according to the strata used for randomization (0-24 months vs. ≥ 25 months)</w:t>
      </w:r>
    </w:p>
    <w:p w14:paraId="60C982A4" w14:textId="0B1AB355" w:rsidR="001E1A15" w:rsidRDefault="00852C6D" w:rsidP="0023529B">
      <w:pPr>
        <w:spacing w:line="480" w:lineRule="auto"/>
        <w:jc w:val="both"/>
        <w:rPr>
          <w:rFonts w:eastAsia="Arial Unicode MS"/>
          <w:lang w:val="en-US"/>
        </w:rPr>
      </w:pPr>
      <w:r w:rsidRPr="001E1A15">
        <w:rPr>
          <w:b/>
          <w:lang w:val="en-US"/>
        </w:rPr>
        <w:lastRenderedPageBreak/>
        <w:t xml:space="preserve">Supplemental Figure </w:t>
      </w:r>
      <w:r w:rsidR="00AB491A">
        <w:rPr>
          <w:b/>
          <w:lang w:val="en-US"/>
        </w:rPr>
        <w:t>3</w:t>
      </w:r>
      <w:r w:rsidRPr="001E1A15">
        <w:rPr>
          <w:b/>
          <w:lang w:val="en-US"/>
        </w:rPr>
        <w:t xml:space="preserve">. </w:t>
      </w:r>
      <w:r w:rsidR="001E1A15">
        <w:rPr>
          <w:lang w:val="en-US"/>
        </w:rPr>
        <w:t>Relative</w:t>
      </w:r>
      <w:r w:rsidR="001E1A15" w:rsidRPr="001E1A15">
        <w:rPr>
          <w:lang w:val="en-US"/>
        </w:rPr>
        <w:t xml:space="preserve"> donor-derived cell-free DNA in </w:t>
      </w:r>
      <w:r w:rsidR="001E1A15" w:rsidRPr="001E1A15">
        <w:rPr>
          <w:b/>
          <w:lang w:val="en-US"/>
        </w:rPr>
        <w:t>A</w:t>
      </w:r>
      <w:r w:rsidR="001E1A15">
        <w:rPr>
          <w:b/>
          <w:lang w:val="en-US"/>
        </w:rPr>
        <w:t>)</w:t>
      </w:r>
      <w:r w:rsidR="001E1A15" w:rsidRPr="001E1A15">
        <w:rPr>
          <w:b/>
          <w:lang w:val="en-US"/>
        </w:rPr>
        <w:t xml:space="preserve"> </w:t>
      </w:r>
      <w:r w:rsidR="001E1A15" w:rsidRPr="001E1A15">
        <w:rPr>
          <w:lang w:val="en-US"/>
        </w:rPr>
        <w:t xml:space="preserve">patients with biopsy-proven </w:t>
      </w:r>
      <w:r w:rsidR="00042DED">
        <w:rPr>
          <w:lang w:val="en-US"/>
        </w:rPr>
        <w:t>AMR</w:t>
      </w:r>
      <w:r w:rsidR="001E1A15" w:rsidRPr="001E1A15">
        <w:rPr>
          <w:lang w:val="en-US"/>
        </w:rPr>
        <w:t xml:space="preserve">, grouped by the time since first DSA occurrence </w:t>
      </w:r>
      <w:r w:rsidR="001E1A15" w:rsidRPr="001E1A15">
        <w:rPr>
          <w:rFonts w:eastAsia="Arial Unicode MS"/>
          <w:lang w:val="en-US"/>
        </w:rPr>
        <w:t>according to the strata used for randomization (0-24 months vs. ≥ 25 months)</w:t>
      </w:r>
      <w:r w:rsidR="001E1A15">
        <w:rPr>
          <w:rFonts w:eastAsia="Arial Unicode MS"/>
          <w:lang w:val="en-US"/>
        </w:rPr>
        <w:t>.</w:t>
      </w:r>
      <w:r w:rsidR="001E1A15" w:rsidRPr="001E1A15">
        <w:rPr>
          <w:rFonts w:eastAsia="Arial Unicode MS"/>
          <w:lang w:val="en-US"/>
        </w:rPr>
        <w:t xml:space="preserve"> </w:t>
      </w:r>
      <w:r w:rsidR="001E1A15" w:rsidRPr="001E1A15">
        <w:rPr>
          <w:rFonts w:eastAsia="Arial Unicode MS"/>
          <w:b/>
          <w:lang w:val="en-US"/>
        </w:rPr>
        <w:t xml:space="preserve">B) </w:t>
      </w:r>
      <w:r w:rsidR="001E1A15">
        <w:rPr>
          <w:lang w:val="en-US"/>
        </w:rPr>
        <w:t>p</w:t>
      </w:r>
      <w:r w:rsidR="001E1A15" w:rsidRPr="001E1A15">
        <w:rPr>
          <w:lang w:val="en-US"/>
        </w:rPr>
        <w:t>atients with non-</w:t>
      </w:r>
      <w:r w:rsidR="00042DED">
        <w:rPr>
          <w:lang w:val="en-US"/>
        </w:rPr>
        <w:t>AMR</w:t>
      </w:r>
      <w:r w:rsidR="001E1A15" w:rsidRPr="001E1A15">
        <w:rPr>
          <w:lang w:val="en-US"/>
        </w:rPr>
        <w:t xml:space="preserve"> histopathological diagnosis, grouped by the time since first DSA occurrence </w:t>
      </w:r>
      <w:r w:rsidR="001E1A15" w:rsidRPr="001E1A15">
        <w:rPr>
          <w:rFonts w:eastAsia="Arial Unicode MS"/>
          <w:lang w:val="en-US"/>
        </w:rPr>
        <w:t>according to the strata used for randomization (0-24 months vs. ≥ 25 months)</w:t>
      </w:r>
    </w:p>
    <w:p w14:paraId="1A5E7DCD" w14:textId="784FC109" w:rsidR="00142F7D" w:rsidRDefault="00142F7D" w:rsidP="0023529B">
      <w:pPr>
        <w:spacing w:line="480" w:lineRule="auto"/>
        <w:jc w:val="both"/>
        <w:rPr>
          <w:rFonts w:eastAsia="Arial Unicode MS"/>
          <w:lang w:val="en-US"/>
        </w:rPr>
      </w:pPr>
      <w:r w:rsidRPr="004C24B3">
        <w:rPr>
          <w:rFonts w:eastAsia="Arial Unicode MS"/>
          <w:b/>
          <w:lang w:val="en-US"/>
        </w:rPr>
        <w:t>Supplemental Figure 4</w:t>
      </w:r>
      <w:r>
        <w:rPr>
          <w:rFonts w:eastAsia="Arial Unicode MS"/>
          <w:b/>
          <w:lang w:val="en-US"/>
        </w:rPr>
        <w:t xml:space="preserve">. </w:t>
      </w:r>
      <w:r w:rsidRPr="004C24B3">
        <w:rPr>
          <w:rFonts w:eastAsia="Arial Unicode MS"/>
          <w:lang w:val="en-US"/>
        </w:rPr>
        <w:t>Pearson correlation of log transformed mean absolute dd-</w:t>
      </w:r>
      <w:proofErr w:type="spellStart"/>
      <w:r w:rsidRPr="004C24B3">
        <w:rPr>
          <w:rFonts w:eastAsia="Arial Unicode MS"/>
          <w:lang w:val="en-US"/>
        </w:rPr>
        <w:t>cfDNA</w:t>
      </w:r>
      <w:proofErr w:type="spellEnd"/>
      <w:r>
        <w:rPr>
          <w:rFonts w:eastAsia="Arial Unicode MS"/>
          <w:lang w:val="en-US"/>
        </w:rPr>
        <w:t xml:space="preserve"> with different molecular scores</w:t>
      </w:r>
      <w:r w:rsidR="001122DC">
        <w:rPr>
          <w:rFonts w:eastAsia="Arial Unicode MS"/>
          <w:lang w:val="en-US"/>
        </w:rPr>
        <w:t xml:space="preserve"> in </w:t>
      </w:r>
      <w:proofErr w:type="spellStart"/>
      <w:r w:rsidR="001122DC">
        <w:rPr>
          <w:rFonts w:eastAsia="Arial Unicode MS"/>
          <w:lang w:val="en-US"/>
        </w:rPr>
        <w:t>MMDx</w:t>
      </w:r>
      <w:proofErr w:type="spellEnd"/>
      <w:r>
        <w:rPr>
          <w:rFonts w:eastAsia="Arial Unicode MS"/>
          <w:lang w:val="en-US"/>
        </w:rPr>
        <w:t>.</w:t>
      </w:r>
    </w:p>
    <w:p w14:paraId="43926ACF" w14:textId="77777777" w:rsidR="00142F7D" w:rsidRPr="001E1A15" w:rsidRDefault="00142F7D" w:rsidP="00142F7D">
      <w:pPr>
        <w:spacing w:line="480" w:lineRule="auto"/>
        <w:jc w:val="both"/>
        <w:rPr>
          <w:rFonts w:eastAsia="Arial Unicode MS"/>
          <w:lang w:val="en-US"/>
        </w:rPr>
      </w:pPr>
      <w:r w:rsidRPr="00346A4E">
        <w:rPr>
          <w:rFonts w:eastAsia="Times New Roman"/>
          <w:b/>
          <w:lang w:val="en-US"/>
        </w:rPr>
        <w:t xml:space="preserve">Supplemental Table </w:t>
      </w:r>
      <w:r>
        <w:rPr>
          <w:rFonts w:eastAsia="Times New Roman"/>
          <w:b/>
          <w:lang w:val="en-US"/>
        </w:rPr>
        <w:t>1</w:t>
      </w:r>
      <w:r w:rsidRPr="00346A4E">
        <w:rPr>
          <w:rFonts w:eastAsia="Times New Roman"/>
          <w:b/>
          <w:lang w:val="en-US"/>
        </w:rPr>
        <w:t>.</w:t>
      </w:r>
      <w:r>
        <w:rPr>
          <w:rFonts w:eastAsia="Times New Roman"/>
          <w:lang w:val="en-US"/>
        </w:rPr>
        <w:t xml:space="preserve"> Follow-up data from patients with biopsy-proven antibody-mediated rejection (AMR) during the study period including treatments and key clinical and laboratory outcomes.</w:t>
      </w:r>
    </w:p>
    <w:p w14:paraId="6318665B" w14:textId="77777777" w:rsidR="00142F7D" w:rsidRPr="001E1A15" w:rsidRDefault="00142F7D" w:rsidP="00142F7D">
      <w:pPr>
        <w:spacing w:line="480" w:lineRule="auto"/>
        <w:rPr>
          <w:lang w:val="en-US"/>
        </w:rPr>
      </w:pPr>
      <w:r w:rsidRPr="001E1A15">
        <w:rPr>
          <w:b/>
          <w:lang w:val="en-US"/>
        </w:rPr>
        <w:t xml:space="preserve">Supplemental Table </w:t>
      </w:r>
      <w:r>
        <w:rPr>
          <w:b/>
          <w:lang w:val="en-US"/>
        </w:rPr>
        <w:t>2</w:t>
      </w:r>
      <w:r w:rsidRPr="001E1A15">
        <w:rPr>
          <w:b/>
          <w:lang w:val="en-US"/>
        </w:rPr>
        <w:t xml:space="preserve">. </w:t>
      </w:r>
      <w:r w:rsidRPr="001E1A15">
        <w:rPr>
          <w:lang w:val="en-US"/>
        </w:rPr>
        <w:t>Contingency table and diagnostic test metrics of maximum intraindividual increase of &gt; 25% compared to the 12 months mean in absolute dd-</w:t>
      </w:r>
      <w:proofErr w:type="spellStart"/>
      <w:r w:rsidRPr="001E1A15">
        <w:rPr>
          <w:lang w:val="en-US"/>
        </w:rPr>
        <w:t>cfDNA</w:t>
      </w:r>
      <w:proofErr w:type="spellEnd"/>
      <w:r w:rsidRPr="001E1A15">
        <w:rPr>
          <w:lang w:val="en-US"/>
        </w:rPr>
        <w:t xml:space="preserve"> for </w:t>
      </w:r>
      <w:r>
        <w:rPr>
          <w:lang w:val="en-US"/>
        </w:rPr>
        <w:t>AMR</w:t>
      </w:r>
      <w:r w:rsidRPr="001E1A15">
        <w:rPr>
          <w:lang w:val="en-US"/>
        </w:rPr>
        <w:t xml:space="preserve"> in DSA+ KTR.</w:t>
      </w:r>
    </w:p>
    <w:p w14:paraId="3A1BA520" w14:textId="77777777" w:rsidR="00142F7D" w:rsidRPr="001E1A15" w:rsidRDefault="00142F7D" w:rsidP="00142F7D">
      <w:pPr>
        <w:spacing w:line="480" w:lineRule="auto"/>
        <w:rPr>
          <w:lang w:val="en-US"/>
        </w:rPr>
      </w:pPr>
      <w:r w:rsidRPr="001E1A15">
        <w:rPr>
          <w:b/>
          <w:lang w:val="en-US"/>
        </w:rPr>
        <w:t xml:space="preserve">Supplemental Table </w:t>
      </w:r>
      <w:r>
        <w:rPr>
          <w:b/>
          <w:lang w:val="en-US"/>
        </w:rPr>
        <w:t>3</w:t>
      </w:r>
      <w:r w:rsidRPr="001E1A15">
        <w:rPr>
          <w:b/>
          <w:lang w:val="en-US"/>
        </w:rPr>
        <w:t xml:space="preserve">. </w:t>
      </w:r>
      <w:r w:rsidRPr="001E1A15">
        <w:rPr>
          <w:lang w:val="en-US"/>
        </w:rPr>
        <w:t>Contingency table and diagnostic test metrics of a combined criterium of longitudinal absolute dd-</w:t>
      </w:r>
      <w:proofErr w:type="spellStart"/>
      <w:r w:rsidRPr="001E1A15">
        <w:rPr>
          <w:lang w:val="en-US"/>
        </w:rPr>
        <w:t>cfDNA</w:t>
      </w:r>
      <w:proofErr w:type="spellEnd"/>
      <w:r w:rsidRPr="001E1A15">
        <w:rPr>
          <w:lang w:val="en-US"/>
        </w:rPr>
        <w:t xml:space="preserve"> monitoring with a cutoff of 50 copies/mL or maximum intraindividual increase of &gt; 25% compared to the 12 months mean in absolute dd-</w:t>
      </w:r>
      <w:proofErr w:type="spellStart"/>
      <w:r w:rsidRPr="001E1A15">
        <w:rPr>
          <w:lang w:val="en-US"/>
        </w:rPr>
        <w:t>cfDNA</w:t>
      </w:r>
      <w:proofErr w:type="spellEnd"/>
      <w:r w:rsidRPr="001E1A15">
        <w:rPr>
          <w:lang w:val="en-US"/>
        </w:rPr>
        <w:t xml:space="preserve"> for </w:t>
      </w:r>
      <w:r>
        <w:rPr>
          <w:lang w:val="en-US"/>
        </w:rPr>
        <w:t>AMR</w:t>
      </w:r>
      <w:r w:rsidRPr="001E1A15">
        <w:rPr>
          <w:lang w:val="en-US"/>
        </w:rPr>
        <w:t xml:space="preserve"> in DSA+ KTR.</w:t>
      </w:r>
    </w:p>
    <w:p w14:paraId="519A7DF6" w14:textId="77777777" w:rsidR="00142F7D" w:rsidRPr="001E1A15" w:rsidRDefault="00142F7D" w:rsidP="00142F7D">
      <w:pPr>
        <w:spacing w:line="480" w:lineRule="auto"/>
        <w:rPr>
          <w:lang w:val="en-US"/>
        </w:rPr>
      </w:pPr>
      <w:r w:rsidRPr="001E1A15">
        <w:rPr>
          <w:b/>
          <w:lang w:val="en-US"/>
        </w:rPr>
        <w:t xml:space="preserve">Supplemental Table </w:t>
      </w:r>
      <w:r>
        <w:rPr>
          <w:b/>
          <w:lang w:val="en-US"/>
        </w:rPr>
        <w:t>4</w:t>
      </w:r>
      <w:r w:rsidRPr="001E1A15">
        <w:rPr>
          <w:b/>
          <w:lang w:val="en-US"/>
        </w:rPr>
        <w:t xml:space="preserve">. </w:t>
      </w:r>
      <w:r w:rsidRPr="001E1A15">
        <w:rPr>
          <w:lang w:val="en-US"/>
        </w:rPr>
        <w:t>Contingency table and diagnostic test metrics of baseline absolute dd-</w:t>
      </w:r>
      <w:proofErr w:type="spellStart"/>
      <w:r w:rsidRPr="001E1A15">
        <w:rPr>
          <w:lang w:val="en-US"/>
        </w:rPr>
        <w:t>cfDNA</w:t>
      </w:r>
      <w:proofErr w:type="spellEnd"/>
      <w:r w:rsidRPr="001E1A15">
        <w:rPr>
          <w:lang w:val="en-US"/>
        </w:rPr>
        <w:t xml:space="preserve"> with a cutoff of 50 copies/mL for </w:t>
      </w:r>
      <w:r>
        <w:rPr>
          <w:lang w:val="en-US"/>
        </w:rPr>
        <w:t>AMR</w:t>
      </w:r>
      <w:r w:rsidRPr="001E1A15">
        <w:rPr>
          <w:lang w:val="en-US"/>
        </w:rPr>
        <w:t xml:space="preserve"> in DSA+ KTR.</w:t>
      </w:r>
    </w:p>
    <w:p w14:paraId="2EDF2F31" w14:textId="77777777" w:rsidR="00142F7D" w:rsidRDefault="00142F7D" w:rsidP="00142F7D">
      <w:pPr>
        <w:spacing w:line="480" w:lineRule="auto"/>
        <w:rPr>
          <w:lang w:val="en-US"/>
        </w:rPr>
      </w:pPr>
      <w:r w:rsidRPr="001E1A15">
        <w:rPr>
          <w:b/>
          <w:lang w:val="en-US"/>
        </w:rPr>
        <w:t xml:space="preserve">Supplemental Table </w:t>
      </w:r>
      <w:r>
        <w:rPr>
          <w:b/>
          <w:lang w:val="en-US"/>
        </w:rPr>
        <w:t>5</w:t>
      </w:r>
      <w:r w:rsidRPr="001E1A15">
        <w:rPr>
          <w:b/>
          <w:lang w:val="en-US"/>
        </w:rPr>
        <w:t xml:space="preserve">. </w:t>
      </w:r>
      <w:r w:rsidRPr="001E1A15">
        <w:rPr>
          <w:lang w:val="en-US"/>
        </w:rPr>
        <w:t>Contingency table and diagnostic test metrics of longitudinal relative dd-</w:t>
      </w:r>
      <w:proofErr w:type="spellStart"/>
      <w:r w:rsidRPr="001E1A15">
        <w:rPr>
          <w:lang w:val="en-US"/>
        </w:rPr>
        <w:t>cfDNA</w:t>
      </w:r>
      <w:proofErr w:type="spellEnd"/>
      <w:r w:rsidRPr="001E1A15">
        <w:rPr>
          <w:lang w:val="en-US"/>
        </w:rPr>
        <w:t xml:space="preserve"> monitoring with a cutoff of 0.5 % for </w:t>
      </w:r>
      <w:r>
        <w:rPr>
          <w:lang w:val="en-US"/>
        </w:rPr>
        <w:t>AMR</w:t>
      </w:r>
      <w:r w:rsidRPr="001E1A15">
        <w:rPr>
          <w:lang w:val="en-US"/>
        </w:rPr>
        <w:t xml:space="preserve"> in DSA+ KTR.</w:t>
      </w:r>
    </w:p>
    <w:p w14:paraId="43224910" w14:textId="77777777" w:rsidR="00142F7D" w:rsidRDefault="00142F7D" w:rsidP="00142F7D">
      <w:pPr>
        <w:spacing w:line="480" w:lineRule="auto"/>
        <w:rPr>
          <w:b/>
          <w:lang w:val="en-US"/>
        </w:rPr>
      </w:pPr>
      <w:r w:rsidRPr="001E1A15">
        <w:rPr>
          <w:b/>
          <w:lang w:val="en-US"/>
        </w:rPr>
        <w:t xml:space="preserve">Supplemental Table </w:t>
      </w:r>
      <w:r>
        <w:rPr>
          <w:b/>
          <w:lang w:val="en-US"/>
        </w:rPr>
        <w:t>6</w:t>
      </w:r>
      <w:r w:rsidRPr="001E1A15">
        <w:rPr>
          <w:b/>
          <w:lang w:val="en-US"/>
        </w:rPr>
        <w:t xml:space="preserve">. </w:t>
      </w:r>
      <w:r w:rsidRPr="001E1A15">
        <w:rPr>
          <w:lang w:val="en-US"/>
        </w:rPr>
        <w:t xml:space="preserve">Contingency table and diagnostic test metrics of longitudinal </w:t>
      </w:r>
      <w:proofErr w:type="spellStart"/>
      <w:r w:rsidRPr="001E1A15">
        <w:rPr>
          <w:lang w:val="en-US"/>
        </w:rPr>
        <w:t>uACR</w:t>
      </w:r>
      <w:proofErr w:type="spellEnd"/>
      <w:r w:rsidRPr="001E1A15">
        <w:rPr>
          <w:lang w:val="en-US"/>
        </w:rPr>
        <w:t xml:space="preserve"> monitoring with a cutoff of 1000 mg/g for </w:t>
      </w:r>
      <w:r>
        <w:rPr>
          <w:lang w:val="en-US"/>
        </w:rPr>
        <w:t>AMR</w:t>
      </w:r>
      <w:r w:rsidRPr="001E1A15">
        <w:rPr>
          <w:lang w:val="en-US"/>
        </w:rPr>
        <w:t xml:space="preserve"> in DSA+ KTR</w:t>
      </w:r>
    </w:p>
    <w:p w14:paraId="1559B19F" w14:textId="77777777" w:rsidR="00142F7D" w:rsidRDefault="00142F7D" w:rsidP="00142F7D">
      <w:pPr>
        <w:spacing w:line="480" w:lineRule="auto"/>
        <w:rPr>
          <w:b/>
          <w:lang w:val="en-US"/>
        </w:rPr>
      </w:pPr>
      <w:r>
        <w:rPr>
          <w:b/>
          <w:lang w:val="en-US"/>
        </w:rPr>
        <w:t>Supplemental Table 7</w:t>
      </w:r>
      <w:r w:rsidRPr="003520D7">
        <w:rPr>
          <w:b/>
          <w:lang w:val="en-US"/>
        </w:rPr>
        <w:t xml:space="preserve">. </w:t>
      </w:r>
      <w:r w:rsidRPr="003520D7">
        <w:rPr>
          <w:lang w:val="en-US"/>
        </w:rPr>
        <w:t xml:space="preserve">Contingency table and diagnostic test metrics of </w:t>
      </w:r>
      <w:r>
        <w:rPr>
          <w:lang w:val="en-US"/>
        </w:rPr>
        <w:t>MFI doubling from baseline to study completion</w:t>
      </w:r>
      <w:r w:rsidRPr="003520D7">
        <w:rPr>
          <w:lang w:val="en-US"/>
        </w:rPr>
        <w:t xml:space="preserve"> for </w:t>
      </w:r>
      <w:r>
        <w:rPr>
          <w:lang w:val="en-US"/>
        </w:rPr>
        <w:t>AMR</w:t>
      </w:r>
      <w:r w:rsidRPr="003520D7">
        <w:rPr>
          <w:lang w:val="en-US"/>
        </w:rPr>
        <w:t xml:space="preserve"> in DSA+ KTR. </w:t>
      </w:r>
    </w:p>
    <w:p w14:paraId="2CFFED31" w14:textId="77777777" w:rsidR="00142F7D" w:rsidRPr="003520D7" w:rsidRDefault="00142F7D" w:rsidP="00142F7D">
      <w:pPr>
        <w:spacing w:line="480" w:lineRule="auto"/>
        <w:rPr>
          <w:rFonts w:eastAsia="Roboto"/>
          <w:color w:val="333333"/>
          <w:highlight w:val="white"/>
          <w:lang w:val="en-US"/>
        </w:rPr>
      </w:pPr>
      <w:r>
        <w:rPr>
          <w:b/>
          <w:lang w:val="en-US"/>
        </w:rPr>
        <w:t>Supplemental Table 8</w:t>
      </w:r>
      <w:r w:rsidRPr="003520D7">
        <w:rPr>
          <w:b/>
          <w:lang w:val="en-US"/>
        </w:rPr>
        <w:t xml:space="preserve">. </w:t>
      </w:r>
      <w:r w:rsidRPr="003520D7">
        <w:rPr>
          <w:lang w:val="en-US"/>
        </w:rPr>
        <w:t xml:space="preserve">Contingency table and diagnostic test metrics of </w:t>
      </w:r>
      <w:r>
        <w:rPr>
          <w:lang w:val="en-US"/>
        </w:rPr>
        <w:t>MFI halving from baseline to study completion</w:t>
      </w:r>
      <w:r w:rsidRPr="003520D7">
        <w:rPr>
          <w:lang w:val="en-US"/>
        </w:rPr>
        <w:t xml:space="preserve"> for </w:t>
      </w:r>
      <w:r>
        <w:rPr>
          <w:lang w:val="en-US"/>
        </w:rPr>
        <w:t>AMR</w:t>
      </w:r>
      <w:r w:rsidRPr="003520D7">
        <w:rPr>
          <w:lang w:val="en-US"/>
        </w:rPr>
        <w:t xml:space="preserve"> in DSA+ KTR.</w:t>
      </w:r>
    </w:p>
    <w:p w14:paraId="713B2EC4" w14:textId="77777777" w:rsidR="00142F7D" w:rsidRDefault="00142F7D" w:rsidP="00142F7D">
      <w:pPr>
        <w:spacing w:line="480" w:lineRule="auto"/>
        <w:rPr>
          <w:lang w:val="en-US"/>
        </w:rPr>
      </w:pPr>
      <w:r>
        <w:rPr>
          <w:b/>
          <w:lang w:val="en-US"/>
        </w:rPr>
        <w:lastRenderedPageBreak/>
        <w:t xml:space="preserve">Supplemental </w:t>
      </w:r>
      <w:r w:rsidRPr="003520D7">
        <w:rPr>
          <w:b/>
          <w:lang w:val="en-US"/>
        </w:rPr>
        <w:t xml:space="preserve">Table </w:t>
      </w:r>
      <w:r>
        <w:rPr>
          <w:b/>
          <w:lang w:val="en-US"/>
        </w:rPr>
        <w:t>9</w:t>
      </w:r>
      <w:r w:rsidRPr="003520D7">
        <w:rPr>
          <w:b/>
          <w:lang w:val="en-US"/>
        </w:rPr>
        <w:t xml:space="preserve">. </w:t>
      </w:r>
      <w:r w:rsidRPr="003520D7">
        <w:rPr>
          <w:lang w:val="en-US"/>
        </w:rPr>
        <w:t>Contingency table and diagnostic test metrics of longitudinal absolute dd-</w:t>
      </w:r>
      <w:proofErr w:type="spellStart"/>
      <w:r w:rsidRPr="003520D7">
        <w:rPr>
          <w:lang w:val="en-US"/>
        </w:rPr>
        <w:t>cfDNA</w:t>
      </w:r>
      <w:proofErr w:type="spellEnd"/>
      <w:r w:rsidRPr="003520D7">
        <w:rPr>
          <w:lang w:val="en-US"/>
        </w:rPr>
        <w:t xml:space="preserve"> monitoring with a cutoff of 50 copies/mL for </w:t>
      </w:r>
      <w:r>
        <w:rPr>
          <w:lang w:val="en-US"/>
        </w:rPr>
        <w:t>AMR</w:t>
      </w:r>
      <w:r w:rsidRPr="003520D7">
        <w:rPr>
          <w:lang w:val="en-US"/>
        </w:rPr>
        <w:t xml:space="preserve"> in DSA+ KTR</w:t>
      </w:r>
      <w:r>
        <w:rPr>
          <w:lang w:val="en-US"/>
        </w:rPr>
        <w:t xml:space="preserve"> according to Banff 2022 classification with probable AMR classified as AMR</w:t>
      </w:r>
      <w:r w:rsidRPr="003520D7">
        <w:rPr>
          <w:lang w:val="en-US"/>
        </w:rPr>
        <w:t>.</w:t>
      </w:r>
    </w:p>
    <w:p w14:paraId="036825F8" w14:textId="77777777" w:rsidR="00FA28CF" w:rsidRPr="001E1A15" w:rsidRDefault="00FA28CF" w:rsidP="0023529B">
      <w:pPr>
        <w:spacing w:line="480" w:lineRule="auto"/>
        <w:rPr>
          <w:lang w:val="en-US"/>
        </w:rPr>
      </w:pPr>
    </w:p>
    <w:p w14:paraId="68B526C2" w14:textId="6EC3E9E7" w:rsidR="004E72C6" w:rsidRPr="004E72C6" w:rsidRDefault="004E72C6" w:rsidP="004E72C6">
      <w:pPr>
        <w:spacing w:after="240" w:line="480" w:lineRule="auto"/>
        <w:jc w:val="both"/>
        <w:rPr>
          <w:lang w:val="en-US"/>
        </w:rPr>
      </w:pPr>
      <w:r w:rsidRPr="004E72C6">
        <w:rPr>
          <w:b/>
          <w:lang w:val="en-US"/>
        </w:rPr>
        <w:t xml:space="preserve">Supplemental Item </w:t>
      </w:r>
      <w:r>
        <w:rPr>
          <w:b/>
          <w:lang w:val="en-US"/>
        </w:rPr>
        <w:t>1</w:t>
      </w:r>
      <w:r w:rsidRPr="004E72C6">
        <w:rPr>
          <w:lang w:val="en-US"/>
        </w:rPr>
        <w:t>: Detailed description of HLA-typing methods and dnDSA detection</w:t>
      </w:r>
      <w:r w:rsidR="00FA28CF">
        <w:rPr>
          <w:lang w:val="en-US"/>
        </w:rPr>
        <w:t>.</w:t>
      </w:r>
    </w:p>
    <w:p w14:paraId="089CC329" w14:textId="77777777" w:rsidR="004E72C6" w:rsidRPr="004E72C6" w:rsidRDefault="004E72C6" w:rsidP="004E72C6">
      <w:pPr>
        <w:spacing w:after="240" w:line="480" w:lineRule="auto"/>
        <w:jc w:val="both"/>
        <w:rPr>
          <w:lang w:val="en-US"/>
        </w:rPr>
      </w:pPr>
      <w:r w:rsidRPr="004E72C6">
        <w:rPr>
          <w:lang w:val="en-US"/>
        </w:rPr>
        <w:t>Recipients were routinely typed for HLA by sequence-specific oligonucleotides (SSO) before 2018 and next generation sequencing (NGS) thereafter. Postmortem kidney donors were routinely HLA typed by sequence-specific primers (SSP) at the donor center and retyping was performed by sequence-specific oligonucleotides (SSO) before 2018 and next generation sequencing (NGS) thereafter at our center. Living kidney donors were routinely typed for HLA by sequence-specific oligonucleotides (SSO) before 2018 and next generation sequencing (NGS) thereafter.</w:t>
      </w:r>
      <w:r>
        <w:rPr>
          <w:lang w:val="en-US"/>
        </w:rPr>
        <w:t xml:space="preserve"> </w:t>
      </w:r>
      <w:r w:rsidRPr="004E72C6">
        <w:rPr>
          <w:lang w:val="en-US"/>
        </w:rPr>
        <w:t xml:space="preserve">The dnDSA were mostly defined on the antigen level, however, when necessary, HLA allele information has been considered in assigning DSA appropriately. Therefore, retyping by NGS was performed in some instances. If necessary for the assignment of DSA, 4-digit HLA typing by NGS was performed after 2018. Before 2018, SSO was performed and the most probable 4-digit result according to CWD 2.0 filter was considered.  </w:t>
      </w:r>
    </w:p>
    <w:p w14:paraId="31BE5AD0" w14:textId="1CD94398" w:rsidR="00A00474" w:rsidRPr="004E72C6" w:rsidRDefault="004E72C6" w:rsidP="004E72C6">
      <w:pPr>
        <w:spacing w:after="240" w:line="480" w:lineRule="auto"/>
        <w:jc w:val="both"/>
        <w:rPr>
          <w:lang w:val="en-US"/>
        </w:rPr>
      </w:pPr>
      <w:r w:rsidRPr="004E72C6">
        <w:rPr>
          <w:lang w:val="en-US"/>
        </w:rPr>
        <w:t xml:space="preserve">Screening for donor specific antibodies anti-HLA antibodies (DSA) was performed using LuminexⓇ -based </w:t>
      </w:r>
      <w:proofErr w:type="spellStart"/>
      <w:r w:rsidRPr="004E72C6">
        <w:rPr>
          <w:lang w:val="en-US"/>
        </w:rPr>
        <w:t>LABScreen</w:t>
      </w:r>
      <w:proofErr w:type="spellEnd"/>
      <w:r w:rsidRPr="004E72C6">
        <w:rPr>
          <w:lang w:val="en-US"/>
        </w:rPr>
        <w:t>Ⓡ SAB assay (One Lambda, Canoga Park, CA), as widely standardized and described previously.</w:t>
      </w:r>
      <w:r w:rsidRPr="004E72C6">
        <w:rPr>
          <w:vertAlign w:val="superscript"/>
          <w:lang w:val="en-US"/>
        </w:rPr>
        <w:t>1</w:t>
      </w:r>
      <w:r w:rsidRPr="004E72C6">
        <w:rPr>
          <w:lang w:val="en-US"/>
        </w:rPr>
        <w:t xml:space="preserve"> Standard-of-care crossmatch testing for anti-HLA-antibodies was performed in all subjects pretransplant and de novo DSA were detected by routine annual screening. Antibodies with a mean florescence intensity (MFI) above the threshold of 1000 in LuminexⓇ were considered positive and the immunodominant DSA was defined as the DSA with the highest MFI value in the most recent anti-HLA-DSA test prior to biopsy. Further, MFI values at first occurrence of dnDSA, as well as the peak MFI over time were assessed until the time of index biopsy. Complementary testing for additional DSA-characteristics, such as IgG-subclass or complement-fixing ability, as well as screening non-HLA antibodies was not performed for the purpose of this study.</w:t>
      </w:r>
      <w:r>
        <w:rPr>
          <w:lang w:val="en-US"/>
        </w:rPr>
        <w:t xml:space="preserve"> </w:t>
      </w:r>
      <w:r w:rsidRPr="004E72C6">
        <w:rPr>
          <w:lang w:val="en-US"/>
        </w:rPr>
        <w:t>The results of every HLA-</w:t>
      </w:r>
      <w:r w:rsidRPr="004E72C6">
        <w:rPr>
          <w:lang w:val="en-US"/>
        </w:rPr>
        <w:lastRenderedPageBreak/>
        <w:t>sample testing were reviewed, confirmed and signed off by local histocompatibility experts in our hospital (N.L.</w:t>
      </w:r>
      <w:r w:rsidR="00621416">
        <w:rPr>
          <w:lang w:val="en-US"/>
        </w:rPr>
        <w:t xml:space="preserve">, </w:t>
      </w:r>
      <w:proofErr w:type="spellStart"/>
      <w:r w:rsidRPr="004E72C6">
        <w:rPr>
          <w:lang w:val="en-US"/>
        </w:rPr>
        <w:t>D.S</w:t>
      </w:r>
      <w:r w:rsidR="0014765D">
        <w:rPr>
          <w:lang w:val="en-US"/>
        </w:rPr>
        <w:t>t</w:t>
      </w:r>
      <w:proofErr w:type="spellEnd"/>
      <w:r w:rsidRPr="004E72C6">
        <w:rPr>
          <w:lang w:val="en-US"/>
        </w:rPr>
        <w:t>.) before delivering the results for clinical evaluation</w:t>
      </w:r>
      <w:r>
        <w:rPr>
          <w:lang w:val="en-US"/>
        </w:rPr>
        <w:t>.</w:t>
      </w:r>
    </w:p>
    <w:p w14:paraId="7873EE4F" w14:textId="5BEBECF7" w:rsidR="00B05F81" w:rsidRDefault="0023529B" w:rsidP="00B05F81">
      <w:pPr>
        <w:spacing w:line="480" w:lineRule="auto"/>
        <w:rPr>
          <w:lang w:val="en-US"/>
        </w:rPr>
      </w:pPr>
      <w:r>
        <w:rPr>
          <w:b/>
          <w:lang w:val="en-US"/>
        </w:rPr>
        <w:t>Supplement</w:t>
      </w:r>
      <w:r w:rsidR="00E54E0D">
        <w:rPr>
          <w:b/>
          <w:lang w:val="en-US"/>
        </w:rPr>
        <w:t xml:space="preserve">al Item </w:t>
      </w:r>
      <w:r w:rsidR="004E72C6">
        <w:rPr>
          <w:b/>
          <w:lang w:val="en-US"/>
        </w:rPr>
        <w:t>2</w:t>
      </w:r>
      <w:r w:rsidR="00B05F81">
        <w:rPr>
          <w:b/>
          <w:lang w:val="en-US"/>
        </w:rPr>
        <w:t xml:space="preserve">. </w:t>
      </w:r>
      <w:r w:rsidR="00B05F81">
        <w:rPr>
          <w:lang w:val="en-US"/>
        </w:rPr>
        <w:t>Detailed method description for donor-derived cell-free DNA quantification.</w:t>
      </w:r>
    </w:p>
    <w:p w14:paraId="01880EA1" w14:textId="65BB532A" w:rsidR="004E72C6" w:rsidRPr="004E72C6" w:rsidRDefault="00F47B3A" w:rsidP="004E72C6">
      <w:pPr>
        <w:spacing w:after="240" w:line="480" w:lineRule="auto"/>
        <w:jc w:val="both"/>
        <w:rPr>
          <w:vertAlign w:val="superscript"/>
          <w:lang w:val="en-US"/>
        </w:rPr>
      </w:pPr>
      <w:r>
        <w:rPr>
          <w:lang w:val="en-US"/>
        </w:rPr>
        <w:t>For</w:t>
      </w:r>
      <w:r w:rsidR="00B05F81" w:rsidRPr="003520D7">
        <w:rPr>
          <w:lang w:val="en-US"/>
        </w:rPr>
        <w:t xml:space="preserve"> each patient, four informative single nucleotide polymorphisms (SNPs), defined as SNPs for which the recipient is homozygous and the donor carries at least one heterozygous allele, were selected from a set of 40 predefined SNPs. These four SNPs were used to quantify the dd-cfDNA concentration (%) as follows: donor alleles</w:t>
      </w:r>
      <w:proofErr w:type="gramStart"/>
      <w:r w:rsidR="00B05F81" w:rsidRPr="003520D7">
        <w:rPr>
          <w:lang w:val="en-US"/>
        </w:rPr>
        <w:t>/(</w:t>
      </w:r>
      <w:proofErr w:type="gramEnd"/>
      <w:r w:rsidR="00B05F81" w:rsidRPr="003520D7">
        <w:rPr>
          <w:lang w:val="en-US"/>
        </w:rPr>
        <w:t xml:space="preserve">donor alleles + recipient alleles). The results for SNPs with heterozygous donor genotypes were corrected by a factor of 2. Total cfDNA was extracted from up to 8 mL of plasma, and the concentration was determined </w:t>
      </w:r>
      <w:r w:rsidR="009641DC" w:rsidRPr="009641DC">
        <w:rPr>
          <w:lang w:val="en-US"/>
        </w:rPr>
        <w:t>as haploid genome copies</w:t>
      </w:r>
      <w:r w:rsidR="009641DC">
        <w:rPr>
          <w:lang w:val="en-US"/>
        </w:rPr>
        <w:t xml:space="preserve"> </w:t>
      </w:r>
      <w:r w:rsidR="00B05F81" w:rsidRPr="003520D7">
        <w:rPr>
          <w:lang w:val="en-US"/>
        </w:rPr>
        <w:t xml:space="preserve">using droplet-digital PCR and </w:t>
      </w:r>
      <w:r w:rsidR="009641DC">
        <w:rPr>
          <w:lang w:val="en-US"/>
        </w:rPr>
        <w:t xml:space="preserve">the result </w:t>
      </w:r>
      <w:r w:rsidR="00B05F81" w:rsidRPr="003520D7">
        <w:rPr>
          <w:lang w:val="en-US"/>
        </w:rPr>
        <w:t>was corrected for extraction loss and cfDNA fragmentation, as d</w:t>
      </w:r>
      <w:r w:rsidR="00EE62C2">
        <w:rPr>
          <w:lang w:val="en-US"/>
        </w:rPr>
        <w:t>escribed previously.</w:t>
      </w:r>
      <w:r w:rsidR="00EE62C2" w:rsidRPr="00EE62C2">
        <w:rPr>
          <w:vertAlign w:val="superscript"/>
          <w:lang w:val="en-US"/>
        </w:rPr>
        <w:t>1</w:t>
      </w:r>
      <w:r w:rsidR="00EE62C2">
        <w:rPr>
          <w:lang w:val="en-US"/>
        </w:rPr>
        <w:t xml:space="preserve"> </w:t>
      </w:r>
      <w:r w:rsidR="00B05F81" w:rsidRPr="003520D7">
        <w:rPr>
          <w:lang w:val="en-US"/>
        </w:rPr>
        <w:t>The absolute concentration of dd-cfDNA (copies/mL plasma) was calculated by multiplying total cfDNA (copies/mL) and dd-cfDNA (%). Reference ranges for total cfDNA in the post-transplant course were previously est</w:t>
      </w:r>
      <w:r w:rsidR="00B05F81">
        <w:rPr>
          <w:lang w:val="en-US"/>
        </w:rPr>
        <w:t>ablished in a cohort of 300 KTR.</w:t>
      </w:r>
      <w:r w:rsidR="00855CA9">
        <w:rPr>
          <w:vertAlign w:val="superscript"/>
          <w:lang w:val="en-US"/>
        </w:rPr>
        <w:t>2</w:t>
      </w:r>
      <w:r w:rsidR="000F4C91">
        <w:rPr>
          <w:vertAlign w:val="superscript"/>
          <w:lang w:val="en-US"/>
        </w:rPr>
        <w:t xml:space="preserve"> </w:t>
      </w:r>
    </w:p>
    <w:p w14:paraId="7F8965D4" w14:textId="51F0776A" w:rsidR="00B45F1B" w:rsidRDefault="00E54E0D" w:rsidP="00B45F1B">
      <w:pPr>
        <w:spacing w:line="480" w:lineRule="auto"/>
        <w:rPr>
          <w:lang w:val="en-US"/>
        </w:rPr>
      </w:pPr>
      <w:r>
        <w:rPr>
          <w:b/>
          <w:lang w:val="en-US"/>
        </w:rPr>
        <w:t xml:space="preserve">Supplemental Item </w:t>
      </w:r>
      <w:r w:rsidR="004E72C6">
        <w:rPr>
          <w:b/>
          <w:lang w:val="en-US"/>
        </w:rPr>
        <w:t>3</w:t>
      </w:r>
      <w:r>
        <w:rPr>
          <w:b/>
          <w:lang w:val="en-US"/>
        </w:rPr>
        <w:t xml:space="preserve">. </w:t>
      </w:r>
      <w:r w:rsidR="00B45F1B">
        <w:rPr>
          <w:lang w:val="en-US"/>
        </w:rPr>
        <w:t>Detailed secondary endpoint definitions.</w:t>
      </w:r>
    </w:p>
    <w:p w14:paraId="206AF535" w14:textId="77777777" w:rsidR="00B45F1B" w:rsidRDefault="00B45F1B" w:rsidP="00B45F1B">
      <w:pPr>
        <w:spacing w:line="480" w:lineRule="auto"/>
        <w:jc w:val="both"/>
        <w:rPr>
          <w:rFonts w:eastAsia="Arial Unicode MS"/>
          <w:lang w:val="en-US"/>
        </w:rPr>
      </w:pPr>
      <w:r w:rsidRPr="003520D7">
        <w:rPr>
          <w:lang w:val="en-US"/>
        </w:rPr>
        <w:t>The eGFR was calculated from creatinine according to the CKD-EPI 2021 formula.</w:t>
      </w:r>
      <w:proofErr w:type="gramStart"/>
      <w:r w:rsidRPr="00164751">
        <w:rPr>
          <w:vertAlign w:val="superscript"/>
          <w:lang w:val="en-US"/>
        </w:rPr>
        <w:t xml:space="preserve">3 </w:t>
      </w:r>
      <w:r>
        <w:rPr>
          <w:vertAlign w:val="superscript"/>
          <w:lang w:val="en-US"/>
        </w:rPr>
        <w:t xml:space="preserve"> </w:t>
      </w:r>
      <w:r w:rsidRPr="003520D7">
        <w:rPr>
          <w:rFonts w:eastAsia="Arial Unicode MS"/>
          <w:lang w:val="en-US"/>
        </w:rPr>
        <w:t>A</w:t>
      </w:r>
      <w:proofErr w:type="gramEnd"/>
      <w:r w:rsidRPr="003520D7">
        <w:rPr>
          <w:rFonts w:eastAsia="Arial Unicode MS"/>
          <w:lang w:val="en-US"/>
        </w:rPr>
        <w:t xml:space="preserve"> 1-year eGFR slope was calculated with all available eGFR values from day 0 to month 12 using a linear mixed-effects model with random intercepts and slopes to estimate the slope for each individual. Using the same approach, yearly baseline eGFR slope was calculated for the year before study inclusion and for the 2 years before study inclusion, based on all available outpatient creatinine values for the respective timeframes. Baseline creatinine was defined as the mean of all outpatient creatinine values in the year before study inclusion. Clinical stability was defined as a maximum increase in creatinine </w:t>
      </w:r>
      <w:bookmarkStart w:id="0" w:name="_Hlk158984925"/>
      <w:r w:rsidRPr="003520D7">
        <w:rPr>
          <w:rFonts w:eastAsia="Arial Unicode MS"/>
          <w:lang w:val="en-US"/>
        </w:rPr>
        <w:t>≤</w:t>
      </w:r>
      <w:bookmarkEnd w:id="0"/>
      <w:r w:rsidRPr="003520D7">
        <w:rPr>
          <w:rFonts w:eastAsia="Arial Unicode MS"/>
          <w:lang w:val="en-US"/>
        </w:rPr>
        <w:t xml:space="preserve">0.3 mg/dL above the baseline creatinine and maximum </w:t>
      </w:r>
      <w:proofErr w:type="spellStart"/>
      <w:r w:rsidRPr="003520D7">
        <w:rPr>
          <w:rFonts w:eastAsia="Arial Unicode MS"/>
          <w:lang w:val="en-US"/>
        </w:rPr>
        <w:t>uACR</w:t>
      </w:r>
      <w:proofErr w:type="spellEnd"/>
      <w:r w:rsidRPr="003520D7">
        <w:rPr>
          <w:rFonts w:eastAsia="Arial Unicode MS"/>
          <w:lang w:val="en-US"/>
        </w:rPr>
        <w:t xml:space="preserve"> ≤300 mg/g at any time during the observation period.</w:t>
      </w:r>
    </w:p>
    <w:p w14:paraId="0763BCBC" w14:textId="7E38B107" w:rsidR="00B45F1B" w:rsidRPr="0022094F" w:rsidRDefault="00E54E0D" w:rsidP="0022094F">
      <w:pPr>
        <w:spacing w:line="480" w:lineRule="auto"/>
        <w:rPr>
          <w:vertAlign w:val="superscript"/>
          <w:lang w:val="en-US"/>
        </w:rPr>
      </w:pPr>
      <w:r w:rsidRPr="003520D7">
        <w:rPr>
          <w:lang w:val="en-US"/>
        </w:rPr>
        <w:t xml:space="preserve">To reflect the dynamics of dnDSA, we studied antibody properties including alterations in HLA-class, number, specificity and antibody strength assessed by MFI evolution over time. </w:t>
      </w:r>
      <w:r w:rsidRPr="003520D7">
        <w:rPr>
          <w:lang w:val="en-US"/>
        </w:rPr>
        <w:lastRenderedPageBreak/>
        <w:t>For the latter, we selected the immunodominant DSA at inclusion and analyzed its MFI values at first occurrence, maximum MFI at any time, MFI at study inclusion and MFI at the end of the study period. Patients with MFI-fluctuations in the range of -50%/+100% were defined as persistent</w:t>
      </w:r>
      <w:r>
        <w:rPr>
          <w:lang w:val="en-US"/>
        </w:rPr>
        <w:t xml:space="preserve">. </w:t>
      </w:r>
      <w:r w:rsidRPr="003520D7">
        <w:rPr>
          <w:lang w:val="en-US"/>
        </w:rPr>
        <w:t>Increases of more than 100% MFI were considered as clinically relevant, whereas decline in dnDSA intensity was defined by MFI reduction of &gt;50% or temporary negativity (MFI below positivity cutoff of 1000).</w:t>
      </w:r>
      <w:r w:rsidR="00110E00">
        <w:rPr>
          <w:lang w:val="en-US"/>
        </w:rPr>
        <w:t xml:space="preserve"> Further, we evaluated the MFI</w:t>
      </w:r>
      <w:r w:rsidR="00F63ECE">
        <w:rPr>
          <w:lang w:val="en-US"/>
        </w:rPr>
        <w:t xml:space="preserve"> </w:t>
      </w:r>
      <w:r w:rsidR="00110E00">
        <w:rPr>
          <w:lang w:val="en-US"/>
        </w:rPr>
        <w:t>sum values at study inclusion, as well as at the time of biopsy.</w:t>
      </w:r>
      <w:r w:rsidRPr="003520D7">
        <w:rPr>
          <w:lang w:val="en-US"/>
        </w:rPr>
        <w:t xml:space="preserve"> PIRCHE-II scores were cal</w:t>
      </w:r>
      <w:r>
        <w:rPr>
          <w:lang w:val="en-US"/>
        </w:rPr>
        <w:t>culated as previously described.</w:t>
      </w:r>
      <w:r w:rsidR="00855CA9">
        <w:rPr>
          <w:vertAlign w:val="superscript"/>
          <w:lang w:val="en-US"/>
        </w:rPr>
        <w:t>4</w:t>
      </w:r>
    </w:p>
    <w:p w14:paraId="18A1BE5F" w14:textId="61B5C500" w:rsidR="00B05F81" w:rsidRDefault="00B05F81" w:rsidP="00AA0ADD">
      <w:pPr>
        <w:spacing w:before="240" w:line="480" w:lineRule="auto"/>
        <w:jc w:val="both"/>
        <w:rPr>
          <w:lang w:val="en-US"/>
        </w:rPr>
      </w:pPr>
      <w:r w:rsidRPr="00B05F81">
        <w:rPr>
          <w:b/>
          <w:lang w:val="en-US"/>
        </w:rPr>
        <w:t>Supplemental Item</w:t>
      </w:r>
      <w:r>
        <w:rPr>
          <w:b/>
          <w:lang w:val="en-US"/>
        </w:rPr>
        <w:t xml:space="preserve"> </w:t>
      </w:r>
      <w:r w:rsidR="004E72C6">
        <w:rPr>
          <w:b/>
          <w:lang w:val="en-US"/>
        </w:rPr>
        <w:t>4</w:t>
      </w:r>
      <w:r w:rsidRPr="00B05F81">
        <w:rPr>
          <w:b/>
          <w:lang w:val="en-US"/>
        </w:rPr>
        <w:t>.</w:t>
      </w:r>
      <w:r>
        <w:rPr>
          <w:lang w:val="en-US"/>
        </w:rPr>
        <w:t xml:space="preserve"> Sample size calculation.</w:t>
      </w:r>
    </w:p>
    <w:p w14:paraId="1BCA9444" w14:textId="46F7CF60" w:rsidR="0022094F" w:rsidRDefault="00B05F81" w:rsidP="0022094F">
      <w:pPr>
        <w:spacing w:line="480" w:lineRule="auto"/>
        <w:jc w:val="both"/>
        <w:rPr>
          <w:lang w:val="en-US"/>
        </w:rPr>
      </w:pPr>
      <w:r w:rsidRPr="003520D7">
        <w:rPr>
          <w:lang w:val="en-US"/>
        </w:rPr>
        <w:t>The sample size was calculated based on the following assumptions.</w:t>
      </w:r>
      <w:r w:rsidR="00391F8A">
        <w:rPr>
          <w:lang w:val="en-US"/>
        </w:rPr>
        <w:t xml:space="preserve"> </w:t>
      </w:r>
      <w:r w:rsidR="0051129A">
        <w:rPr>
          <w:lang w:val="en-US"/>
        </w:rPr>
        <w:t xml:space="preserve">A Wilcoxon test was planned to compare the time from study inclusion to </w:t>
      </w:r>
      <w:r w:rsidR="00042DED">
        <w:rPr>
          <w:lang w:val="en-US"/>
        </w:rPr>
        <w:t>AMR</w:t>
      </w:r>
      <w:r w:rsidR="0051129A">
        <w:rPr>
          <w:lang w:val="en-US"/>
        </w:rPr>
        <w:t xml:space="preserve"> diagnosis in patients with biopsy-proven </w:t>
      </w:r>
      <w:r w:rsidR="00042DED">
        <w:rPr>
          <w:lang w:val="en-US"/>
        </w:rPr>
        <w:t>AMR</w:t>
      </w:r>
      <w:r w:rsidR="0051129A">
        <w:rPr>
          <w:lang w:val="en-US"/>
        </w:rPr>
        <w:t xml:space="preserve"> at the end of the study period</w:t>
      </w:r>
      <w:r w:rsidR="00AA0ADD">
        <w:rPr>
          <w:lang w:val="en-US"/>
        </w:rPr>
        <w:t xml:space="preserve"> between intervention and control group</w:t>
      </w:r>
      <w:r w:rsidR="0051129A">
        <w:rPr>
          <w:lang w:val="en-US"/>
        </w:rPr>
        <w:t xml:space="preserve">. </w:t>
      </w:r>
      <w:r w:rsidRPr="003520D7">
        <w:rPr>
          <w:lang w:val="en-US"/>
        </w:rPr>
        <w:t>In patients with</w:t>
      </w:r>
      <w:r w:rsidR="00144A4D">
        <w:rPr>
          <w:lang w:val="en-US"/>
        </w:rPr>
        <w:t xml:space="preserve"> biopsy-proven</w:t>
      </w:r>
      <w:r w:rsidRPr="003520D7">
        <w:rPr>
          <w:lang w:val="en-US"/>
        </w:rPr>
        <w:t xml:space="preserve"> </w:t>
      </w:r>
      <w:r w:rsidR="00042DED">
        <w:rPr>
          <w:lang w:val="en-US"/>
        </w:rPr>
        <w:t>AMR</w:t>
      </w:r>
      <w:r w:rsidRPr="003520D7">
        <w:rPr>
          <w:lang w:val="en-US"/>
        </w:rPr>
        <w:t>, we estimated that kidney biopsy will be performed 3 months (± 3 months) after study inclusion in the intervention group and 9 months (± 3 months) after study inclusion in the control group.</w:t>
      </w:r>
      <w:r w:rsidR="00E57EE6">
        <w:rPr>
          <w:lang w:val="en-US"/>
        </w:rPr>
        <w:t xml:space="preserve"> </w:t>
      </w:r>
      <w:r w:rsidRPr="003520D7">
        <w:rPr>
          <w:lang w:val="en-US"/>
        </w:rPr>
        <w:t xml:space="preserve">Based on these assumptions, </w:t>
      </w:r>
      <w:r w:rsidR="00144A4D">
        <w:rPr>
          <w:lang w:val="en-US"/>
        </w:rPr>
        <w:t>6</w:t>
      </w:r>
      <w:r w:rsidRPr="003520D7">
        <w:rPr>
          <w:lang w:val="en-US"/>
        </w:rPr>
        <w:t xml:space="preserve"> patients with </w:t>
      </w:r>
      <w:r w:rsidR="00144A4D">
        <w:rPr>
          <w:lang w:val="en-US"/>
        </w:rPr>
        <w:t xml:space="preserve">biopsy-proven </w:t>
      </w:r>
      <w:r w:rsidR="00042DED">
        <w:rPr>
          <w:lang w:val="en-US"/>
        </w:rPr>
        <w:t>AMR</w:t>
      </w:r>
      <w:r w:rsidRPr="003520D7">
        <w:rPr>
          <w:lang w:val="en-US"/>
        </w:rPr>
        <w:t xml:space="preserve"> in each group would be sufficient to reach a power of 80% with an alpha error of 0.05. </w:t>
      </w:r>
      <w:r w:rsidR="0051129A">
        <w:rPr>
          <w:lang w:val="en-US"/>
        </w:rPr>
        <w:t>Base</w:t>
      </w:r>
      <w:r w:rsidR="00A00474">
        <w:rPr>
          <w:lang w:val="en-US"/>
        </w:rPr>
        <w:t xml:space="preserve">d on data from Schinstock et al. </w:t>
      </w:r>
      <w:r w:rsidR="00855CA9">
        <w:rPr>
          <w:vertAlign w:val="superscript"/>
          <w:lang w:val="en-US"/>
        </w:rPr>
        <w:t>5</w:t>
      </w:r>
      <w:r w:rsidR="0051129A">
        <w:rPr>
          <w:lang w:val="en-US"/>
        </w:rPr>
        <w:t xml:space="preserve">, we estimated that approximately 50% of patients will have an underlying </w:t>
      </w:r>
      <w:r w:rsidR="00042DED">
        <w:rPr>
          <w:lang w:val="en-US"/>
        </w:rPr>
        <w:t>AMR</w:t>
      </w:r>
      <w:r w:rsidR="0051129A">
        <w:rPr>
          <w:lang w:val="en-US"/>
        </w:rPr>
        <w:t xml:space="preserve"> during the study period. Since the sensitivity of dd-cfDNA for </w:t>
      </w:r>
      <w:r w:rsidR="00A00474">
        <w:rPr>
          <w:lang w:val="en-US"/>
        </w:rPr>
        <w:t xml:space="preserve">detection of </w:t>
      </w:r>
      <w:r w:rsidR="00042DED">
        <w:rPr>
          <w:lang w:val="en-US"/>
        </w:rPr>
        <w:t>AMR</w:t>
      </w:r>
      <w:r w:rsidR="00A00474">
        <w:rPr>
          <w:lang w:val="en-US"/>
        </w:rPr>
        <w:t xml:space="preserve"> is between 0.73 and 1.0</w:t>
      </w:r>
      <w:r w:rsidR="0051129A">
        <w:rPr>
          <w:lang w:val="en-US"/>
        </w:rPr>
        <w:t xml:space="preserve"> throughout various studies</w:t>
      </w:r>
      <w:r w:rsidR="00A00474">
        <w:rPr>
          <w:lang w:val="en-US"/>
        </w:rPr>
        <w:t xml:space="preserve"> </w:t>
      </w:r>
      <w:r w:rsidR="00A00474">
        <w:rPr>
          <w:vertAlign w:val="superscript"/>
          <w:lang w:val="en-US"/>
        </w:rPr>
        <w:t>1,</w:t>
      </w:r>
      <w:r w:rsidR="00855CA9">
        <w:rPr>
          <w:vertAlign w:val="superscript"/>
          <w:lang w:val="en-US"/>
        </w:rPr>
        <w:t>6</w:t>
      </w:r>
      <w:r w:rsidR="00A00474">
        <w:rPr>
          <w:vertAlign w:val="superscript"/>
          <w:lang w:val="en-US"/>
        </w:rPr>
        <w:t>,</w:t>
      </w:r>
      <w:r w:rsidR="00855CA9">
        <w:rPr>
          <w:vertAlign w:val="superscript"/>
          <w:lang w:val="en-US"/>
        </w:rPr>
        <w:t>7</w:t>
      </w:r>
      <w:r w:rsidR="0051129A">
        <w:rPr>
          <w:lang w:val="en-US"/>
        </w:rPr>
        <w:t xml:space="preserve">, and patients in both groups will be informed about dd-cfDNA results </w:t>
      </w:r>
      <w:r w:rsidR="00AA0ADD">
        <w:rPr>
          <w:lang w:val="en-US"/>
        </w:rPr>
        <w:t>at least after 12 months,</w:t>
      </w:r>
      <w:r w:rsidR="0051129A">
        <w:rPr>
          <w:lang w:val="en-US"/>
        </w:rPr>
        <w:t xml:space="preserve"> it can be assumed that 80% of patients with underlying </w:t>
      </w:r>
      <w:r w:rsidR="00042DED">
        <w:rPr>
          <w:lang w:val="en-US"/>
        </w:rPr>
        <w:t>AMR</w:t>
      </w:r>
      <w:r w:rsidR="0051129A">
        <w:rPr>
          <w:lang w:val="en-US"/>
        </w:rPr>
        <w:t xml:space="preserve"> will actually be diagnosed with </w:t>
      </w:r>
      <w:r w:rsidR="00042DED">
        <w:rPr>
          <w:lang w:val="en-US"/>
        </w:rPr>
        <w:t>AMR</w:t>
      </w:r>
      <w:r w:rsidR="0051129A">
        <w:rPr>
          <w:lang w:val="en-US"/>
        </w:rPr>
        <w:t xml:space="preserve"> at the end of the study (40% of the study population). </w:t>
      </w:r>
      <w:r w:rsidR="00144A4D">
        <w:rPr>
          <w:lang w:val="en-US"/>
        </w:rPr>
        <w:t>This results in a minimum sample size of 30 patients. To account additional</w:t>
      </w:r>
      <w:r w:rsidR="00A00474">
        <w:rPr>
          <w:lang w:val="en-US"/>
        </w:rPr>
        <w:t xml:space="preserve"> for an additional proportion of </w:t>
      </w:r>
      <w:r w:rsidR="00144A4D">
        <w:rPr>
          <w:lang w:val="en-US"/>
        </w:rPr>
        <w:t>patients that withdraw consent before protocol biopsy despite increased dd-cfDNA values, we determined a total sample size of 40 patients.</w:t>
      </w:r>
    </w:p>
    <w:p w14:paraId="6F6C34B5" w14:textId="77777777" w:rsidR="007053DB" w:rsidRPr="0022094F" w:rsidRDefault="007053DB" w:rsidP="0022094F">
      <w:pPr>
        <w:spacing w:line="480" w:lineRule="auto"/>
        <w:jc w:val="both"/>
        <w:rPr>
          <w:lang w:val="en-US"/>
        </w:rPr>
      </w:pPr>
    </w:p>
    <w:p w14:paraId="2DBB38C4" w14:textId="3C984761" w:rsidR="00AA0ADD" w:rsidRPr="00AA0ADD" w:rsidRDefault="00B45F1B" w:rsidP="00AA0ADD">
      <w:pPr>
        <w:spacing w:line="480" w:lineRule="auto"/>
        <w:rPr>
          <w:lang w:val="en-US"/>
        </w:rPr>
      </w:pPr>
      <w:r>
        <w:rPr>
          <w:b/>
          <w:lang w:val="en-US"/>
        </w:rPr>
        <w:t xml:space="preserve">Supplemental Item </w:t>
      </w:r>
      <w:r w:rsidR="004E72C6">
        <w:rPr>
          <w:b/>
          <w:lang w:val="en-US"/>
        </w:rPr>
        <w:t>5</w:t>
      </w:r>
      <w:r w:rsidR="00AA0ADD">
        <w:rPr>
          <w:b/>
          <w:lang w:val="en-US"/>
        </w:rPr>
        <w:t xml:space="preserve">. </w:t>
      </w:r>
      <w:r w:rsidR="00AA0ADD">
        <w:rPr>
          <w:lang w:val="en-US"/>
        </w:rPr>
        <w:t xml:space="preserve">Clinical outcome parameters including eGFR slope, </w:t>
      </w:r>
      <w:proofErr w:type="spellStart"/>
      <w:r w:rsidR="00AA0ADD">
        <w:rPr>
          <w:lang w:val="en-US"/>
        </w:rPr>
        <w:t>uACR</w:t>
      </w:r>
      <w:proofErr w:type="spellEnd"/>
      <w:r w:rsidR="00AA0ADD">
        <w:rPr>
          <w:lang w:val="en-US"/>
        </w:rPr>
        <w:t>, hospitalization and infection.</w:t>
      </w:r>
    </w:p>
    <w:p w14:paraId="198A71F5" w14:textId="77777777" w:rsidR="00AA0ADD" w:rsidRPr="003520D7" w:rsidRDefault="00AA0ADD" w:rsidP="00AA0ADD">
      <w:pPr>
        <w:spacing w:line="480" w:lineRule="auto"/>
        <w:jc w:val="both"/>
        <w:rPr>
          <w:lang w:val="en-US"/>
        </w:rPr>
      </w:pPr>
      <w:r w:rsidRPr="003520D7">
        <w:rPr>
          <w:lang w:val="en-US"/>
        </w:rPr>
        <w:lastRenderedPageBreak/>
        <w:t>The eGFR slope during the observation period was -0.29±1.14 ml/min/1.73 m</w:t>
      </w:r>
      <w:r w:rsidRPr="00A00474">
        <w:rPr>
          <w:vertAlign w:val="superscript"/>
          <w:lang w:val="en-US"/>
        </w:rPr>
        <w:t>2</w:t>
      </w:r>
      <w:r w:rsidRPr="003520D7">
        <w:rPr>
          <w:lang w:val="en-US"/>
        </w:rPr>
        <w:t xml:space="preserve"> per year within our cohort and did not differ significantly between intervention (-0.03±0.94 ml/min/1.73 m</w:t>
      </w:r>
      <w:r w:rsidRPr="00A00474">
        <w:rPr>
          <w:vertAlign w:val="superscript"/>
          <w:lang w:val="en-US"/>
        </w:rPr>
        <w:t>2</w:t>
      </w:r>
      <w:r w:rsidRPr="003520D7">
        <w:rPr>
          <w:lang w:val="en-US"/>
        </w:rPr>
        <w:t xml:space="preserve"> per year) and control (-0.56±1.29 ml/min/1.73 m</w:t>
      </w:r>
      <w:r w:rsidRPr="00A00474">
        <w:rPr>
          <w:vertAlign w:val="superscript"/>
          <w:lang w:val="en-US"/>
        </w:rPr>
        <w:t>2</w:t>
      </w:r>
      <w:r w:rsidRPr="003520D7">
        <w:rPr>
          <w:lang w:val="en-US"/>
        </w:rPr>
        <w:t xml:space="preserve"> per year, p=0.15). </w:t>
      </w:r>
      <w:proofErr w:type="spellStart"/>
      <w:r w:rsidRPr="003520D7">
        <w:rPr>
          <w:lang w:val="en-US"/>
        </w:rPr>
        <w:t>uACR</w:t>
      </w:r>
      <w:proofErr w:type="spellEnd"/>
      <w:r w:rsidRPr="003520D7">
        <w:rPr>
          <w:lang w:val="en-US"/>
        </w:rPr>
        <w:t xml:space="preserve"> did not differ between the intervention (median 67 mg/g, IQR 24-249) and control (median 74 mg/g, IQR 30-264, p=0.96) groups at the end of the observation period.</w:t>
      </w:r>
    </w:p>
    <w:p w14:paraId="6F429048" w14:textId="77777777" w:rsidR="00AA0ADD" w:rsidRPr="003520D7" w:rsidRDefault="00AA0ADD" w:rsidP="00AA0ADD">
      <w:pPr>
        <w:spacing w:line="480" w:lineRule="auto"/>
        <w:jc w:val="both"/>
        <w:rPr>
          <w:lang w:val="en-US"/>
        </w:rPr>
      </w:pPr>
      <w:r w:rsidRPr="003520D7">
        <w:rPr>
          <w:lang w:val="en-US"/>
        </w:rPr>
        <w:t xml:space="preserve">Five patients </w:t>
      </w:r>
      <w:r>
        <w:rPr>
          <w:lang w:val="en-US"/>
        </w:rPr>
        <w:t>were hospitalized due to</w:t>
      </w:r>
      <w:r w:rsidRPr="003520D7">
        <w:rPr>
          <w:lang w:val="en-US"/>
        </w:rPr>
        <w:t xml:space="preserve"> infection during the observation period: two patients in the control group and three patients in the intervention group (p=1.00).</w:t>
      </w:r>
    </w:p>
    <w:p w14:paraId="29F48AA0" w14:textId="77777777" w:rsidR="00413626" w:rsidRDefault="00413626" w:rsidP="00413626">
      <w:pPr>
        <w:spacing w:line="480" w:lineRule="auto"/>
        <w:rPr>
          <w:b/>
          <w:lang w:val="en-US"/>
        </w:rPr>
      </w:pPr>
    </w:p>
    <w:p w14:paraId="62A9441D" w14:textId="7F9DF0B1" w:rsidR="00413626" w:rsidRPr="00AA0ADD" w:rsidRDefault="00413626" w:rsidP="00413626">
      <w:pPr>
        <w:spacing w:line="480" w:lineRule="auto"/>
        <w:rPr>
          <w:lang w:val="en-US"/>
        </w:rPr>
      </w:pPr>
      <w:r w:rsidRPr="00413626">
        <w:rPr>
          <w:b/>
          <w:lang w:val="en-US"/>
        </w:rPr>
        <w:t xml:space="preserve">Supplementary Item </w:t>
      </w:r>
      <w:r w:rsidR="004E72C6">
        <w:rPr>
          <w:b/>
          <w:lang w:val="en-US"/>
        </w:rPr>
        <w:t>6</w:t>
      </w:r>
      <w:r>
        <w:rPr>
          <w:lang w:val="en-US"/>
        </w:rPr>
        <w:t>. Sensitivity analysis comparing “ideal” time from study inc</w:t>
      </w:r>
      <w:r w:rsidR="00367C51">
        <w:rPr>
          <w:lang w:val="en-US"/>
        </w:rPr>
        <w:t>l</w:t>
      </w:r>
      <w:r>
        <w:rPr>
          <w:lang w:val="en-US"/>
        </w:rPr>
        <w:t>usion to diagnosis between both groups.</w:t>
      </w:r>
    </w:p>
    <w:p w14:paraId="21E65602" w14:textId="3BB8F9C5" w:rsidR="00413626" w:rsidRPr="00413626" w:rsidRDefault="00413626" w:rsidP="00413626">
      <w:pPr>
        <w:spacing w:line="480" w:lineRule="auto"/>
        <w:rPr>
          <w:lang w:val="en-US"/>
        </w:rPr>
      </w:pPr>
      <w:r w:rsidRPr="00413626">
        <w:rPr>
          <w:lang w:val="en-US"/>
        </w:rPr>
        <w:t xml:space="preserve">We also performed a sensitivity analysis to test, if the effect seen would be present if the timing of biopsies would have been ideal. </w:t>
      </w:r>
      <w:bookmarkStart w:id="1" w:name="_Hlk174631733"/>
      <w:r w:rsidRPr="00413626">
        <w:rPr>
          <w:lang w:val="en-US"/>
        </w:rPr>
        <w:t xml:space="preserve">Therefore, for the intervention group, we used the </w:t>
      </w:r>
      <w:r>
        <w:rPr>
          <w:lang w:val="en-US"/>
        </w:rPr>
        <w:t xml:space="preserve">first of the following: </w:t>
      </w:r>
      <w:r w:rsidRPr="00413626">
        <w:rPr>
          <w:lang w:val="en-US"/>
        </w:rPr>
        <w:t xml:space="preserve">date of </w:t>
      </w:r>
      <w:r>
        <w:rPr>
          <w:lang w:val="en-US"/>
        </w:rPr>
        <w:t xml:space="preserve">the </w:t>
      </w:r>
      <w:r w:rsidRPr="00413626">
        <w:rPr>
          <w:lang w:val="en-US"/>
        </w:rPr>
        <w:t>first increased dd-cfDNA</w:t>
      </w:r>
      <w:r>
        <w:rPr>
          <w:lang w:val="en-US"/>
        </w:rPr>
        <w:t xml:space="preserve"> sample, </w:t>
      </w:r>
      <w:r w:rsidRPr="00413626">
        <w:rPr>
          <w:lang w:val="en-US"/>
        </w:rPr>
        <w:t>date of clinical indication biopsy</w:t>
      </w:r>
      <w:r>
        <w:rPr>
          <w:lang w:val="en-US"/>
        </w:rPr>
        <w:t>, 12 months after inclusion</w:t>
      </w:r>
      <w:r w:rsidRPr="00413626">
        <w:rPr>
          <w:lang w:val="en-US"/>
        </w:rPr>
        <w:t xml:space="preserve">, and for the control group </w:t>
      </w:r>
      <w:r>
        <w:rPr>
          <w:lang w:val="en-US"/>
        </w:rPr>
        <w:t xml:space="preserve">the first of the following: </w:t>
      </w:r>
      <w:r w:rsidRPr="00413626">
        <w:rPr>
          <w:lang w:val="en-US"/>
        </w:rPr>
        <w:t>date of clinical indication biopsy or 12 months after inclusion</w:t>
      </w:r>
      <w:r>
        <w:rPr>
          <w:lang w:val="en-US"/>
        </w:rPr>
        <w:t>. Using these dates, we c</w:t>
      </w:r>
      <w:r w:rsidRPr="00413626">
        <w:rPr>
          <w:lang w:val="en-US"/>
        </w:rPr>
        <w:t>alculate an “ideal” time to biopsy in patients with AMR</w:t>
      </w:r>
      <w:r>
        <w:rPr>
          <w:lang w:val="en-US"/>
        </w:rPr>
        <w:t xml:space="preserve"> diagnosis and compared these times between intervention and control with a Wilcoxon test</w:t>
      </w:r>
      <w:r w:rsidRPr="00413626">
        <w:rPr>
          <w:lang w:val="en-US"/>
        </w:rPr>
        <w:t>. There was still a significant difference in time to AMR diagnosis in th</w:t>
      </w:r>
      <w:r>
        <w:rPr>
          <w:lang w:val="en-US"/>
        </w:rPr>
        <w:t>is</w:t>
      </w:r>
      <w:r w:rsidRPr="00413626">
        <w:rPr>
          <w:lang w:val="en-US"/>
        </w:rPr>
        <w:t xml:space="preserve"> sensitivity analysis</w:t>
      </w:r>
      <w:r>
        <w:rPr>
          <w:lang w:val="en-US"/>
        </w:rPr>
        <w:t xml:space="preserve"> (Intervention: median 0 months [IQR 0-0.71], Control: median 12 [IQR 12-12], p=0.003522)</w:t>
      </w:r>
      <w:r w:rsidRPr="00413626">
        <w:rPr>
          <w:lang w:val="en-US"/>
        </w:rPr>
        <w:t>. Consequently, perfect timing of biopsies would not have changed the main results of the study.</w:t>
      </w:r>
    </w:p>
    <w:bookmarkEnd w:id="1"/>
    <w:p w14:paraId="0106FB89" w14:textId="77777777" w:rsidR="00E96EE3" w:rsidRDefault="00E96EE3" w:rsidP="00EE6788">
      <w:pPr>
        <w:spacing w:before="240" w:after="240" w:line="480" w:lineRule="auto"/>
        <w:jc w:val="both"/>
        <w:rPr>
          <w:b/>
          <w:lang w:val="en-US"/>
        </w:rPr>
      </w:pPr>
    </w:p>
    <w:p w14:paraId="3B4AB50E" w14:textId="30C2A4F1" w:rsidR="00EE6788" w:rsidRDefault="00EE6788" w:rsidP="00EE6788">
      <w:pPr>
        <w:spacing w:before="240" w:after="240" w:line="480" w:lineRule="auto"/>
        <w:jc w:val="both"/>
        <w:rPr>
          <w:lang w:val="en-US"/>
        </w:rPr>
      </w:pPr>
      <w:r w:rsidRPr="00B05F81">
        <w:rPr>
          <w:b/>
          <w:lang w:val="en-US"/>
        </w:rPr>
        <w:t>Supplemental Item</w:t>
      </w:r>
      <w:r>
        <w:rPr>
          <w:b/>
          <w:lang w:val="en-US"/>
        </w:rPr>
        <w:t xml:space="preserve"> </w:t>
      </w:r>
      <w:r w:rsidR="004E72C6">
        <w:rPr>
          <w:b/>
          <w:lang w:val="en-US"/>
        </w:rPr>
        <w:t>7</w:t>
      </w:r>
      <w:r w:rsidRPr="00B05F81">
        <w:rPr>
          <w:b/>
          <w:lang w:val="en-US"/>
        </w:rPr>
        <w:t>.</w:t>
      </w:r>
      <w:r>
        <w:rPr>
          <w:lang w:val="en-US"/>
        </w:rPr>
        <w:t xml:space="preserve"> </w:t>
      </w:r>
      <w:r w:rsidR="00AA0ADD">
        <w:rPr>
          <w:lang w:val="en-US"/>
        </w:rPr>
        <w:t>Detailed analysis of dd-cfDNA test metrics with prespecified decision thresholds.</w:t>
      </w:r>
    </w:p>
    <w:p w14:paraId="13A3F62E" w14:textId="582EB4C1" w:rsidR="00EE6788" w:rsidRPr="003520D7" w:rsidRDefault="00EE6788" w:rsidP="00EE6788">
      <w:pPr>
        <w:spacing w:line="480" w:lineRule="auto"/>
        <w:jc w:val="both"/>
        <w:rPr>
          <w:lang w:val="en-US"/>
        </w:rPr>
      </w:pPr>
      <w:r w:rsidRPr="003520D7">
        <w:rPr>
          <w:lang w:val="en-US"/>
        </w:rPr>
        <w:t>Longitudinal dd-cfDNA monitoring with a maximum intra-individual increase of &gt;25% compared with the mean in absolute dd-cfDNA during the observation period, irrespective of absolute values, was a poor predictor for the detectio</w:t>
      </w:r>
      <w:r>
        <w:rPr>
          <w:lang w:val="en-US"/>
        </w:rPr>
        <w:t xml:space="preserve">n of </w:t>
      </w:r>
      <w:r w:rsidR="00042DED">
        <w:rPr>
          <w:lang w:val="en-US"/>
        </w:rPr>
        <w:t>AMR</w:t>
      </w:r>
      <w:r>
        <w:rPr>
          <w:lang w:val="en-US"/>
        </w:rPr>
        <w:t xml:space="preserve"> in DSA+ patients (AUC</w:t>
      </w:r>
      <w:r w:rsidRPr="003520D7">
        <w:rPr>
          <w:lang w:val="en-US"/>
        </w:rPr>
        <w:t>, 0.3; sensitivity, 0.5; specificity, 0.14; PPV, 0.33; NPV, 0.25; Supplementa</w:t>
      </w:r>
      <w:r>
        <w:rPr>
          <w:lang w:val="en-US"/>
        </w:rPr>
        <w:t xml:space="preserve">l </w:t>
      </w:r>
      <w:r w:rsidRPr="003520D7">
        <w:rPr>
          <w:lang w:val="en-US"/>
        </w:rPr>
        <w:t>Table 1).</w:t>
      </w:r>
    </w:p>
    <w:p w14:paraId="14280540" w14:textId="77777777" w:rsidR="00EE6788" w:rsidRPr="003520D7" w:rsidRDefault="00EE6788" w:rsidP="00EE6788">
      <w:pPr>
        <w:spacing w:line="480" w:lineRule="auto"/>
        <w:jc w:val="both"/>
        <w:rPr>
          <w:lang w:val="en-US"/>
        </w:rPr>
      </w:pPr>
      <w:r w:rsidRPr="003520D7">
        <w:rPr>
          <w:lang w:val="en-US"/>
        </w:rPr>
        <w:lastRenderedPageBreak/>
        <w:t>Consequently, combining both decision rules resulted in a slight increase in sensitivity to 1.0 at the expense of strongly reduced specificity of 0.14, resulting in a PPV of 0.5, and NPV of 1.0 (Supplementa</w:t>
      </w:r>
      <w:r>
        <w:rPr>
          <w:lang w:val="en-US"/>
        </w:rPr>
        <w:t xml:space="preserve">l </w:t>
      </w:r>
      <w:r w:rsidRPr="003520D7">
        <w:rPr>
          <w:lang w:val="en-US"/>
        </w:rPr>
        <w:t>Table 2).</w:t>
      </w:r>
    </w:p>
    <w:p w14:paraId="5E5E271D" w14:textId="77777777" w:rsidR="00EE6788" w:rsidRDefault="00EE6788" w:rsidP="00EE6788">
      <w:pPr>
        <w:spacing w:line="480" w:lineRule="auto"/>
        <w:jc w:val="both"/>
        <w:rPr>
          <w:lang w:val="en-US"/>
        </w:rPr>
      </w:pPr>
      <w:r>
        <w:rPr>
          <w:lang w:val="en-US"/>
        </w:rPr>
        <w:t>U</w:t>
      </w:r>
      <w:r w:rsidRPr="003520D7">
        <w:rPr>
          <w:lang w:val="en-US"/>
        </w:rPr>
        <w:t xml:space="preserve">sing only the first dd-cfDNA value, the AUC was 0.89, which was not different from longitudinal monitoring (AUC 0.92, p=0.61). </w:t>
      </w:r>
      <w:r>
        <w:rPr>
          <w:lang w:val="en-US"/>
        </w:rPr>
        <w:t>W</w:t>
      </w:r>
      <w:r w:rsidRPr="003520D7">
        <w:rPr>
          <w:lang w:val="en-US"/>
        </w:rPr>
        <w:t>hen compared to longitudinal monitoring</w:t>
      </w:r>
      <w:r>
        <w:rPr>
          <w:lang w:val="en-US"/>
        </w:rPr>
        <w:t xml:space="preserve">, each </w:t>
      </w:r>
      <w:r w:rsidRPr="003520D7">
        <w:rPr>
          <w:lang w:val="en-US"/>
        </w:rPr>
        <w:t>with an absolute cutoff of 50 copies/mL, this approach resulted in lower sensitivity and NPV of 0.58 and 0.74, respectively, but higher specificity and PPV of 1.0 each (Supplementa</w:t>
      </w:r>
      <w:r>
        <w:rPr>
          <w:lang w:val="en-US"/>
        </w:rPr>
        <w:t xml:space="preserve">l </w:t>
      </w:r>
      <w:r w:rsidRPr="003520D7">
        <w:rPr>
          <w:lang w:val="en-US"/>
        </w:rPr>
        <w:t>Table 3).</w:t>
      </w:r>
    </w:p>
    <w:p w14:paraId="4E873676" w14:textId="189BAB52" w:rsidR="006562B6" w:rsidRDefault="006562B6" w:rsidP="006562B6">
      <w:pPr>
        <w:spacing w:before="240" w:after="240" w:line="480" w:lineRule="auto"/>
        <w:jc w:val="both"/>
        <w:rPr>
          <w:lang w:val="en-US"/>
        </w:rPr>
      </w:pPr>
      <w:bookmarkStart w:id="2" w:name="OLE_LINK1"/>
      <w:r w:rsidRPr="00B05F81">
        <w:rPr>
          <w:b/>
          <w:lang w:val="en-US"/>
        </w:rPr>
        <w:t>Supplemental Item</w:t>
      </w:r>
      <w:r>
        <w:rPr>
          <w:b/>
          <w:lang w:val="en-US"/>
        </w:rPr>
        <w:t xml:space="preserve"> </w:t>
      </w:r>
      <w:r w:rsidR="004E72C6">
        <w:rPr>
          <w:b/>
          <w:lang w:val="en-US"/>
        </w:rPr>
        <w:t>8</w:t>
      </w:r>
      <w:r w:rsidR="00AA0ADD">
        <w:rPr>
          <w:b/>
          <w:lang w:val="en-US"/>
        </w:rPr>
        <w:t>.</w:t>
      </w:r>
      <w:r w:rsidR="00D13718">
        <w:rPr>
          <w:lang w:val="en-US"/>
        </w:rPr>
        <w:t xml:space="preserve"> Analysis of </w:t>
      </w:r>
      <w:r w:rsidR="00FB4809">
        <w:rPr>
          <w:lang w:val="en-US"/>
        </w:rPr>
        <w:t xml:space="preserve">routine biomarkers, </w:t>
      </w:r>
      <w:r w:rsidR="00D13718">
        <w:rPr>
          <w:lang w:val="en-US"/>
        </w:rPr>
        <w:t xml:space="preserve">dnDSA mean fluorescence intensity (MFI) and PIRCHE-II sum scores for the detection of </w:t>
      </w:r>
      <w:r w:rsidR="00042DED">
        <w:rPr>
          <w:lang w:val="en-US"/>
        </w:rPr>
        <w:t>AMR</w:t>
      </w:r>
      <w:r w:rsidR="00D13718">
        <w:rPr>
          <w:lang w:val="en-US"/>
        </w:rPr>
        <w:t>.</w:t>
      </w:r>
    </w:p>
    <w:bookmarkEnd w:id="2"/>
    <w:p w14:paraId="71876042" w14:textId="52DBFCBD" w:rsidR="00F47B3A" w:rsidRDefault="00F47B3A" w:rsidP="006562B6">
      <w:pPr>
        <w:spacing w:line="480" w:lineRule="auto"/>
        <w:jc w:val="both"/>
        <w:rPr>
          <w:lang w:val="en-US"/>
        </w:rPr>
      </w:pPr>
      <w:r>
        <w:rPr>
          <w:lang w:val="en-US"/>
        </w:rPr>
        <w:t>M</w:t>
      </w:r>
      <w:r w:rsidRPr="003520D7">
        <w:rPr>
          <w:lang w:val="en-US"/>
        </w:rPr>
        <w:t xml:space="preserve">aximum </w:t>
      </w:r>
      <w:proofErr w:type="spellStart"/>
      <w:r w:rsidRPr="003520D7">
        <w:rPr>
          <w:lang w:val="en-US"/>
        </w:rPr>
        <w:t>u</w:t>
      </w:r>
      <w:r>
        <w:rPr>
          <w:lang w:val="en-US"/>
        </w:rPr>
        <w:t>ACR</w:t>
      </w:r>
      <w:proofErr w:type="spellEnd"/>
      <w:r>
        <w:rPr>
          <w:lang w:val="en-US"/>
        </w:rPr>
        <w:t xml:space="preserve"> (AUC 0.59) and maximum i</w:t>
      </w:r>
      <w:r w:rsidRPr="003520D7">
        <w:rPr>
          <w:lang w:val="en-US"/>
        </w:rPr>
        <w:t>ncrease from baseline creatinine</w:t>
      </w:r>
      <w:r>
        <w:rPr>
          <w:lang w:val="en-US"/>
        </w:rPr>
        <w:t xml:space="preserve"> (AUC 0.6)</w:t>
      </w:r>
      <w:r w:rsidRPr="003520D7">
        <w:rPr>
          <w:lang w:val="en-US"/>
        </w:rPr>
        <w:t xml:space="preserve"> during the observatio</w:t>
      </w:r>
      <w:r>
        <w:rPr>
          <w:lang w:val="en-US"/>
        </w:rPr>
        <w:t xml:space="preserve">n period showed lower AUC for </w:t>
      </w:r>
      <w:r w:rsidR="00042DED">
        <w:rPr>
          <w:lang w:val="en-US"/>
        </w:rPr>
        <w:t>AMR</w:t>
      </w:r>
      <w:r w:rsidRPr="003520D7">
        <w:rPr>
          <w:lang w:val="en-US"/>
        </w:rPr>
        <w:t xml:space="preserve"> </w:t>
      </w:r>
      <w:r>
        <w:rPr>
          <w:lang w:val="en-US"/>
        </w:rPr>
        <w:t xml:space="preserve">detection </w:t>
      </w:r>
      <w:r w:rsidRPr="003520D7">
        <w:rPr>
          <w:lang w:val="en-US"/>
        </w:rPr>
        <w:t>than longitudinal dd-cfDNA monitoring (AUC 0.92, p=0.02</w:t>
      </w:r>
      <w:r>
        <w:rPr>
          <w:lang w:val="en-US"/>
        </w:rPr>
        <w:t>, and p=0.003, respectively</w:t>
      </w:r>
      <w:r w:rsidRPr="003520D7">
        <w:rPr>
          <w:lang w:val="en-US"/>
        </w:rPr>
        <w:t xml:space="preserve">). </w:t>
      </w:r>
      <w:r>
        <w:rPr>
          <w:lang w:val="en-US"/>
        </w:rPr>
        <w:t xml:space="preserve">Diagnostic test metrics for </w:t>
      </w:r>
      <w:proofErr w:type="spellStart"/>
      <w:r>
        <w:rPr>
          <w:lang w:val="en-US"/>
        </w:rPr>
        <w:t>uACR</w:t>
      </w:r>
      <w:proofErr w:type="spellEnd"/>
      <w:r>
        <w:rPr>
          <w:lang w:val="en-US"/>
        </w:rPr>
        <w:t xml:space="preserve"> with</w:t>
      </w:r>
      <w:r w:rsidRPr="003520D7">
        <w:rPr>
          <w:lang w:val="en-US"/>
        </w:rPr>
        <w:t xml:space="preserve"> cutoff</w:t>
      </w:r>
      <w:r>
        <w:rPr>
          <w:lang w:val="en-US"/>
        </w:rPr>
        <w:t>s</w:t>
      </w:r>
      <w:r w:rsidRPr="003520D7">
        <w:rPr>
          <w:lang w:val="en-US"/>
        </w:rPr>
        <w:t xml:space="preserve"> of 300 mg/g</w:t>
      </w:r>
      <w:r>
        <w:rPr>
          <w:lang w:val="en-US"/>
        </w:rPr>
        <w:t xml:space="preserve"> and 1000 mg/g are provided in </w:t>
      </w:r>
      <w:r w:rsidRPr="003520D7">
        <w:rPr>
          <w:lang w:val="en-US"/>
        </w:rPr>
        <w:t>Table 5</w:t>
      </w:r>
      <w:r>
        <w:rPr>
          <w:lang w:val="en-US"/>
        </w:rPr>
        <w:t xml:space="preserve"> and </w:t>
      </w:r>
      <w:r w:rsidRPr="003520D7">
        <w:rPr>
          <w:lang w:val="en-US"/>
        </w:rPr>
        <w:t>Supplementa</w:t>
      </w:r>
      <w:r>
        <w:rPr>
          <w:lang w:val="en-US"/>
        </w:rPr>
        <w:t>l</w:t>
      </w:r>
      <w:r w:rsidRPr="003520D7">
        <w:rPr>
          <w:lang w:val="en-US"/>
        </w:rPr>
        <w:t xml:space="preserve"> Table </w:t>
      </w:r>
      <w:r>
        <w:rPr>
          <w:lang w:val="en-US"/>
        </w:rPr>
        <w:t>5, respectively, and diagnostic test metrics for creatinine increase &gt;0.3 mg/dL</w:t>
      </w:r>
      <w:r w:rsidRPr="003520D7">
        <w:rPr>
          <w:lang w:val="en-US"/>
        </w:rPr>
        <w:t xml:space="preserve"> </w:t>
      </w:r>
      <w:r>
        <w:rPr>
          <w:lang w:val="en-US"/>
        </w:rPr>
        <w:t>in Table 6</w:t>
      </w:r>
      <w:r w:rsidRPr="003520D7">
        <w:rPr>
          <w:lang w:val="en-US"/>
        </w:rPr>
        <w:t>.</w:t>
      </w:r>
      <w:r>
        <w:rPr>
          <w:lang w:val="en-US"/>
        </w:rPr>
        <w:t xml:space="preserve"> </w:t>
      </w:r>
    </w:p>
    <w:p w14:paraId="5A54B496" w14:textId="110C358F" w:rsidR="00E96EE3" w:rsidRDefault="006562B6" w:rsidP="00E96EE3">
      <w:pPr>
        <w:spacing w:line="480" w:lineRule="auto"/>
        <w:jc w:val="both"/>
        <w:rPr>
          <w:lang w:val="en-US"/>
        </w:rPr>
      </w:pPr>
      <w:r w:rsidRPr="003520D7">
        <w:rPr>
          <w:lang w:val="en-US"/>
        </w:rPr>
        <w:t>For MFI at baseline, the AUC was 0.58, and a cutoff determined by the Youden point (MFI=1543) resulted in the following test metrics: sensitivity, 0.92; specificity, 0.43; PPV, 0.58; and NPV, 0.86. For maximum MFI, AUC was 0.55, and a cutoff determined by the Youden point (MFI=10160) resulted in the following test metrics: sensitivity, 0.58; specificity, 0.64; PPV, 0.58; NPV, 0.64. Both MFI at baseline and maximum MFI had a lower AUC than dd-cfDNA at baselin</w:t>
      </w:r>
      <w:r>
        <w:rPr>
          <w:lang w:val="en-US"/>
        </w:rPr>
        <w:t xml:space="preserve">e for the detection of </w:t>
      </w:r>
      <w:r w:rsidR="00042DED">
        <w:rPr>
          <w:lang w:val="en-US"/>
        </w:rPr>
        <w:t>AMR</w:t>
      </w:r>
      <w:r>
        <w:rPr>
          <w:lang w:val="en-US"/>
        </w:rPr>
        <w:t xml:space="preserve"> (p&lt;</w:t>
      </w:r>
      <w:r w:rsidRPr="003520D7">
        <w:rPr>
          <w:lang w:val="en-US"/>
        </w:rPr>
        <w:t xml:space="preserve">0.009 and p=0.014, respectively). MFI </w:t>
      </w:r>
      <w:r w:rsidR="00097ADB">
        <w:rPr>
          <w:lang w:val="en-US"/>
        </w:rPr>
        <w:t>doubling</w:t>
      </w:r>
      <w:r w:rsidRPr="003520D7">
        <w:rPr>
          <w:lang w:val="en-US"/>
        </w:rPr>
        <w:t xml:space="preserve"> from first occurrence to maximum MFI showed the following test metrics: sensitivity, 0.42; specificity, 0.86; PPV, 0.71, NPV 0.63 (Table 7).</w:t>
      </w:r>
      <w:r w:rsidR="00110E00">
        <w:rPr>
          <w:lang w:val="en-US"/>
        </w:rPr>
        <w:t xml:space="preserve"> </w:t>
      </w:r>
      <w:r w:rsidR="00F63ECE">
        <w:rPr>
          <w:lang w:val="en-US"/>
        </w:rPr>
        <w:t>Additionally</w:t>
      </w:r>
      <w:r w:rsidR="00110E00">
        <w:rPr>
          <w:lang w:val="en-US"/>
        </w:rPr>
        <w:t>, d</w:t>
      </w:r>
      <w:r w:rsidR="00110E00" w:rsidRPr="00110E00">
        <w:rPr>
          <w:lang w:val="en-US"/>
        </w:rPr>
        <w:t>nDSA MFI sum did not differ between patients with biopsy-proven AMR and patients without AMR in biopsy (at biopsy: median 6377, IQR 1805 - 20433 vs. median 5740, IQR 1550 - 19892, p=0.63; at baseline: median 7004, IQR 3741 - 22352 vs. median 8562, IQR 2178 - 20291, p=0.78).</w:t>
      </w:r>
      <w:r w:rsidR="00767F73">
        <w:rPr>
          <w:lang w:val="en-US"/>
        </w:rPr>
        <w:t xml:space="preserve"> </w:t>
      </w:r>
      <w:r w:rsidR="00767F73" w:rsidRPr="00767F73">
        <w:rPr>
          <w:lang w:val="en-US"/>
        </w:rPr>
        <w:t xml:space="preserve">Also, the frequency of AMR did </w:t>
      </w:r>
      <w:r w:rsidR="00767F73" w:rsidRPr="00767F73">
        <w:rPr>
          <w:lang w:val="en-US"/>
        </w:rPr>
        <w:lastRenderedPageBreak/>
        <w:t xml:space="preserve">not </w:t>
      </w:r>
      <w:r w:rsidR="00767F73">
        <w:rPr>
          <w:lang w:val="en-US"/>
        </w:rPr>
        <w:t>differ</w:t>
      </w:r>
      <w:r w:rsidR="00767F73" w:rsidRPr="00767F73">
        <w:rPr>
          <w:lang w:val="en-US"/>
        </w:rPr>
        <w:t xml:space="preserve"> considerably based on MFI sum category (low 1000-2999: 40% AMR, intermediate: 3000-5999: 40%, high &gt;=6000: 50%), which is line with the results of the comparison tests</w:t>
      </w:r>
      <w:r w:rsidR="00767F73">
        <w:rPr>
          <w:lang w:val="en-US"/>
        </w:rPr>
        <w:t>.</w:t>
      </w:r>
      <w:r w:rsidR="00295B0F" w:rsidRPr="00295B0F">
        <w:rPr>
          <w:vertAlign w:val="superscript"/>
          <w:lang w:val="en-US"/>
        </w:rPr>
        <w:t>7</w:t>
      </w:r>
    </w:p>
    <w:p w14:paraId="4C9664ED" w14:textId="1995E24C" w:rsidR="00142F7D" w:rsidRDefault="006562B6" w:rsidP="00142F7D">
      <w:pPr>
        <w:spacing w:line="480" w:lineRule="auto"/>
        <w:jc w:val="both"/>
        <w:rPr>
          <w:lang w:val="en-US"/>
        </w:rPr>
      </w:pPr>
      <w:r w:rsidRPr="003520D7">
        <w:rPr>
          <w:lang w:val="en-US"/>
        </w:rPr>
        <w:t xml:space="preserve">The PIRCHE-II sum scores were significantly higher in patients with </w:t>
      </w:r>
      <w:r w:rsidR="00042DED">
        <w:rPr>
          <w:lang w:val="en-US"/>
        </w:rPr>
        <w:t>AMR</w:t>
      </w:r>
      <w:r w:rsidRPr="003520D7">
        <w:rPr>
          <w:lang w:val="en-US"/>
        </w:rPr>
        <w:t xml:space="preserve"> (median 74.1, IQR 47.7 - 106.8) than in patients with unremarkable biopsy (median 63.4, IQR 57–68.9, p = 0.003) or CNI toxicity (median 52.9, IQR 50–56.8, p=0.002). The AUC of the PIRCHE-II sum score for </w:t>
      </w:r>
      <w:r w:rsidR="00042DED">
        <w:rPr>
          <w:lang w:val="en-US"/>
        </w:rPr>
        <w:t>AMR</w:t>
      </w:r>
      <w:r w:rsidRPr="003520D7">
        <w:rPr>
          <w:lang w:val="en-US"/>
        </w:rPr>
        <w:t xml:space="preserve"> detection was 0.57.</w:t>
      </w:r>
    </w:p>
    <w:p w14:paraId="26174B29" w14:textId="77777777" w:rsidR="001B4BB3" w:rsidRDefault="001B4BB3" w:rsidP="00142F7D">
      <w:pPr>
        <w:spacing w:line="480" w:lineRule="auto"/>
        <w:jc w:val="both"/>
        <w:rPr>
          <w:lang w:val="en-US"/>
        </w:rPr>
      </w:pPr>
      <w:bookmarkStart w:id="3" w:name="_GoBack"/>
      <w:bookmarkEnd w:id="3"/>
    </w:p>
    <w:p w14:paraId="5C8E278E" w14:textId="416E537D" w:rsidR="00142F7D" w:rsidRPr="00824F5F" w:rsidRDefault="00142F7D" w:rsidP="00142F7D">
      <w:pPr>
        <w:spacing w:line="480" w:lineRule="auto"/>
        <w:jc w:val="both"/>
        <w:rPr>
          <w:lang w:val="en-US"/>
        </w:rPr>
      </w:pPr>
      <w:r>
        <w:rPr>
          <w:b/>
          <w:lang w:val="en-US"/>
        </w:rPr>
        <w:t xml:space="preserve">Supplemental Item </w:t>
      </w:r>
      <w:r>
        <w:rPr>
          <w:b/>
          <w:lang w:val="en-US"/>
        </w:rPr>
        <w:t>9</w:t>
      </w:r>
      <w:r>
        <w:rPr>
          <w:b/>
          <w:lang w:val="en-US"/>
        </w:rPr>
        <w:t xml:space="preserve">. </w:t>
      </w:r>
      <w:r>
        <w:rPr>
          <w:lang w:val="en-US"/>
        </w:rPr>
        <w:t>In-depth analysis of histopathology and molecular rejection phenotypes in patients with biopsy showing antibody-mediated rejection (AMR).</w:t>
      </w:r>
    </w:p>
    <w:p w14:paraId="54905916" w14:textId="77777777" w:rsidR="00142F7D" w:rsidRDefault="00142F7D" w:rsidP="00142F7D">
      <w:pPr>
        <w:spacing w:line="480" w:lineRule="auto"/>
        <w:jc w:val="both"/>
        <w:rPr>
          <w:bCs/>
          <w:lang w:val="en-US"/>
        </w:rPr>
      </w:pPr>
      <w:r>
        <w:rPr>
          <w:bCs/>
          <w:lang w:val="en-US"/>
        </w:rPr>
        <w:t>Fr</w:t>
      </w:r>
      <w:r w:rsidRPr="00824F5F">
        <w:rPr>
          <w:bCs/>
          <w:lang w:val="en-US"/>
        </w:rPr>
        <w:t>om 7 cases of AMR in the intervention group, 5 showed a</w:t>
      </w:r>
      <w:r>
        <w:rPr>
          <w:bCs/>
          <w:lang w:val="en-US"/>
        </w:rPr>
        <w:t xml:space="preserve">ctive </w:t>
      </w:r>
      <w:r w:rsidRPr="00824F5F">
        <w:rPr>
          <w:bCs/>
          <w:lang w:val="en-US"/>
        </w:rPr>
        <w:t>AMR</w:t>
      </w:r>
      <w:r>
        <w:rPr>
          <w:bCs/>
          <w:lang w:val="en-US"/>
        </w:rPr>
        <w:t xml:space="preserve"> (</w:t>
      </w:r>
      <w:proofErr w:type="spellStart"/>
      <w:r>
        <w:rPr>
          <w:bCs/>
          <w:lang w:val="en-US"/>
        </w:rPr>
        <w:t>aAMR</w:t>
      </w:r>
      <w:proofErr w:type="spellEnd"/>
      <w:r>
        <w:rPr>
          <w:bCs/>
          <w:lang w:val="en-US"/>
        </w:rPr>
        <w:t>)</w:t>
      </w:r>
      <w:r w:rsidRPr="00824F5F">
        <w:rPr>
          <w:bCs/>
          <w:lang w:val="en-US"/>
        </w:rPr>
        <w:t xml:space="preserve"> and 2 showed </w:t>
      </w:r>
      <w:r>
        <w:rPr>
          <w:bCs/>
          <w:lang w:val="en-US"/>
        </w:rPr>
        <w:t xml:space="preserve">chronic-active </w:t>
      </w:r>
      <w:r w:rsidRPr="00824F5F">
        <w:rPr>
          <w:bCs/>
          <w:lang w:val="en-US"/>
        </w:rPr>
        <w:t xml:space="preserve">AMR </w:t>
      </w:r>
      <w:r>
        <w:rPr>
          <w:bCs/>
          <w:lang w:val="en-US"/>
        </w:rPr>
        <w:t>(</w:t>
      </w:r>
      <w:proofErr w:type="spellStart"/>
      <w:r>
        <w:rPr>
          <w:bCs/>
          <w:lang w:val="en-US"/>
        </w:rPr>
        <w:t>caAMR</w:t>
      </w:r>
      <w:proofErr w:type="spellEnd"/>
      <w:r>
        <w:rPr>
          <w:bCs/>
          <w:lang w:val="en-US"/>
        </w:rPr>
        <w:t xml:space="preserve">) - </w:t>
      </w:r>
      <w:r w:rsidRPr="00824F5F">
        <w:rPr>
          <w:bCs/>
          <w:lang w:val="en-US"/>
        </w:rPr>
        <w:t>1 with cg2 and 1 with cg1a</w:t>
      </w:r>
      <w:r>
        <w:rPr>
          <w:bCs/>
          <w:lang w:val="en-US"/>
        </w:rPr>
        <w:t>. F</w:t>
      </w:r>
      <w:r w:rsidRPr="00824F5F">
        <w:rPr>
          <w:bCs/>
          <w:lang w:val="en-US"/>
        </w:rPr>
        <w:t xml:space="preserve">rom 5 cases of AMR in the control group, 2 showed </w:t>
      </w:r>
      <w:proofErr w:type="spellStart"/>
      <w:r w:rsidRPr="00824F5F">
        <w:rPr>
          <w:bCs/>
          <w:lang w:val="en-US"/>
        </w:rPr>
        <w:t>aAMR</w:t>
      </w:r>
      <w:proofErr w:type="spellEnd"/>
      <w:r w:rsidRPr="00824F5F">
        <w:rPr>
          <w:bCs/>
          <w:lang w:val="en-US"/>
        </w:rPr>
        <w:t xml:space="preserve"> and 3 showed </w:t>
      </w:r>
      <w:proofErr w:type="spellStart"/>
      <w:r w:rsidRPr="00824F5F">
        <w:rPr>
          <w:bCs/>
          <w:lang w:val="en-US"/>
        </w:rPr>
        <w:t>caAMR</w:t>
      </w:r>
      <w:proofErr w:type="spellEnd"/>
      <w:r w:rsidRPr="00824F5F">
        <w:rPr>
          <w:bCs/>
          <w:lang w:val="en-US"/>
        </w:rPr>
        <w:t xml:space="preserve"> (with cg1, cg2, and cg3). However, there was no statistically significant difference in the frequency of patients with </w:t>
      </w:r>
      <w:proofErr w:type="spellStart"/>
      <w:r w:rsidRPr="00824F5F">
        <w:rPr>
          <w:bCs/>
          <w:lang w:val="en-US"/>
        </w:rPr>
        <w:t>caAMR</w:t>
      </w:r>
      <w:proofErr w:type="spellEnd"/>
      <w:r w:rsidRPr="00824F5F">
        <w:rPr>
          <w:bCs/>
          <w:lang w:val="en-US"/>
        </w:rPr>
        <w:t>, cg score or chronicity index (</w:t>
      </w:r>
      <w:proofErr w:type="spellStart"/>
      <w:r w:rsidRPr="00824F5F">
        <w:rPr>
          <w:bCs/>
          <w:lang w:val="en-US"/>
        </w:rPr>
        <w:t>ci+ct+cv+cg</w:t>
      </w:r>
      <w:proofErr w:type="spellEnd"/>
      <w:r w:rsidRPr="00824F5F">
        <w:rPr>
          <w:bCs/>
          <w:lang w:val="en-US"/>
        </w:rPr>
        <w:t>*2) between both groups.</w:t>
      </w:r>
    </w:p>
    <w:p w14:paraId="40B68D6A" w14:textId="77777777" w:rsidR="00142F7D" w:rsidRDefault="00142F7D" w:rsidP="00142F7D">
      <w:pPr>
        <w:spacing w:before="240" w:line="480" w:lineRule="auto"/>
        <w:jc w:val="both"/>
        <w:rPr>
          <w:b/>
          <w:lang w:val="en-US"/>
        </w:rPr>
      </w:pPr>
      <w:r w:rsidRPr="00824F5F">
        <w:rPr>
          <w:bCs/>
          <w:lang w:val="en-US"/>
        </w:rPr>
        <w:t xml:space="preserve">Regarding </w:t>
      </w:r>
      <w:proofErr w:type="spellStart"/>
      <w:r w:rsidRPr="00824F5F">
        <w:rPr>
          <w:bCs/>
          <w:lang w:val="en-US"/>
        </w:rPr>
        <w:t>MMDx</w:t>
      </w:r>
      <w:proofErr w:type="spellEnd"/>
      <w:r w:rsidRPr="00824F5F">
        <w:rPr>
          <w:bCs/>
          <w:lang w:val="en-US"/>
        </w:rPr>
        <w:t xml:space="preserve"> rejection phenotypes, AMR biopsies in the intervention group predominantly showed R5 (Fully-developed-ABMR) phenotype (with a median R5 score of 0.75, IQR 0.68-0.91), only few transcripts from the R4 (Early-ABMR) phenotype (median score 0, IQR 0-0.18) with 2 patients with 0.25 and 0.33 R4 score, and almost no transcripts from the R6 (Late-stage-ABMR) phenotype (median 0.02, IQR 0-0.08). The AMR-biopsies in the control group showed more heterogenous </w:t>
      </w:r>
      <w:proofErr w:type="spellStart"/>
      <w:r w:rsidRPr="00824F5F">
        <w:rPr>
          <w:bCs/>
          <w:lang w:val="en-US"/>
        </w:rPr>
        <w:t>MMDx</w:t>
      </w:r>
      <w:proofErr w:type="spellEnd"/>
      <w:r w:rsidRPr="00824F5F">
        <w:rPr>
          <w:bCs/>
          <w:lang w:val="en-US"/>
        </w:rPr>
        <w:t xml:space="preserve"> rejection phenotypes. One patient showed an R4 phenotype (Early-ABMR)</w:t>
      </w:r>
      <w:r>
        <w:rPr>
          <w:bCs/>
          <w:lang w:val="en-US"/>
        </w:rPr>
        <w:t xml:space="preserve"> with an R4 score of 0.82</w:t>
      </w:r>
      <w:r w:rsidRPr="00824F5F">
        <w:rPr>
          <w:bCs/>
          <w:lang w:val="en-US"/>
        </w:rPr>
        <w:t xml:space="preserve">, 2 patients showed an R5 phenotype (Fully-developed ABMR), while one patient showed R6 phenotype (Late ABMR) and another one showed a mixed phenotype between R5 (fully-developed ABMR) and R6 (late ABMR). </w:t>
      </w:r>
      <w:r>
        <w:rPr>
          <w:bCs/>
          <w:lang w:val="en-US"/>
        </w:rPr>
        <w:t xml:space="preserve"> </w:t>
      </w:r>
      <w:r w:rsidRPr="00824F5F">
        <w:rPr>
          <w:bCs/>
          <w:lang w:val="en-US"/>
        </w:rPr>
        <w:t>There were no statistically significant differences between both groups regarding R4 phenotype (Early ABMR) or R6 phenotype (Late ABMR).</w:t>
      </w:r>
      <w:r>
        <w:rPr>
          <w:bCs/>
          <w:lang w:val="en-US"/>
        </w:rPr>
        <w:t xml:space="preserve"> </w:t>
      </w:r>
      <w:r w:rsidRPr="00824F5F">
        <w:rPr>
          <w:bCs/>
          <w:lang w:val="en-US"/>
        </w:rPr>
        <w:t xml:space="preserve">There was no molecular signal for the presence of mixed rejection in AMR-biopsies or any biopsies for which </w:t>
      </w:r>
      <w:proofErr w:type="spellStart"/>
      <w:r w:rsidRPr="00824F5F">
        <w:rPr>
          <w:bCs/>
          <w:lang w:val="en-US"/>
        </w:rPr>
        <w:t>MMDx</w:t>
      </w:r>
      <w:proofErr w:type="spellEnd"/>
      <w:r w:rsidRPr="00824F5F">
        <w:rPr>
          <w:bCs/>
          <w:lang w:val="en-US"/>
        </w:rPr>
        <w:t xml:space="preserve"> analysis was available.</w:t>
      </w:r>
    </w:p>
    <w:p w14:paraId="365BEEFB" w14:textId="377F80E2" w:rsidR="00142F7D" w:rsidRDefault="00142F7D" w:rsidP="00142F7D">
      <w:pPr>
        <w:spacing w:before="240" w:line="480" w:lineRule="auto"/>
        <w:jc w:val="both"/>
        <w:rPr>
          <w:lang w:val="en-US"/>
        </w:rPr>
      </w:pPr>
      <w:r w:rsidRPr="00B05F81">
        <w:rPr>
          <w:b/>
          <w:lang w:val="en-US"/>
        </w:rPr>
        <w:lastRenderedPageBreak/>
        <w:t>Supplemental Item</w:t>
      </w:r>
      <w:r>
        <w:rPr>
          <w:b/>
          <w:lang w:val="en-US"/>
        </w:rPr>
        <w:t xml:space="preserve"> </w:t>
      </w:r>
      <w:r>
        <w:rPr>
          <w:b/>
          <w:lang w:val="en-US"/>
        </w:rPr>
        <w:t>10</w:t>
      </w:r>
      <w:r>
        <w:rPr>
          <w:b/>
          <w:lang w:val="en-US"/>
        </w:rPr>
        <w:t>.</w:t>
      </w:r>
      <w:r>
        <w:rPr>
          <w:lang w:val="en-US"/>
        </w:rPr>
        <w:t xml:space="preserve"> In-depth analysis of cases that were reclassified as AMR or probable AMR according to Banff 2022 classification.</w:t>
      </w:r>
    </w:p>
    <w:p w14:paraId="7FEBD3FE" w14:textId="77777777" w:rsidR="00142F7D" w:rsidRPr="00971502" w:rsidRDefault="00142F7D" w:rsidP="00142F7D">
      <w:pPr>
        <w:spacing w:line="480" w:lineRule="auto"/>
        <w:jc w:val="both"/>
        <w:rPr>
          <w:lang w:val="en-US"/>
        </w:rPr>
      </w:pPr>
      <w:r w:rsidRPr="00971502">
        <w:rPr>
          <w:lang w:val="en-US"/>
        </w:rPr>
        <w:t>After reanalyzing the data according to Banff 2022 classification, one patient has been classified as AMR, who had previously been classified as non-AMR due to the presence of recurrent IgA nephropath</w:t>
      </w:r>
      <w:r>
        <w:rPr>
          <w:lang w:val="en-US"/>
        </w:rPr>
        <w:t>y</w:t>
      </w:r>
      <w:r w:rsidRPr="00971502">
        <w:rPr>
          <w:lang w:val="en-US"/>
        </w:rPr>
        <w:t xml:space="preserve">, and another patient was classified as probable AMR, who had previously been classified as non-AMR due to g1ptc0v0 with </w:t>
      </w:r>
      <w:proofErr w:type="spellStart"/>
      <w:r w:rsidRPr="00971502">
        <w:rPr>
          <w:lang w:val="en-US"/>
        </w:rPr>
        <w:t>MMDx</w:t>
      </w:r>
      <w:proofErr w:type="spellEnd"/>
      <w:r w:rsidRPr="00971502">
        <w:rPr>
          <w:lang w:val="en-US"/>
        </w:rPr>
        <w:t xml:space="preserve"> AMR score of 0.09 (cutoff &gt; 0.2)</w:t>
      </w:r>
      <w:r>
        <w:rPr>
          <w:lang w:val="en-US"/>
        </w:rPr>
        <w:t xml:space="preserve">. </w:t>
      </w:r>
      <w:r w:rsidRPr="00971502">
        <w:rPr>
          <w:lang w:val="en-US"/>
        </w:rPr>
        <w:t xml:space="preserve">In the initial analysis according to Banff 2019, the first patient had g1ptc0C4d0 and minimal mesangial IgA deposition, which is why g1 was not sufficient to allow for a diagnosis of AMR despite the presence of increased AMR transcripts in </w:t>
      </w:r>
      <w:proofErr w:type="spellStart"/>
      <w:r w:rsidRPr="00971502">
        <w:rPr>
          <w:lang w:val="en-US"/>
        </w:rPr>
        <w:t>MMDx</w:t>
      </w:r>
      <w:proofErr w:type="spellEnd"/>
      <w:r w:rsidRPr="00971502">
        <w:rPr>
          <w:lang w:val="en-US"/>
        </w:rPr>
        <w:t>. In the Banff 2022 classification, the patient still did not fulfill the MVI criterion (</w:t>
      </w:r>
      <w:proofErr w:type="spellStart"/>
      <w:r w:rsidRPr="00971502">
        <w:rPr>
          <w:lang w:val="en-US"/>
        </w:rPr>
        <w:t>g+ptc</w:t>
      </w:r>
      <w:proofErr w:type="spellEnd"/>
      <w:r w:rsidRPr="00971502">
        <w:rPr>
          <w:lang w:val="en-US"/>
        </w:rPr>
        <w:t xml:space="preserve"> </w:t>
      </w:r>
      <w:r>
        <w:rPr>
          <w:lang w:val="en-US"/>
        </w:rPr>
        <w:t>≥</w:t>
      </w:r>
      <w:r w:rsidRPr="00971502">
        <w:rPr>
          <w:lang w:val="en-US"/>
        </w:rPr>
        <w:t xml:space="preserve">2), but due to presence of </w:t>
      </w:r>
      <w:r>
        <w:rPr>
          <w:lang w:val="en-US"/>
        </w:rPr>
        <w:t>dn</w:t>
      </w:r>
      <w:r w:rsidRPr="00971502">
        <w:rPr>
          <w:lang w:val="en-US"/>
        </w:rPr>
        <w:t xml:space="preserve">DSA and increased AMR transcripts, a diagnosis of AMR </w:t>
      </w:r>
      <w:r>
        <w:rPr>
          <w:lang w:val="en-US"/>
        </w:rPr>
        <w:t>was</w:t>
      </w:r>
      <w:r w:rsidRPr="00971502">
        <w:rPr>
          <w:lang w:val="en-US"/>
        </w:rPr>
        <w:t xml:space="preserve"> made.</w:t>
      </w:r>
      <w:r>
        <w:rPr>
          <w:lang w:val="en-US"/>
        </w:rPr>
        <w:t xml:space="preserve"> </w:t>
      </w:r>
      <w:r w:rsidRPr="00971502">
        <w:rPr>
          <w:lang w:val="en-US"/>
        </w:rPr>
        <w:t>This patient was in the control group and underwent protocol biopsy 14.2 months after baseline. Dd-</w:t>
      </w:r>
      <w:proofErr w:type="spellStart"/>
      <w:r w:rsidRPr="00971502">
        <w:rPr>
          <w:lang w:val="en-US"/>
        </w:rPr>
        <w:t>cfDNA</w:t>
      </w:r>
      <w:proofErr w:type="spellEnd"/>
      <w:r w:rsidRPr="00971502">
        <w:rPr>
          <w:lang w:val="en-US"/>
        </w:rPr>
        <w:t xml:space="preserve"> was undulating around the cutoff of 50 copies/mL and </w:t>
      </w:r>
      <w:r>
        <w:rPr>
          <w:lang w:val="en-US"/>
        </w:rPr>
        <w:t>one</w:t>
      </w:r>
      <w:r w:rsidRPr="00971502">
        <w:rPr>
          <w:lang w:val="en-US"/>
        </w:rPr>
        <w:t xml:space="preserve"> measurement was above the cutoff</w:t>
      </w:r>
      <w:r>
        <w:rPr>
          <w:lang w:val="en-US"/>
        </w:rPr>
        <w:t xml:space="preserve"> (57 copies/mL)</w:t>
      </w:r>
      <w:r w:rsidRPr="00971502">
        <w:rPr>
          <w:lang w:val="en-US"/>
        </w:rPr>
        <w:t>.</w:t>
      </w:r>
      <w:r>
        <w:rPr>
          <w:lang w:val="en-US"/>
        </w:rPr>
        <w:t xml:space="preserve"> </w:t>
      </w:r>
      <w:r w:rsidRPr="00971502">
        <w:rPr>
          <w:lang w:val="en-US"/>
        </w:rPr>
        <w:t xml:space="preserve">The second patient, who was classified as probable AMR </w:t>
      </w:r>
      <w:r>
        <w:rPr>
          <w:lang w:val="en-US"/>
        </w:rPr>
        <w:t xml:space="preserve">according to Banff 2022 classification </w:t>
      </w:r>
      <w:r w:rsidRPr="00971502">
        <w:rPr>
          <w:lang w:val="en-US"/>
        </w:rPr>
        <w:t>due to DSA+, but MVI score and AMR transcripts below threshold, was in the intervention group and underwent dd-</w:t>
      </w:r>
      <w:proofErr w:type="spellStart"/>
      <w:r w:rsidRPr="00971502">
        <w:rPr>
          <w:lang w:val="en-US"/>
        </w:rPr>
        <w:t>cfDNA</w:t>
      </w:r>
      <w:proofErr w:type="spellEnd"/>
      <w:r w:rsidRPr="00971502">
        <w:rPr>
          <w:lang w:val="en-US"/>
        </w:rPr>
        <w:t xml:space="preserve"> guided biopsy at 5.7 months after baseline. Dd-</w:t>
      </w:r>
      <w:proofErr w:type="spellStart"/>
      <w:r w:rsidRPr="00971502">
        <w:rPr>
          <w:lang w:val="en-US"/>
        </w:rPr>
        <w:t>cfDNA</w:t>
      </w:r>
      <w:proofErr w:type="spellEnd"/>
      <w:r w:rsidRPr="00971502">
        <w:rPr>
          <w:lang w:val="en-US"/>
        </w:rPr>
        <w:t xml:space="preserve"> increased to 67 copies/mL once</w:t>
      </w:r>
      <w:r>
        <w:rPr>
          <w:lang w:val="en-US"/>
        </w:rPr>
        <w:t xml:space="preserve"> before biopsy</w:t>
      </w:r>
      <w:r w:rsidRPr="00971502">
        <w:rPr>
          <w:lang w:val="en-US"/>
        </w:rPr>
        <w:t xml:space="preserve">, but </w:t>
      </w:r>
      <w:r>
        <w:rPr>
          <w:lang w:val="en-US"/>
        </w:rPr>
        <w:t>afterwards</w:t>
      </w:r>
      <w:r w:rsidRPr="00971502">
        <w:rPr>
          <w:lang w:val="en-US"/>
        </w:rPr>
        <w:t xml:space="preserve"> decreased spontaneously to normal values.</w:t>
      </w:r>
    </w:p>
    <w:p w14:paraId="0EE51734" w14:textId="77777777" w:rsidR="006562B6" w:rsidRPr="003520D7" w:rsidRDefault="006562B6" w:rsidP="006562B6">
      <w:pPr>
        <w:spacing w:line="480" w:lineRule="auto"/>
        <w:jc w:val="both"/>
        <w:rPr>
          <w:lang w:val="en-US"/>
        </w:rPr>
      </w:pPr>
    </w:p>
    <w:p w14:paraId="7005F96B" w14:textId="77777777" w:rsidR="00142F7D" w:rsidRDefault="00142F7D" w:rsidP="00142F7D">
      <w:pPr>
        <w:spacing w:line="480" w:lineRule="auto"/>
        <w:jc w:val="both"/>
        <w:rPr>
          <w:lang w:val="en-US"/>
        </w:rPr>
      </w:pPr>
    </w:p>
    <w:p w14:paraId="303E5F0E" w14:textId="77777777" w:rsidR="00142F7D" w:rsidRDefault="00142F7D" w:rsidP="00142F7D">
      <w:pPr>
        <w:spacing w:line="480" w:lineRule="auto"/>
        <w:jc w:val="both"/>
        <w:rPr>
          <w:b/>
          <w:lang w:val="en-US"/>
        </w:rPr>
      </w:pPr>
      <w:r w:rsidRPr="00DC68C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Pr="00DC68C0">
        <w:rPr>
          <w:b/>
          <w:noProof/>
          <w:lang w:val="de-DE"/>
        </w:rPr>
        <w:drawing>
          <wp:inline distT="0" distB="0" distL="0" distR="0" wp14:anchorId="413213A8" wp14:editId="3928F8CF">
            <wp:extent cx="5760720" cy="4958953"/>
            <wp:effectExtent l="0" t="0" r="0" b="0"/>
            <wp:docPr id="2" name="Grafik 2" descr="E:\ddcfDNA\RCT Docs\Auswertung\ddcfDNA_abs_nobiopsy_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dcfDNA\RCT Docs\Auswertung\ddcfDNA_abs_nobiopsy_com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958953"/>
                    </a:xfrm>
                    <a:prstGeom prst="rect">
                      <a:avLst/>
                    </a:prstGeom>
                    <a:noFill/>
                    <a:ln>
                      <a:noFill/>
                    </a:ln>
                  </pic:spPr>
                </pic:pic>
              </a:graphicData>
            </a:graphic>
          </wp:inline>
        </w:drawing>
      </w:r>
    </w:p>
    <w:p w14:paraId="63D16630" w14:textId="77777777" w:rsidR="00142F7D" w:rsidRPr="00A2593F" w:rsidRDefault="00142F7D" w:rsidP="00142F7D">
      <w:pPr>
        <w:spacing w:line="480" w:lineRule="auto"/>
        <w:jc w:val="both"/>
        <w:rPr>
          <w:lang w:val="en-US"/>
        </w:rPr>
      </w:pPr>
      <w:r w:rsidRPr="001E1A15">
        <w:rPr>
          <w:b/>
          <w:lang w:val="en-US"/>
        </w:rPr>
        <w:t xml:space="preserve">Supplemental Figure </w:t>
      </w:r>
      <w:r>
        <w:rPr>
          <w:b/>
          <w:lang w:val="en-US"/>
        </w:rPr>
        <w:t xml:space="preserve">1. </w:t>
      </w:r>
      <w:r w:rsidRPr="00DB29D2">
        <w:rPr>
          <w:lang w:val="en-US"/>
        </w:rPr>
        <w:t xml:space="preserve">Absolute donor-derived cell-free DNA in </w:t>
      </w:r>
      <w:r>
        <w:rPr>
          <w:lang w:val="en-US"/>
        </w:rPr>
        <w:t xml:space="preserve">14 </w:t>
      </w:r>
      <w:r w:rsidRPr="00DB29D2">
        <w:rPr>
          <w:lang w:val="en-US"/>
        </w:rPr>
        <w:t>patients</w:t>
      </w:r>
      <w:r>
        <w:rPr>
          <w:lang w:val="en-US"/>
        </w:rPr>
        <w:t xml:space="preserve"> without kidney biopsy</w:t>
      </w:r>
      <w:r w:rsidRPr="00DB29D2">
        <w:rPr>
          <w:lang w:val="en-US"/>
        </w:rPr>
        <w:t>.</w:t>
      </w:r>
      <w:r>
        <w:rPr>
          <w:lang w:val="en-US"/>
        </w:rPr>
        <w:t xml:space="preserve"> Four patients had increased dd-</w:t>
      </w:r>
      <w:proofErr w:type="spellStart"/>
      <w:r>
        <w:rPr>
          <w:lang w:val="en-US"/>
        </w:rPr>
        <w:t>cfDNA</w:t>
      </w:r>
      <w:proofErr w:type="spellEnd"/>
      <w:r>
        <w:rPr>
          <w:lang w:val="en-US"/>
        </w:rPr>
        <w:t>, one of which died before study completion. The remaining three patients refused protocol biopsy despite increased dd-</w:t>
      </w:r>
      <w:proofErr w:type="spellStart"/>
      <w:r>
        <w:rPr>
          <w:lang w:val="en-US"/>
        </w:rPr>
        <w:t>cfDNA</w:t>
      </w:r>
      <w:proofErr w:type="spellEnd"/>
      <w:r>
        <w:rPr>
          <w:lang w:val="en-US"/>
        </w:rPr>
        <w:t xml:space="preserve"> indicating AMR.</w:t>
      </w:r>
    </w:p>
    <w:p w14:paraId="734A31ED" w14:textId="77777777" w:rsidR="00142F7D" w:rsidRPr="001E1A15" w:rsidRDefault="00142F7D" w:rsidP="00142F7D">
      <w:pPr>
        <w:spacing w:before="240" w:after="240" w:line="480" w:lineRule="auto"/>
        <w:jc w:val="both"/>
        <w:rPr>
          <w:b/>
          <w:color w:val="212121"/>
          <w:highlight w:val="white"/>
          <w:lang w:val="en-US"/>
        </w:rPr>
      </w:pPr>
    </w:p>
    <w:p w14:paraId="006A3FEC" w14:textId="77777777" w:rsidR="00142F7D" w:rsidRPr="00722B17" w:rsidRDefault="00142F7D" w:rsidP="00142F7D">
      <w:pPr>
        <w:spacing w:line="480" w:lineRule="auto"/>
        <w:rPr>
          <w:lang w:val="en-US"/>
        </w:rPr>
      </w:pPr>
      <w:r w:rsidRPr="00A9465B">
        <w:rPr>
          <w:noProof/>
          <w:lang w:val="de-DE"/>
        </w:rPr>
        <w:lastRenderedPageBreak/>
        <w:drawing>
          <wp:inline distT="0" distB="0" distL="0" distR="0" wp14:anchorId="73DE02CD" wp14:editId="271E5801">
            <wp:extent cx="5063490" cy="7177405"/>
            <wp:effectExtent l="0" t="0" r="3810" b="4445"/>
            <wp:docPr id="4" name="Grafik 4" descr="S:\C13\MNP\#Public\ddcfDNA\RCT Docs\Paper\NDT-Submission\Figure-S2-A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13\MNP\#Public\ddcfDNA\RCT Docs\Paper\NDT-Submission\Figure-S2-AM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3490" cy="7177405"/>
                    </a:xfrm>
                    <a:prstGeom prst="rect">
                      <a:avLst/>
                    </a:prstGeom>
                    <a:noFill/>
                    <a:ln>
                      <a:noFill/>
                    </a:ln>
                  </pic:spPr>
                </pic:pic>
              </a:graphicData>
            </a:graphic>
          </wp:inline>
        </w:drawing>
      </w:r>
    </w:p>
    <w:p w14:paraId="0722E6BA" w14:textId="77777777" w:rsidR="00142F7D" w:rsidRDefault="00142F7D" w:rsidP="00142F7D">
      <w:pPr>
        <w:spacing w:line="480" w:lineRule="auto"/>
        <w:jc w:val="both"/>
        <w:rPr>
          <w:rFonts w:eastAsia="Arial Unicode MS"/>
          <w:lang w:val="en-US"/>
        </w:rPr>
      </w:pPr>
      <w:r>
        <w:rPr>
          <w:b/>
          <w:lang w:val="en-US"/>
        </w:rPr>
        <w:t xml:space="preserve">Supplemental Figure 2. </w:t>
      </w:r>
      <w:r w:rsidRPr="001E1A15">
        <w:rPr>
          <w:lang w:val="en-US"/>
        </w:rPr>
        <w:t xml:space="preserve">Absolute donor-derived cell-free DNA in </w:t>
      </w:r>
      <w:r w:rsidRPr="001E1A15">
        <w:rPr>
          <w:b/>
          <w:lang w:val="en-US"/>
        </w:rPr>
        <w:t>A</w:t>
      </w:r>
      <w:r>
        <w:rPr>
          <w:b/>
          <w:lang w:val="en-US"/>
        </w:rPr>
        <w:t>)</w:t>
      </w:r>
      <w:r w:rsidRPr="001E1A15">
        <w:rPr>
          <w:b/>
          <w:lang w:val="en-US"/>
        </w:rPr>
        <w:t xml:space="preserve"> </w:t>
      </w:r>
      <w:r w:rsidRPr="001E1A15">
        <w:rPr>
          <w:lang w:val="en-US"/>
        </w:rPr>
        <w:t xml:space="preserve">patients with biopsy-proven </w:t>
      </w:r>
      <w:r>
        <w:rPr>
          <w:lang w:val="en-US"/>
        </w:rPr>
        <w:t>AMR</w:t>
      </w:r>
      <w:r w:rsidRPr="001E1A15">
        <w:rPr>
          <w:lang w:val="en-US"/>
        </w:rPr>
        <w:t xml:space="preserve">, grouped by the time since first DSA occurrence </w:t>
      </w:r>
      <w:r w:rsidRPr="001E1A15">
        <w:rPr>
          <w:rFonts w:eastAsia="Arial Unicode MS"/>
          <w:lang w:val="en-US"/>
        </w:rPr>
        <w:t>according to the strata used for randomization (0-24 months vs. ≥ 25 months)</w:t>
      </w:r>
      <w:r>
        <w:rPr>
          <w:rFonts w:eastAsia="Arial Unicode MS"/>
          <w:lang w:val="en-US"/>
        </w:rPr>
        <w:t>.</w:t>
      </w:r>
      <w:r w:rsidRPr="001E1A15">
        <w:rPr>
          <w:rFonts w:eastAsia="Arial Unicode MS"/>
          <w:lang w:val="en-US"/>
        </w:rPr>
        <w:t xml:space="preserve"> </w:t>
      </w:r>
      <w:r w:rsidRPr="001E1A15">
        <w:rPr>
          <w:rFonts w:eastAsia="Arial Unicode MS"/>
          <w:b/>
          <w:lang w:val="en-US"/>
        </w:rPr>
        <w:t xml:space="preserve">B) </w:t>
      </w:r>
      <w:r>
        <w:rPr>
          <w:lang w:val="en-US"/>
        </w:rPr>
        <w:t>p</w:t>
      </w:r>
      <w:r w:rsidRPr="001E1A15">
        <w:rPr>
          <w:lang w:val="en-US"/>
        </w:rPr>
        <w:t>atients with non-</w:t>
      </w:r>
      <w:r>
        <w:rPr>
          <w:lang w:val="en-US"/>
        </w:rPr>
        <w:t>AMR</w:t>
      </w:r>
      <w:r w:rsidRPr="001E1A15">
        <w:rPr>
          <w:lang w:val="en-US"/>
        </w:rPr>
        <w:t xml:space="preserve"> histopathological diagnosis, grouped by the time since first DSA occurrence </w:t>
      </w:r>
      <w:r w:rsidRPr="001E1A15">
        <w:rPr>
          <w:rFonts w:eastAsia="Arial Unicode MS"/>
          <w:lang w:val="en-US"/>
        </w:rPr>
        <w:t>according to the strata used for randomization (0-24 months vs. ≥ 25 months)</w:t>
      </w:r>
    </w:p>
    <w:p w14:paraId="60FA2491" w14:textId="77777777" w:rsidR="00142F7D" w:rsidRPr="001E1A15" w:rsidRDefault="00142F7D" w:rsidP="00142F7D">
      <w:pPr>
        <w:spacing w:line="480" w:lineRule="auto"/>
      </w:pPr>
      <w:r w:rsidRPr="00A9465B">
        <w:rPr>
          <w:noProof/>
          <w:lang w:val="de-DE"/>
        </w:rPr>
        <w:lastRenderedPageBreak/>
        <w:drawing>
          <wp:inline distT="0" distB="0" distL="0" distR="0" wp14:anchorId="5222D6A2" wp14:editId="1D90EE81">
            <wp:extent cx="5391150" cy="7399099"/>
            <wp:effectExtent l="0" t="0" r="0" b="0"/>
            <wp:docPr id="5" name="Grafik 5" descr="S:\C13\MNP\#Public\ddcfDNA\RCT Docs\Paper\NDT-Submission\Figure-S3-A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13\MNP\#Public\ddcfDNA\RCT Docs\Paper\NDT-Submission\Figure-S3-AMR.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11" b="995"/>
                    <a:stretch/>
                  </pic:blipFill>
                  <pic:spPr bwMode="auto">
                    <a:xfrm>
                      <a:off x="0" y="0"/>
                      <a:ext cx="5395195" cy="7404651"/>
                    </a:xfrm>
                    <a:prstGeom prst="rect">
                      <a:avLst/>
                    </a:prstGeom>
                    <a:noFill/>
                    <a:ln>
                      <a:noFill/>
                    </a:ln>
                    <a:extLst>
                      <a:ext uri="{53640926-AAD7-44D8-BBD7-CCE9431645EC}">
                        <a14:shadowObscured xmlns:a14="http://schemas.microsoft.com/office/drawing/2010/main"/>
                      </a:ext>
                    </a:extLst>
                  </pic:spPr>
                </pic:pic>
              </a:graphicData>
            </a:graphic>
          </wp:inline>
        </w:drawing>
      </w:r>
    </w:p>
    <w:p w14:paraId="7759C074" w14:textId="77777777" w:rsidR="00142F7D" w:rsidRDefault="00142F7D" w:rsidP="00142F7D">
      <w:pPr>
        <w:spacing w:line="480" w:lineRule="auto"/>
        <w:jc w:val="both"/>
        <w:rPr>
          <w:rFonts w:eastAsia="Arial Unicode MS"/>
          <w:lang w:val="en-US"/>
        </w:rPr>
      </w:pPr>
      <w:r>
        <w:rPr>
          <w:b/>
          <w:lang w:val="en-US"/>
        </w:rPr>
        <w:t>Supplemental Figure 3</w:t>
      </w:r>
      <w:r w:rsidRPr="001E1A15">
        <w:rPr>
          <w:b/>
          <w:lang w:val="en-US"/>
        </w:rPr>
        <w:t xml:space="preserve">. </w:t>
      </w:r>
      <w:r>
        <w:rPr>
          <w:lang w:val="en-US"/>
        </w:rPr>
        <w:t>Relative</w:t>
      </w:r>
      <w:r w:rsidRPr="001E1A15">
        <w:rPr>
          <w:lang w:val="en-US"/>
        </w:rPr>
        <w:t xml:space="preserve"> donor-derived cell-free DNA in </w:t>
      </w:r>
      <w:r w:rsidRPr="001E1A15">
        <w:rPr>
          <w:b/>
          <w:lang w:val="en-US"/>
        </w:rPr>
        <w:t>A</w:t>
      </w:r>
      <w:r>
        <w:rPr>
          <w:b/>
          <w:lang w:val="en-US"/>
        </w:rPr>
        <w:t>)</w:t>
      </w:r>
      <w:r w:rsidRPr="001E1A15">
        <w:rPr>
          <w:b/>
          <w:lang w:val="en-US"/>
        </w:rPr>
        <w:t xml:space="preserve"> </w:t>
      </w:r>
      <w:r w:rsidRPr="001E1A15">
        <w:rPr>
          <w:lang w:val="en-US"/>
        </w:rPr>
        <w:t xml:space="preserve">patients with biopsy-proven </w:t>
      </w:r>
      <w:r>
        <w:rPr>
          <w:lang w:val="en-US"/>
        </w:rPr>
        <w:t>AMR</w:t>
      </w:r>
      <w:r w:rsidRPr="001E1A15">
        <w:rPr>
          <w:lang w:val="en-US"/>
        </w:rPr>
        <w:t xml:space="preserve">, grouped by the time since first DSA occurrence </w:t>
      </w:r>
      <w:r w:rsidRPr="001E1A15">
        <w:rPr>
          <w:rFonts w:eastAsia="Arial Unicode MS"/>
          <w:lang w:val="en-US"/>
        </w:rPr>
        <w:t>according to the strata used for randomization (0-24 months vs. ≥ 25 months)</w:t>
      </w:r>
      <w:r>
        <w:rPr>
          <w:rFonts w:eastAsia="Arial Unicode MS"/>
          <w:lang w:val="en-US"/>
        </w:rPr>
        <w:t>.</w:t>
      </w:r>
      <w:r w:rsidRPr="001E1A15">
        <w:rPr>
          <w:rFonts w:eastAsia="Arial Unicode MS"/>
          <w:lang w:val="en-US"/>
        </w:rPr>
        <w:t xml:space="preserve"> </w:t>
      </w:r>
      <w:r w:rsidRPr="001E1A15">
        <w:rPr>
          <w:rFonts w:eastAsia="Arial Unicode MS"/>
          <w:b/>
          <w:lang w:val="en-US"/>
        </w:rPr>
        <w:t xml:space="preserve">B) </w:t>
      </w:r>
      <w:r>
        <w:rPr>
          <w:lang w:val="en-US"/>
        </w:rPr>
        <w:t>p</w:t>
      </w:r>
      <w:r w:rsidRPr="001E1A15">
        <w:rPr>
          <w:lang w:val="en-US"/>
        </w:rPr>
        <w:t>atients with non-</w:t>
      </w:r>
      <w:r>
        <w:rPr>
          <w:lang w:val="en-US"/>
        </w:rPr>
        <w:t>AMR</w:t>
      </w:r>
      <w:r w:rsidRPr="001E1A15">
        <w:rPr>
          <w:lang w:val="en-US"/>
        </w:rPr>
        <w:t xml:space="preserve"> histopathological diagnosis, grouped by the time since first DSA occurrence </w:t>
      </w:r>
      <w:r w:rsidRPr="001E1A15">
        <w:rPr>
          <w:rFonts w:eastAsia="Arial Unicode MS"/>
          <w:lang w:val="en-US"/>
        </w:rPr>
        <w:t>according to the strata used for randomization (0-24 months vs. ≥ 25 months)</w:t>
      </w:r>
    </w:p>
    <w:p w14:paraId="49390858" w14:textId="77777777" w:rsidR="00142F7D" w:rsidRDefault="00142F7D" w:rsidP="00142F7D">
      <w:pPr>
        <w:spacing w:line="480" w:lineRule="auto"/>
        <w:jc w:val="both"/>
        <w:rPr>
          <w:rFonts w:eastAsia="Arial Unicode MS"/>
          <w:lang w:val="en-US"/>
        </w:rPr>
      </w:pPr>
      <w:r>
        <w:rPr>
          <w:noProof/>
        </w:rPr>
        <w:lastRenderedPageBreak/>
        <w:drawing>
          <wp:inline distT="0" distB="0" distL="0" distR="0" wp14:anchorId="5C1A82AF" wp14:editId="001459C8">
            <wp:extent cx="5760720" cy="7444740"/>
            <wp:effectExtent l="0" t="0" r="0" b="3810"/>
            <wp:docPr id="2127932958" name="Grafik 1" descr="Ein Bild, das Text, Diagramm, paralle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32958" name="Grafik 1" descr="Ein Bild, das Text, Diagramm, parallel, Screensho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444740"/>
                    </a:xfrm>
                    <a:prstGeom prst="rect">
                      <a:avLst/>
                    </a:prstGeom>
                    <a:noFill/>
                    <a:ln>
                      <a:noFill/>
                    </a:ln>
                  </pic:spPr>
                </pic:pic>
              </a:graphicData>
            </a:graphic>
          </wp:inline>
        </w:drawing>
      </w:r>
    </w:p>
    <w:p w14:paraId="2C01E885" w14:textId="510E19AE" w:rsidR="00142F7D" w:rsidRPr="004C24B3" w:rsidRDefault="00142F7D" w:rsidP="00142F7D">
      <w:pPr>
        <w:spacing w:line="480" w:lineRule="auto"/>
        <w:jc w:val="both"/>
        <w:rPr>
          <w:rFonts w:eastAsia="Arial Unicode MS"/>
          <w:b/>
          <w:lang w:val="en-US"/>
        </w:rPr>
      </w:pPr>
      <w:r w:rsidRPr="004C24B3">
        <w:rPr>
          <w:rFonts w:eastAsia="Arial Unicode MS"/>
          <w:b/>
          <w:lang w:val="en-US"/>
        </w:rPr>
        <w:t>Supplemental Figure 4</w:t>
      </w:r>
      <w:r>
        <w:rPr>
          <w:rFonts w:eastAsia="Arial Unicode MS"/>
          <w:b/>
          <w:lang w:val="en-US"/>
        </w:rPr>
        <w:t xml:space="preserve">. </w:t>
      </w:r>
      <w:r w:rsidRPr="004C24B3">
        <w:rPr>
          <w:rFonts w:eastAsia="Arial Unicode MS"/>
          <w:lang w:val="en-US"/>
        </w:rPr>
        <w:t>Pearson correlation of log transformed mean absolute dd-</w:t>
      </w:r>
      <w:proofErr w:type="spellStart"/>
      <w:r w:rsidRPr="004C24B3">
        <w:rPr>
          <w:rFonts w:eastAsia="Arial Unicode MS"/>
          <w:lang w:val="en-US"/>
        </w:rPr>
        <w:t>cfDNA</w:t>
      </w:r>
      <w:proofErr w:type="spellEnd"/>
      <w:r>
        <w:rPr>
          <w:rFonts w:eastAsia="Arial Unicode MS"/>
          <w:lang w:val="en-US"/>
        </w:rPr>
        <w:t xml:space="preserve"> with different molecular scores</w:t>
      </w:r>
      <w:r w:rsidR="000D3B71">
        <w:rPr>
          <w:rFonts w:eastAsia="Arial Unicode MS"/>
          <w:lang w:val="en-US"/>
        </w:rPr>
        <w:t xml:space="preserve"> in </w:t>
      </w:r>
      <w:proofErr w:type="spellStart"/>
      <w:r w:rsidR="000D3B71">
        <w:rPr>
          <w:rFonts w:eastAsia="Arial Unicode MS"/>
          <w:lang w:val="en-US"/>
        </w:rPr>
        <w:t>MMDx</w:t>
      </w:r>
      <w:proofErr w:type="spellEnd"/>
      <w:r>
        <w:rPr>
          <w:rFonts w:eastAsia="Arial Unicode MS"/>
          <w:lang w:val="en-US"/>
        </w:rPr>
        <w:t xml:space="preserve">: A) total rejection score, B) inflammation score, C) acute kidney injury (AKI) or </w:t>
      </w:r>
      <w:r w:rsidRPr="0049624C">
        <w:rPr>
          <w:lang w:val="en-US"/>
        </w:rPr>
        <w:t>injury-repair response–associated transcripts</w:t>
      </w:r>
      <w:r>
        <w:rPr>
          <w:lang w:val="en-US"/>
        </w:rPr>
        <w:t xml:space="preserve"> (IRRAT) score, D) fibrosis score, E) T cell mediated rejection (TCMR) score.</w:t>
      </w:r>
    </w:p>
    <w:p w14:paraId="6041F3E8" w14:textId="77777777" w:rsidR="00142F7D" w:rsidRDefault="00142F7D" w:rsidP="00142F7D">
      <w:pPr>
        <w:spacing w:line="480" w:lineRule="auto"/>
        <w:jc w:val="both"/>
        <w:rPr>
          <w:rFonts w:eastAsia="Arial Unicode MS"/>
          <w:lang w:val="en-US"/>
        </w:rPr>
      </w:pPr>
    </w:p>
    <w:p w14:paraId="5D36F0F5" w14:textId="77777777" w:rsidR="00142F7D" w:rsidRPr="00346A4E" w:rsidRDefault="00142F7D" w:rsidP="00142F7D">
      <w:pPr>
        <w:spacing w:line="480" w:lineRule="auto"/>
        <w:rPr>
          <w:rFonts w:eastAsia="Times New Roman"/>
          <w:lang w:val="en-US"/>
        </w:rPr>
      </w:pPr>
      <w:r w:rsidRPr="00346A4E">
        <w:rPr>
          <w:rFonts w:eastAsia="Times New Roman"/>
          <w:b/>
          <w:lang w:val="en-US"/>
        </w:rPr>
        <w:lastRenderedPageBreak/>
        <w:t xml:space="preserve">Supplemental Table </w:t>
      </w:r>
      <w:r>
        <w:rPr>
          <w:rFonts w:eastAsia="Times New Roman"/>
          <w:b/>
          <w:lang w:val="en-US"/>
        </w:rPr>
        <w:t>1</w:t>
      </w:r>
      <w:r w:rsidRPr="00346A4E">
        <w:rPr>
          <w:rFonts w:eastAsia="Times New Roman"/>
          <w:b/>
          <w:lang w:val="en-US"/>
        </w:rPr>
        <w:t>.</w:t>
      </w:r>
      <w:r>
        <w:rPr>
          <w:rFonts w:eastAsia="Times New Roman"/>
          <w:lang w:val="en-US"/>
        </w:rPr>
        <w:t xml:space="preserve"> Follow-up data from patients with biopsy-proven antibody-mediated rejection (AMR) during the study period including treatments and key clinical and laboratory outcomes. IVIG, intravenous immunoglobulins; PLEX, plasma exchange; eGFR, estimated glomerular filtration rate; IQR, interquartile range; </w:t>
      </w:r>
      <w:proofErr w:type="spellStart"/>
      <w:r>
        <w:rPr>
          <w:rFonts w:eastAsia="Times New Roman"/>
          <w:lang w:val="en-US"/>
        </w:rPr>
        <w:t>uACR</w:t>
      </w:r>
      <w:proofErr w:type="spellEnd"/>
      <w:r>
        <w:rPr>
          <w:rFonts w:eastAsia="Times New Roman"/>
          <w:lang w:val="en-US"/>
        </w:rPr>
        <w:t>, urinary albumin creatinine ratio; MFI, mean fluorescence intensity.</w:t>
      </w:r>
    </w:p>
    <w:tbl>
      <w:tblPr>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410"/>
        <w:gridCol w:w="2268"/>
        <w:gridCol w:w="1276"/>
      </w:tblGrid>
      <w:tr w:rsidR="00142F7D" w:rsidRPr="00EB3C56" w14:paraId="42A021EC" w14:textId="77777777" w:rsidTr="00E03A07">
        <w:tc>
          <w:tcPr>
            <w:tcW w:w="2967" w:type="dxa"/>
            <w:shd w:val="clear" w:color="auto" w:fill="auto"/>
            <w:tcMar>
              <w:top w:w="100" w:type="dxa"/>
              <w:left w:w="100" w:type="dxa"/>
              <w:bottom w:w="100" w:type="dxa"/>
              <w:right w:w="100" w:type="dxa"/>
            </w:tcMar>
          </w:tcPr>
          <w:p w14:paraId="1FC6D381" w14:textId="77777777" w:rsidR="00142F7D" w:rsidRPr="00DE4CBA" w:rsidRDefault="00142F7D" w:rsidP="00E03A07">
            <w:pPr>
              <w:widowControl w:val="0"/>
              <w:pBdr>
                <w:top w:val="nil"/>
                <w:left w:val="nil"/>
                <w:bottom w:val="nil"/>
                <w:right w:val="nil"/>
                <w:between w:val="nil"/>
              </w:pBdr>
              <w:rPr>
                <w:b/>
                <w:lang w:val="en-US"/>
              </w:rPr>
            </w:pPr>
          </w:p>
        </w:tc>
        <w:tc>
          <w:tcPr>
            <w:tcW w:w="2410" w:type="dxa"/>
            <w:shd w:val="clear" w:color="auto" w:fill="auto"/>
            <w:tcMar>
              <w:top w:w="100" w:type="dxa"/>
              <w:left w:w="100" w:type="dxa"/>
              <w:bottom w:w="100" w:type="dxa"/>
              <w:right w:w="100" w:type="dxa"/>
            </w:tcMar>
          </w:tcPr>
          <w:p w14:paraId="29ACAFF1" w14:textId="77777777" w:rsidR="00142F7D" w:rsidRPr="007053E1" w:rsidRDefault="00142F7D" w:rsidP="00E03A07">
            <w:pPr>
              <w:widowControl w:val="0"/>
              <w:pBdr>
                <w:top w:val="nil"/>
                <w:left w:val="nil"/>
                <w:bottom w:val="nil"/>
                <w:right w:val="nil"/>
                <w:between w:val="nil"/>
              </w:pBdr>
              <w:rPr>
                <w:b/>
                <w:lang w:val="en-US"/>
              </w:rPr>
            </w:pPr>
            <w:r w:rsidRPr="007053E1">
              <w:rPr>
                <w:b/>
                <w:lang w:val="en-US"/>
              </w:rPr>
              <w:t>Intervention group with AMR</w:t>
            </w:r>
          </w:p>
        </w:tc>
        <w:tc>
          <w:tcPr>
            <w:tcW w:w="2268" w:type="dxa"/>
            <w:shd w:val="clear" w:color="auto" w:fill="auto"/>
            <w:tcMar>
              <w:top w:w="100" w:type="dxa"/>
              <w:left w:w="100" w:type="dxa"/>
              <w:bottom w:w="100" w:type="dxa"/>
              <w:right w:w="100" w:type="dxa"/>
            </w:tcMar>
          </w:tcPr>
          <w:p w14:paraId="60E66D3E" w14:textId="77777777" w:rsidR="00142F7D" w:rsidRPr="007053E1" w:rsidRDefault="00142F7D" w:rsidP="00E03A07">
            <w:pPr>
              <w:widowControl w:val="0"/>
              <w:rPr>
                <w:b/>
                <w:lang w:val="en-US"/>
              </w:rPr>
            </w:pPr>
            <w:r w:rsidRPr="007053E1">
              <w:rPr>
                <w:b/>
                <w:lang w:val="en-US"/>
              </w:rPr>
              <w:t>Control group with AMR</w:t>
            </w:r>
          </w:p>
        </w:tc>
        <w:tc>
          <w:tcPr>
            <w:tcW w:w="1276" w:type="dxa"/>
            <w:shd w:val="clear" w:color="auto" w:fill="auto"/>
            <w:tcMar>
              <w:top w:w="100" w:type="dxa"/>
              <w:left w:w="100" w:type="dxa"/>
              <w:bottom w:w="100" w:type="dxa"/>
              <w:right w:w="100" w:type="dxa"/>
            </w:tcMar>
          </w:tcPr>
          <w:p w14:paraId="02F9C250" w14:textId="77777777" w:rsidR="00142F7D" w:rsidRPr="007053E1" w:rsidRDefault="00142F7D" w:rsidP="00E03A07">
            <w:pPr>
              <w:widowControl w:val="0"/>
              <w:rPr>
                <w:b/>
                <w:lang w:val="en-US"/>
              </w:rPr>
            </w:pPr>
            <w:r w:rsidRPr="007053E1">
              <w:rPr>
                <w:b/>
                <w:lang w:val="en-US"/>
              </w:rPr>
              <w:t>P value</w:t>
            </w:r>
          </w:p>
        </w:tc>
      </w:tr>
      <w:tr w:rsidR="00142F7D" w:rsidRPr="00EB3C56" w14:paraId="0D40CEC6" w14:textId="77777777" w:rsidTr="00E03A07">
        <w:tc>
          <w:tcPr>
            <w:tcW w:w="2967" w:type="dxa"/>
            <w:shd w:val="clear" w:color="auto" w:fill="auto"/>
            <w:tcMar>
              <w:top w:w="100" w:type="dxa"/>
              <w:left w:w="100" w:type="dxa"/>
              <w:bottom w:w="100" w:type="dxa"/>
              <w:right w:w="100" w:type="dxa"/>
            </w:tcMar>
          </w:tcPr>
          <w:p w14:paraId="144230AF" w14:textId="77777777" w:rsidR="00142F7D" w:rsidRPr="007053E1" w:rsidRDefault="00142F7D" w:rsidP="00E03A07">
            <w:pPr>
              <w:widowControl w:val="0"/>
              <w:pBdr>
                <w:top w:val="nil"/>
                <w:left w:val="nil"/>
                <w:bottom w:val="nil"/>
                <w:right w:val="nil"/>
                <w:between w:val="nil"/>
              </w:pBdr>
              <w:rPr>
                <w:b/>
                <w:lang w:val="en-US"/>
              </w:rPr>
            </w:pPr>
            <w:r w:rsidRPr="007053E1">
              <w:rPr>
                <w:b/>
                <w:lang w:val="en-US"/>
              </w:rPr>
              <w:t>N</w:t>
            </w:r>
          </w:p>
        </w:tc>
        <w:tc>
          <w:tcPr>
            <w:tcW w:w="2410" w:type="dxa"/>
            <w:shd w:val="clear" w:color="auto" w:fill="auto"/>
            <w:tcMar>
              <w:top w:w="100" w:type="dxa"/>
              <w:left w:w="100" w:type="dxa"/>
              <w:bottom w:w="100" w:type="dxa"/>
              <w:right w:w="100" w:type="dxa"/>
            </w:tcMar>
          </w:tcPr>
          <w:p w14:paraId="4A525ACD" w14:textId="77777777" w:rsidR="00142F7D" w:rsidRPr="00DE4CBA" w:rsidRDefault="00142F7D" w:rsidP="00E03A07">
            <w:pPr>
              <w:widowControl w:val="0"/>
              <w:pBdr>
                <w:top w:val="nil"/>
                <w:left w:val="nil"/>
                <w:bottom w:val="nil"/>
                <w:right w:val="nil"/>
                <w:between w:val="nil"/>
              </w:pBdr>
              <w:rPr>
                <w:lang w:val="en-US"/>
              </w:rPr>
            </w:pPr>
            <w:r>
              <w:rPr>
                <w:lang w:val="en-US"/>
              </w:rPr>
              <w:t>7</w:t>
            </w:r>
          </w:p>
        </w:tc>
        <w:tc>
          <w:tcPr>
            <w:tcW w:w="2268" w:type="dxa"/>
            <w:shd w:val="clear" w:color="auto" w:fill="auto"/>
            <w:tcMar>
              <w:top w:w="100" w:type="dxa"/>
              <w:left w:w="100" w:type="dxa"/>
              <w:bottom w:w="100" w:type="dxa"/>
              <w:right w:w="100" w:type="dxa"/>
            </w:tcMar>
          </w:tcPr>
          <w:p w14:paraId="54725146" w14:textId="77777777" w:rsidR="00142F7D" w:rsidRPr="00DE4CBA" w:rsidRDefault="00142F7D" w:rsidP="00E03A07">
            <w:pPr>
              <w:widowControl w:val="0"/>
              <w:pBdr>
                <w:top w:val="nil"/>
                <w:left w:val="nil"/>
                <w:bottom w:val="nil"/>
                <w:right w:val="nil"/>
                <w:between w:val="nil"/>
              </w:pBdr>
              <w:rPr>
                <w:lang w:val="en-US"/>
              </w:rPr>
            </w:pPr>
            <w:r>
              <w:rPr>
                <w:lang w:val="en-US"/>
              </w:rPr>
              <w:t>5</w:t>
            </w:r>
          </w:p>
        </w:tc>
        <w:tc>
          <w:tcPr>
            <w:tcW w:w="1276" w:type="dxa"/>
            <w:shd w:val="clear" w:color="auto" w:fill="auto"/>
            <w:tcMar>
              <w:top w:w="100" w:type="dxa"/>
              <w:left w:w="100" w:type="dxa"/>
              <w:bottom w:w="100" w:type="dxa"/>
              <w:right w:w="100" w:type="dxa"/>
            </w:tcMar>
          </w:tcPr>
          <w:p w14:paraId="40A4CC5C"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3BFC53AA" w14:textId="77777777" w:rsidTr="00E03A07">
        <w:tc>
          <w:tcPr>
            <w:tcW w:w="2967" w:type="dxa"/>
            <w:shd w:val="clear" w:color="auto" w:fill="auto"/>
            <w:tcMar>
              <w:top w:w="100" w:type="dxa"/>
              <w:left w:w="100" w:type="dxa"/>
              <w:bottom w:w="100" w:type="dxa"/>
              <w:right w:w="100" w:type="dxa"/>
            </w:tcMar>
          </w:tcPr>
          <w:p w14:paraId="0A49443F" w14:textId="77777777" w:rsidR="00142F7D" w:rsidRPr="00DE4CBA" w:rsidRDefault="00142F7D" w:rsidP="00E03A07">
            <w:pPr>
              <w:widowControl w:val="0"/>
              <w:pBdr>
                <w:top w:val="nil"/>
                <w:left w:val="nil"/>
                <w:bottom w:val="nil"/>
                <w:right w:val="nil"/>
                <w:between w:val="nil"/>
              </w:pBdr>
              <w:rPr>
                <w:lang w:val="en-US"/>
              </w:rPr>
            </w:pPr>
          </w:p>
        </w:tc>
        <w:tc>
          <w:tcPr>
            <w:tcW w:w="2410" w:type="dxa"/>
            <w:shd w:val="clear" w:color="auto" w:fill="auto"/>
            <w:tcMar>
              <w:top w:w="100" w:type="dxa"/>
              <w:left w:w="100" w:type="dxa"/>
              <w:bottom w:w="100" w:type="dxa"/>
              <w:right w:w="100" w:type="dxa"/>
            </w:tcMar>
          </w:tcPr>
          <w:p w14:paraId="37CBCED9" w14:textId="77777777" w:rsidR="00142F7D" w:rsidRPr="00DE4CBA" w:rsidRDefault="00142F7D" w:rsidP="00E03A07">
            <w:pPr>
              <w:widowControl w:val="0"/>
              <w:pBdr>
                <w:top w:val="nil"/>
                <w:left w:val="nil"/>
                <w:bottom w:val="nil"/>
                <w:right w:val="nil"/>
                <w:between w:val="nil"/>
              </w:pBdr>
              <w:rPr>
                <w:lang w:val="en-US"/>
              </w:rPr>
            </w:pPr>
          </w:p>
        </w:tc>
        <w:tc>
          <w:tcPr>
            <w:tcW w:w="2268" w:type="dxa"/>
            <w:shd w:val="clear" w:color="auto" w:fill="auto"/>
            <w:tcMar>
              <w:top w:w="100" w:type="dxa"/>
              <w:left w:w="100" w:type="dxa"/>
              <w:bottom w:w="100" w:type="dxa"/>
              <w:right w:w="100" w:type="dxa"/>
            </w:tcMar>
          </w:tcPr>
          <w:p w14:paraId="20CB29E2" w14:textId="77777777" w:rsidR="00142F7D" w:rsidRPr="00DE4CBA" w:rsidRDefault="00142F7D" w:rsidP="00E03A07">
            <w:pPr>
              <w:widowControl w:val="0"/>
              <w:pBdr>
                <w:top w:val="nil"/>
                <w:left w:val="nil"/>
                <w:bottom w:val="nil"/>
                <w:right w:val="nil"/>
                <w:between w:val="nil"/>
              </w:pBdr>
              <w:rPr>
                <w:lang w:val="en-US"/>
              </w:rPr>
            </w:pPr>
          </w:p>
        </w:tc>
        <w:tc>
          <w:tcPr>
            <w:tcW w:w="1276" w:type="dxa"/>
            <w:shd w:val="clear" w:color="auto" w:fill="auto"/>
            <w:tcMar>
              <w:top w:w="100" w:type="dxa"/>
              <w:left w:w="100" w:type="dxa"/>
              <w:bottom w:w="100" w:type="dxa"/>
              <w:right w:w="100" w:type="dxa"/>
            </w:tcMar>
          </w:tcPr>
          <w:p w14:paraId="2D128EC8"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69110E54" w14:textId="77777777" w:rsidTr="00E03A07">
        <w:tc>
          <w:tcPr>
            <w:tcW w:w="2967" w:type="dxa"/>
            <w:shd w:val="clear" w:color="auto" w:fill="auto"/>
            <w:tcMar>
              <w:top w:w="100" w:type="dxa"/>
              <w:left w:w="100" w:type="dxa"/>
              <w:bottom w:w="100" w:type="dxa"/>
              <w:right w:w="100" w:type="dxa"/>
            </w:tcMar>
          </w:tcPr>
          <w:p w14:paraId="5A2285C3" w14:textId="77777777" w:rsidR="00142F7D" w:rsidRPr="007053E1" w:rsidRDefault="00142F7D" w:rsidP="00E03A07">
            <w:pPr>
              <w:widowControl w:val="0"/>
              <w:pBdr>
                <w:top w:val="nil"/>
                <w:left w:val="nil"/>
                <w:bottom w:val="nil"/>
                <w:right w:val="nil"/>
                <w:between w:val="nil"/>
              </w:pBdr>
              <w:rPr>
                <w:b/>
                <w:lang w:val="en-US"/>
              </w:rPr>
            </w:pPr>
            <w:r w:rsidRPr="007053E1">
              <w:rPr>
                <w:b/>
                <w:lang w:val="en-US"/>
              </w:rPr>
              <w:t>Treatment</w:t>
            </w:r>
          </w:p>
        </w:tc>
        <w:tc>
          <w:tcPr>
            <w:tcW w:w="2410" w:type="dxa"/>
            <w:shd w:val="clear" w:color="auto" w:fill="auto"/>
            <w:tcMar>
              <w:top w:w="100" w:type="dxa"/>
              <w:left w:w="100" w:type="dxa"/>
              <w:bottom w:w="100" w:type="dxa"/>
              <w:right w:w="100" w:type="dxa"/>
            </w:tcMar>
          </w:tcPr>
          <w:p w14:paraId="79725DFB" w14:textId="77777777" w:rsidR="00142F7D" w:rsidRPr="00DE4CBA" w:rsidRDefault="00142F7D" w:rsidP="00E03A07">
            <w:pPr>
              <w:widowControl w:val="0"/>
              <w:pBdr>
                <w:top w:val="nil"/>
                <w:left w:val="nil"/>
                <w:bottom w:val="nil"/>
                <w:right w:val="nil"/>
                <w:between w:val="nil"/>
              </w:pBdr>
              <w:rPr>
                <w:lang w:val="en-US"/>
              </w:rPr>
            </w:pPr>
          </w:p>
        </w:tc>
        <w:tc>
          <w:tcPr>
            <w:tcW w:w="2268" w:type="dxa"/>
            <w:shd w:val="clear" w:color="auto" w:fill="auto"/>
            <w:tcMar>
              <w:top w:w="100" w:type="dxa"/>
              <w:left w:w="100" w:type="dxa"/>
              <w:bottom w:w="100" w:type="dxa"/>
              <w:right w:w="100" w:type="dxa"/>
            </w:tcMar>
          </w:tcPr>
          <w:p w14:paraId="338C65B6" w14:textId="77777777" w:rsidR="00142F7D" w:rsidRPr="00DE4CBA" w:rsidRDefault="00142F7D" w:rsidP="00E03A07">
            <w:pPr>
              <w:widowControl w:val="0"/>
              <w:pBdr>
                <w:top w:val="nil"/>
                <w:left w:val="nil"/>
                <w:bottom w:val="nil"/>
                <w:right w:val="nil"/>
                <w:between w:val="nil"/>
              </w:pBdr>
              <w:rPr>
                <w:lang w:val="en-US"/>
              </w:rPr>
            </w:pPr>
          </w:p>
        </w:tc>
        <w:tc>
          <w:tcPr>
            <w:tcW w:w="1276" w:type="dxa"/>
            <w:shd w:val="clear" w:color="auto" w:fill="auto"/>
            <w:tcMar>
              <w:top w:w="100" w:type="dxa"/>
              <w:left w:w="100" w:type="dxa"/>
              <w:bottom w:w="100" w:type="dxa"/>
              <w:right w:w="100" w:type="dxa"/>
            </w:tcMar>
          </w:tcPr>
          <w:p w14:paraId="2C26D6F4"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47298CAD" w14:textId="77777777" w:rsidTr="00E03A07">
        <w:tc>
          <w:tcPr>
            <w:tcW w:w="2967" w:type="dxa"/>
            <w:shd w:val="clear" w:color="auto" w:fill="auto"/>
            <w:tcMar>
              <w:top w:w="100" w:type="dxa"/>
              <w:left w:w="100" w:type="dxa"/>
              <w:bottom w:w="100" w:type="dxa"/>
              <w:right w:w="100" w:type="dxa"/>
            </w:tcMar>
          </w:tcPr>
          <w:p w14:paraId="4E5F957D" w14:textId="77777777" w:rsidR="00142F7D" w:rsidRPr="00DE4CBA" w:rsidRDefault="00142F7D" w:rsidP="00142F7D">
            <w:pPr>
              <w:widowControl w:val="0"/>
              <w:numPr>
                <w:ilvl w:val="0"/>
                <w:numId w:val="4"/>
              </w:numPr>
              <w:pBdr>
                <w:top w:val="nil"/>
                <w:left w:val="nil"/>
                <w:bottom w:val="nil"/>
                <w:right w:val="nil"/>
                <w:between w:val="nil"/>
              </w:pBdr>
              <w:rPr>
                <w:lang w:val="en-US"/>
              </w:rPr>
            </w:pPr>
            <w:r>
              <w:rPr>
                <w:lang w:val="en-US"/>
              </w:rPr>
              <w:t>None</w:t>
            </w:r>
          </w:p>
        </w:tc>
        <w:tc>
          <w:tcPr>
            <w:tcW w:w="2410" w:type="dxa"/>
            <w:shd w:val="clear" w:color="auto" w:fill="auto"/>
            <w:tcMar>
              <w:top w:w="100" w:type="dxa"/>
              <w:left w:w="100" w:type="dxa"/>
              <w:bottom w:w="100" w:type="dxa"/>
              <w:right w:w="100" w:type="dxa"/>
            </w:tcMar>
          </w:tcPr>
          <w:p w14:paraId="43F6C89B" w14:textId="77777777" w:rsidR="00142F7D" w:rsidRPr="00DE4CBA" w:rsidRDefault="00142F7D" w:rsidP="00E03A07">
            <w:pPr>
              <w:widowControl w:val="0"/>
              <w:pBdr>
                <w:top w:val="nil"/>
                <w:left w:val="nil"/>
                <w:bottom w:val="nil"/>
                <w:right w:val="nil"/>
                <w:between w:val="nil"/>
              </w:pBdr>
              <w:rPr>
                <w:lang w:val="en-US"/>
              </w:rPr>
            </w:pPr>
            <w:r>
              <w:rPr>
                <w:lang w:val="en-US"/>
              </w:rPr>
              <w:t>2 (29%)</w:t>
            </w:r>
          </w:p>
        </w:tc>
        <w:tc>
          <w:tcPr>
            <w:tcW w:w="2268" w:type="dxa"/>
            <w:shd w:val="clear" w:color="auto" w:fill="auto"/>
            <w:tcMar>
              <w:top w:w="100" w:type="dxa"/>
              <w:left w:w="100" w:type="dxa"/>
              <w:bottom w:w="100" w:type="dxa"/>
              <w:right w:w="100" w:type="dxa"/>
            </w:tcMar>
          </w:tcPr>
          <w:p w14:paraId="6D7AC73C" w14:textId="77777777" w:rsidR="00142F7D" w:rsidRPr="00DE4CBA" w:rsidRDefault="00142F7D" w:rsidP="00E03A07">
            <w:pPr>
              <w:widowControl w:val="0"/>
              <w:pBdr>
                <w:top w:val="nil"/>
                <w:left w:val="nil"/>
                <w:bottom w:val="nil"/>
                <w:right w:val="nil"/>
                <w:between w:val="nil"/>
              </w:pBdr>
              <w:rPr>
                <w:lang w:val="en-US"/>
              </w:rPr>
            </w:pPr>
            <w:r>
              <w:rPr>
                <w:lang w:val="en-US"/>
              </w:rPr>
              <w:t>-</w:t>
            </w:r>
          </w:p>
        </w:tc>
        <w:tc>
          <w:tcPr>
            <w:tcW w:w="1276" w:type="dxa"/>
            <w:shd w:val="clear" w:color="auto" w:fill="auto"/>
            <w:tcMar>
              <w:top w:w="100" w:type="dxa"/>
              <w:left w:w="100" w:type="dxa"/>
              <w:bottom w:w="100" w:type="dxa"/>
              <w:right w:w="100" w:type="dxa"/>
            </w:tcMar>
          </w:tcPr>
          <w:p w14:paraId="1A3A3C57"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53EDD4F4" w14:textId="77777777" w:rsidTr="00E03A07">
        <w:tc>
          <w:tcPr>
            <w:tcW w:w="2967" w:type="dxa"/>
            <w:shd w:val="clear" w:color="auto" w:fill="auto"/>
            <w:tcMar>
              <w:top w:w="100" w:type="dxa"/>
              <w:left w:w="100" w:type="dxa"/>
              <w:bottom w:w="100" w:type="dxa"/>
              <w:right w:w="100" w:type="dxa"/>
            </w:tcMar>
          </w:tcPr>
          <w:p w14:paraId="2006B618" w14:textId="77777777" w:rsidR="00142F7D" w:rsidRDefault="00142F7D" w:rsidP="00142F7D">
            <w:pPr>
              <w:widowControl w:val="0"/>
              <w:numPr>
                <w:ilvl w:val="0"/>
                <w:numId w:val="4"/>
              </w:numPr>
              <w:pBdr>
                <w:top w:val="nil"/>
                <w:left w:val="nil"/>
                <w:bottom w:val="nil"/>
                <w:right w:val="nil"/>
                <w:between w:val="nil"/>
              </w:pBdr>
              <w:rPr>
                <w:lang w:val="en-US"/>
              </w:rPr>
            </w:pPr>
            <w:r>
              <w:rPr>
                <w:lang w:val="en-US"/>
              </w:rPr>
              <w:t>IVIG/PLEX</w:t>
            </w:r>
          </w:p>
        </w:tc>
        <w:tc>
          <w:tcPr>
            <w:tcW w:w="2410" w:type="dxa"/>
            <w:shd w:val="clear" w:color="auto" w:fill="auto"/>
            <w:tcMar>
              <w:top w:w="100" w:type="dxa"/>
              <w:left w:w="100" w:type="dxa"/>
              <w:bottom w:w="100" w:type="dxa"/>
              <w:right w:w="100" w:type="dxa"/>
            </w:tcMar>
          </w:tcPr>
          <w:p w14:paraId="3C848A1D" w14:textId="77777777" w:rsidR="00142F7D" w:rsidRPr="00DE4CBA" w:rsidRDefault="00142F7D" w:rsidP="00E03A07">
            <w:pPr>
              <w:widowControl w:val="0"/>
              <w:pBdr>
                <w:top w:val="nil"/>
                <w:left w:val="nil"/>
                <w:bottom w:val="nil"/>
                <w:right w:val="nil"/>
                <w:between w:val="nil"/>
              </w:pBdr>
              <w:rPr>
                <w:lang w:val="en-US"/>
              </w:rPr>
            </w:pPr>
            <w:r>
              <w:rPr>
                <w:lang w:val="en-US"/>
              </w:rPr>
              <w:t>1 (14%)</w:t>
            </w:r>
          </w:p>
        </w:tc>
        <w:tc>
          <w:tcPr>
            <w:tcW w:w="2268" w:type="dxa"/>
            <w:shd w:val="clear" w:color="auto" w:fill="auto"/>
            <w:tcMar>
              <w:top w:w="100" w:type="dxa"/>
              <w:left w:w="100" w:type="dxa"/>
              <w:bottom w:w="100" w:type="dxa"/>
              <w:right w:w="100" w:type="dxa"/>
            </w:tcMar>
          </w:tcPr>
          <w:p w14:paraId="43B35ABE" w14:textId="77777777" w:rsidR="00142F7D" w:rsidRPr="00DE4CBA" w:rsidRDefault="00142F7D" w:rsidP="00E03A07">
            <w:pPr>
              <w:widowControl w:val="0"/>
              <w:pBdr>
                <w:top w:val="nil"/>
                <w:left w:val="nil"/>
                <w:bottom w:val="nil"/>
                <w:right w:val="nil"/>
                <w:between w:val="nil"/>
              </w:pBdr>
              <w:rPr>
                <w:lang w:val="en-US"/>
              </w:rPr>
            </w:pPr>
            <w:r>
              <w:rPr>
                <w:lang w:val="en-US"/>
              </w:rPr>
              <w:t>-</w:t>
            </w:r>
          </w:p>
        </w:tc>
        <w:tc>
          <w:tcPr>
            <w:tcW w:w="1276" w:type="dxa"/>
            <w:shd w:val="clear" w:color="auto" w:fill="auto"/>
            <w:tcMar>
              <w:top w:w="100" w:type="dxa"/>
              <w:left w:w="100" w:type="dxa"/>
              <w:bottom w:w="100" w:type="dxa"/>
              <w:right w:w="100" w:type="dxa"/>
            </w:tcMar>
          </w:tcPr>
          <w:p w14:paraId="52AD0D8E"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3AE703B1" w14:textId="77777777" w:rsidTr="00E03A07">
        <w:tc>
          <w:tcPr>
            <w:tcW w:w="2967" w:type="dxa"/>
            <w:shd w:val="clear" w:color="auto" w:fill="auto"/>
            <w:tcMar>
              <w:top w:w="100" w:type="dxa"/>
              <w:left w:w="100" w:type="dxa"/>
              <w:bottom w:w="100" w:type="dxa"/>
              <w:right w:w="100" w:type="dxa"/>
            </w:tcMar>
          </w:tcPr>
          <w:p w14:paraId="660F82B5" w14:textId="77777777" w:rsidR="00142F7D" w:rsidRPr="00DE4CBA" w:rsidRDefault="00142F7D" w:rsidP="00142F7D">
            <w:pPr>
              <w:widowControl w:val="0"/>
              <w:numPr>
                <w:ilvl w:val="0"/>
                <w:numId w:val="3"/>
              </w:numPr>
              <w:pBdr>
                <w:top w:val="nil"/>
                <w:left w:val="nil"/>
                <w:bottom w:val="nil"/>
                <w:right w:val="nil"/>
                <w:between w:val="nil"/>
              </w:pBdr>
              <w:rPr>
                <w:lang w:val="en-US"/>
              </w:rPr>
            </w:pPr>
            <w:r>
              <w:rPr>
                <w:lang w:val="en-US"/>
              </w:rPr>
              <w:t>Placebo in clinical trial</w:t>
            </w:r>
          </w:p>
        </w:tc>
        <w:tc>
          <w:tcPr>
            <w:tcW w:w="2410" w:type="dxa"/>
            <w:shd w:val="clear" w:color="auto" w:fill="auto"/>
            <w:tcMar>
              <w:top w:w="100" w:type="dxa"/>
              <w:left w:w="100" w:type="dxa"/>
              <w:bottom w:w="100" w:type="dxa"/>
              <w:right w:w="100" w:type="dxa"/>
            </w:tcMar>
          </w:tcPr>
          <w:p w14:paraId="7C16536F" w14:textId="77777777" w:rsidR="00142F7D" w:rsidRPr="00DE4CBA" w:rsidRDefault="00142F7D" w:rsidP="00E03A07">
            <w:pPr>
              <w:widowControl w:val="0"/>
              <w:pBdr>
                <w:top w:val="nil"/>
                <w:left w:val="nil"/>
                <w:bottom w:val="nil"/>
                <w:right w:val="nil"/>
                <w:between w:val="nil"/>
              </w:pBdr>
              <w:rPr>
                <w:lang w:val="en-US"/>
              </w:rPr>
            </w:pPr>
            <w:r>
              <w:rPr>
                <w:lang w:val="en-US"/>
              </w:rPr>
              <w:t>2 (29%)</w:t>
            </w:r>
          </w:p>
        </w:tc>
        <w:tc>
          <w:tcPr>
            <w:tcW w:w="2268" w:type="dxa"/>
            <w:shd w:val="clear" w:color="auto" w:fill="auto"/>
            <w:tcMar>
              <w:top w:w="100" w:type="dxa"/>
              <w:left w:w="100" w:type="dxa"/>
              <w:bottom w:w="100" w:type="dxa"/>
              <w:right w:w="100" w:type="dxa"/>
            </w:tcMar>
          </w:tcPr>
          <w:p w14:paraId="7F8BC8EC" w14:textId="77777777" w:rsidR="00142F7D" w:rsidRPr="00DE4CBA" w:rsidRDefault="00142F7D" w:rsidP="00E03A07">
            <w:pPr>
              <w:widowControl w:val="0"/>
              <w:pBdr>
                <w:top w:val="nil"/>
                <w:left w:val="nil"/>
                <w:bottom w:val="nil"/>
                <w:right w:val="nil"/>
                <w:between w:val="nil"/>
              </w:pBdr>
              <w:rPr>
                <w:lang w:val="en-US"/>
              </w:rPr>
            </w:pPr>
            <w:r>
              <w:rPr>
                <w:lang w:val="en-US"/>
              </w:rPr>
              <w:t>-</w:t>
            </w:r>
          </w:p>
        </w:tc>
        <w:tc>
          <w:tcPr>
            <w:tcW w:w="1276" w:type="dxa"/>
            <w:shd w:val="clear" w:color="auto" w:fill="auto"/>
            <w:tcMar>
              <w:top w:w="100" w:type="dxa"/>
              <w:left w:w="100" w:type="dxa"/>
              <w:bottom w:w="100" w:type="dxa"/>
              <w:right w:w="100" w:type="dxa"/>
            </w:tcMar>
          </w:tcPr>
          <w:p w14:paraId="30A812D3"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4115FA28" w14:textId="77777777" w:rsidTr="00E03A07">
        <w:trPr>
          <w:trHeight w:val="461"/>
        </w:trPr>
        <w:tc>
          <w:tcPr>
            <w:tcW w:w="2967" w:type="dxa"/>
            <w:shd w:val="clear" w:color="auto" w:fill="auto"/>
            <w:tcMar>
              <w:top w:w="100" w:type="dxa"/>
              <w:left w:w="100" w:type="dxa"/>
              <w:bottom w:w="100" w:type="dxa"/>
              <w:right w:w="100" w:type="dxa"/>
            </w:tcMar>
          </w:tcPr>
          <w:p w14:paraId="4B856B60" w14:textId="77777777" w:rsidR="00142F7D" w:rsidRPr="00DE4CBA" w:rsidRDefault="00142F7D" w:rsidP="00142F7D">
            <w:pPr>
              <w:widowControl w:val="0"/>
              <w:numPr>
                <w:ilvl w:val="0"/>
                <w:numId w:val="5"/>
              </w:numPr>
              <w:pBdr>
                <w:top w:val="nil"/>
                <w:left w:val="nil"/>
                <w:bottom w:val="nil"/>
                <w:right w:val="nil"/>
                <w:between w:val="nil"/>
              </w:pBdr>
              <w:rPr>
                <w:lang w:val="en-US"/>
              </w:rPr>
            </w:pPr>
            <w:proofErr w:type="spellStart"/>
            <w:r>
              <w:rPr>
                <w:lang w:val="en-US"/>
              </w:rPr>
              <w:t>Felzartamab</w:t>
            </w:r>
            <w:proofErr w:type="spellEnd"/>
            <w:r>
              <w:rPr>
                <w:lang w:val="en-US"/>
              </w:rPr>
              <w:t xml:space="preserve"> in clinical trial</w:t>
            </w:r>
          </w:p>
        </w:tc>
        <w:tc>
          <w:tcPr>
            <w:tcW w:w="2410" w:type="dxa"/>
            <w:shd w:val="clear" w:color="auto" w:fill="auto"/>
            <w:tcMar>
              <w:top w:w="100" w:type="dxa"/>
              <w:left w:w="100" w:type="dxa"/>
              <w:bottom w:w="100" w:type="dxa"/>
              <w:right w:w="100" w:type="dxa"/>
            </w:tcMar>
          </w:tcPr>
          <w:p w14:paraId="5875260E" w14:textId="77777777" w:rsidR="00142F7D" w:rsidRPr="00DE4CBA" w:rsidRDefault="00142F7D" w:rsidP="00E03A07">
            <w:pPr>
              <w:widowControl w:val="0"/>
              <w:pBdr>
                <w:top w:val="nil"/>
                <w:left w:val="nil"/>
                <w:bottom w:val="nil"/>
                <w:right w:val="nil"/>
                <w:between w:val="nil"/>
              </w:pBdr>
              <w:rPr>
                <w:lang w:val="en-US"/>
              </w:rPr>
            </w:pPr>
            <w:r>
              <w:rPr>
                <w:lang w:val="en-US"/>
              </w:rPr>
              <w:t>-</w:t>
            </w:r>
          </w:p>
        </w:tc>
        <w:tc>
          <w:tcPr>
            <w:tcW w:w="2268" w:type="dxa"/>
            <w:shd w:val="clear" w:color="auto" w:fill="auto"/>
            <w:tcMar>
              <w:top w:w="100" w:type="dxa"/>
              <w:left w:w="100" w:type="dxa"/>
              <w:bottom w:w="100" w:type="dxa"/>
              <w:right w:w="100" w:type="dxa"/>
            </w:tcMar>
          </w:tcPr>
          <w:p w14:paraId="2141BB4F" w14:textId="77777777" w:rsidR="00142F7D" w:rsidRPr="00DE4CBA" w:rsidRDefault="00142F7D" w:rsidP="00E03A07">
            <w:pPr>
              <w:widowControl w:val="0"/>
              <w:pBdr>
                <w:top w:val="nil"/>
                <w:left w:val="nil"/>
                <w:bottom w:val="nil"/>
                <w:right w:val="nil"/>
                <w:between w:val="nil"/>
              </w:pBdr>
              <w:rPr>
                <w:lang w:val="en-US"/>
              </w:rPr>
            </w:pPr>
            <w:r>
              <w:rPr>
                <w:lang w:val="en-US"/>
              </w:rPr>
              <w:t>2 (40%)</w:t>
            </w:r>
          </w:p>
        </w:tc>
        <w:tc>
          <w:tcPr>
            <w:tcW w:w="1276" w:type="dxa"/>
            <w:shd w:val="clear" w:color="auto" w:fill="auto"/>
            <w:tcMar>
              <w:top w:w="100" w:type="dxa"/>
              <w:left w:w="100" w:type="dxa"/>
              <w:bottom w:w="100" w:type="dxa"/>
              <w:right w:w="100" w:type="dxa"/>
            </w:tcMar>
          </w:tcPr>
          <w:p w14:paraId="71BB7F77"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5D7AA1A6" w14:textId="77777777" w:rsidTr="00E03A07">
        <w:tc>
          <w:tcPr>
            <w:tcW w:w="2967" w:type="dxa"/>
            <w:shd w:val="clear" w:color="auto" w:fill="auto"/>
            <w:tcMar>
              <w:top w:w="100" w:type="dxa"/>
              <w:left w:w="100" w:type="dxa"/>
              <w:bottom w:w="100" w:type="dxa"/>
              <w:right w:w="100" w:type="dxa"/>
            </w:tcMar>
          </w:tcPr>
          <w:p w14:paraId="032AA92D" w14:textId="77777777" w:rsidR="00142F7D" w:rsidRPr="00DE4CBA" w:rsidRDefault="00142F7D" w:rsidP="00142F7D">
            <w:pPr>
              <w:widowControl w:val="0"/>
              <w:numPr>
                <w:ilvl w:val="0"/>
                <w:numId w:val="2"/>
              </w:numPr>
              <w:pBdr>
                <w:top w:val="nil"/>
                <w:left w:val="nil"/>
                <w:bottom w:val="nil"/>
                <w:right w:val="nil"/>
                <w:between w:val="nil"/>
              </w:pBdr>
              <w:rPr>
                <w:lang w:val="en-US"/>
              </w:rPr>
            </w:pPr>
            <w:proofErr w:type="spellStart"/>
            <w:r>
              <w:rPr>
                <w:lang w:val="en-US"/>
              </w:rPr>
              <w:t>Belatacept</w:t>
            </w:r>
            <w:proofErr w:type="spellEnd"/>
          </w:p>
        </w:tc>
        <w:tc>
          <w:tcPr>
            <w:tcW w:w="2410" w:type="dxa"/>
            <w:shd w:val="clear" w:color="auto" w:fill="auto"/>
            <w:tcMar>
              <w:top w:w="100" w:type="dxa"/>
              <w:left w:w="100" w:type="dxa"/>
              <w:bottom w:w="100" w:type="dxa"/>
              <w:right w:w="100" w:type="dxa"/>
            </w:tcMar>
          </w:tcPr>
          <w:p w14:paraId="16A8D241" w14:textId="77777777" w:rsidR="00142F7D" w:rsidRPr="00DE4CBA" w:rsidRDefault="00142F7D" w:rsidP="00E03A07">
            <w:pPr>
              <w:widowControl w:val="0"/>
              <w:pBdr>
                <w:top w:val="nil"/>
                <w:left w:val="nil"/>
                <w:bottom w:val="nil"/>
                <w:right w:val="nil"/>
                <w:between w:val="nil"/>
              </w:pBdr>
              <w:rPr>
                <w:lang w:val="en-US"/>
              </w:rPr>
            </w:pPr>
            <w:r>
              <w:rPr>
                <w:lang w:val="en-US"/>
              </w:rPr>
              <w:t>1 (14%)</w:t>
            </w:r>
          </w:p>
        </w:tc>
        <w:tc>
          <w:tcPr>
            <w:tcW w:w="2268" w:type="dxa"/>
            <w:shd w:val="clear" w:color="auto" w:fill="auto"/>
            <w:tcMar>
              <w:top w:w="100" w:type="dxa"/>
              <w:left w:w="100" w:type="dxa"/>
              <w:bottom w:w="100" w:type="dxa"/>
              <w:right w:w="100" w:type="dxa"/>
            </w:tcMar>
          </w:tcPr>
          <w:p w14:paraId="6596D637" w14:textId="77777777" w:rsidR="00142F7D" w:rsidRPr="00DE4CBA" w:rsidRDefault="00142F7D" w:rsidP="00E03A07">
            <w:pPr>
              <w:widowControl w:val="0"/>
              <w:pBdr>
                <w:top w:val="nil"/>
                <w:left w:val="nil"/>
                <w:bottom w:val="nil"/>
                <w:right w:val="nil"/>
                <w:between w:val="nil"/>
              </w:pBdr>
              <w:rPr>
                <w:lang w:val="en-US"/>
              </w:rPr>
            </w:pPr>
            <w:r>
              <w:rPr>
                <w:lang w:val="en-US"/>
              </w:rPr>
              <w:t>3 (60%)</w:t>
            </w:r>
          </w:p>
        </w:tc>
        <w:tc>
          <w:tcPr>
            <w:tcW w:w="1276" w:type="dxa"/>
            <w:shd w:val="clear" w:color="auto" w:fill="auto"/>
            <w:tcMar>
              <w:top w:w="100" w:type="dxa"/>
              <w:left w:w="100" w:type="dxa"/>
              <w:bottom w:w="100" w:type="dxa"/>
              <w:right w:w="100" w:type="dxa"/>
            </w:tcMar>
          </w:tcPr>
          <w:p w14:paraId="66A4DB36"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2B969507" w14:textId="77777777" w:rsidTr="00E03A07">
        <w:tc>
          <w:tcPr>
            <w:tcW w:w="2967" w:type="dxa"/>
            <w:shd w:val="clear" w:color="auto" w:fill="auto"/>
            <w:tcMar>
              <w:top w:w="100" w:type="dxa"/>
              <w:left w:w="100" w:type="dxa"/>
              <w:bottom w:w="100" w:type="dxa"/>
              <w:right w:w="100" w:type="dxa"/>
            </w:tcMar>
          </w:tcPr>
          <w:p w14:paraId="449840E2" w14:textId="77777777" w:rsidR="00142F7D" w:rsidRPr="00DE4CBA" w:rsidRDefault="00142F7D" w:rsidP="00142F7D">
            <w:pPr>
              <w:widowControl w:val="0"/>
              <w:numPr>
                <w:ilvl w:val="0"/>
                <w:numId w:val="1"/>
              </w:numPr>
              <w:pBdr>
                <w:top w:val="nil"/>
                <w:left w:val="nil"/>
                <w:bottom w:val="nil"/>
                <w:right w:val="nil"/>
                <w:between w:val="nil"/>
              </w:pBdr>
              <w:rPr>
                <w:lang w:val="en-US"/>
              </w:rPr>
            </w:pPr>
            <w:r>
              <w:rPr>
                <w:lang w:val="en-US"/>
              </w:rPr>
              <w:t>Blinded study medication</w:t>
            </w:r>
          </w:p>
        </w:tc>
        <w:tc>
          <w:tcPr>
            <w:tcW w:w="2410" w:type="dxa"/>
            <w:shd w:val="clear" w:color="auto" w:fill="auto"/>
            <w:tcMar>
              <w:top w:w="100" w:type="dxa"/>
              <w:left w:w="100" w:type="dxa"/>
              <w:bottom w:w="100" w:type="dxa"/>
              <w:right w:w="100" w:type="dxa"/>
            </w:tcMar>
          </w:tcPr>
          <w:p w14:paraId="1FFE074E" w14:textId="77777777" w:rsidR="00142F7D" w:rsidRPr="00DE4CBA" w:rsidRDefault="00142F7D" w:rsidP="00E03A07">
            <w:pPr>
              <w:widowControl w:val="0"/>
              <w:pBdr>
                <w:top w:val="nil"/>
                <w:left w:val="nil"/>
                <w:bottom w:val="nil"/>
                <w:right w:val="nil"/>
                <w:between w:val="nil"/>
              </w:pBdr>
              <w:rPr>
                <w:lang w:val="en-US"/>
              </w:rPr>
            </w:pPr>
            <w:r>
              <w:rPr>
                <w:lang w:val="en-US"/>
              </w:rPr>
              <w:t>1 (14%)</w:t>
            </w:r>
          </w:p>
        </w:tc>
        <w:tc>
          <w:tcPr>
            <w:tcW w:w="2268" w:type="dxa"/>
            <w:shd w:val="clear" w:color="auto" w:fill="auto"/>
            <w:tcMar>
              <w:top w:w="100" w:type="dxa"/>
              <w:left w:w="100" w:type="dxa"/>
              <w:bottom w:w="100" w:type="dxa"/>
              <w:right w:w="100" w:type="dxa"/>
            </w:tcMar>
          </w:tcPr>
          <w:p w14:paraId="6F6AEFB5" w14:textId="77777777" w:rsidR="00142F7D" w:rsidRPr="00DE4CBA" w:rsidRDefault="00142F7D" w:rsidP="00E03A07">
            <w:pPr>
              <w:widowControl w:val="0"/>
              <w:pBdr>
                <w:top w:val="nil"/>
                <w:left w:val="nil"/>
                <w:bottom w:val="nil"/>
                <w:right w:val="nil"/>
                <w:between w:val="nil"/>
              </w:pBdr>
              <w:rPr>
                <w:lang w:val="en-US"/>
              </w:rPr>
            </w:pPr>
            <w:r>
              <w:rPr>
                <w:lang w:val="en-US"/>
              </w:rPr>
              <w:t>-</w:t>
            </w:r>
          </w:p>
        </w:tc>
        <w:tc>
          <w:tcPr>
            <w:tcW w:w="1276" w:type="dxa"/>
            <w:shd w:val="clear" w:color="auto" w:fill="auto"/>
            <w:tcMar>
              <w:top w:w="100" w:type="dxa"/>
              <w:left w:w="100" w:type="dxa"/>
              <w:bottom w:w="100" w:type="dxa"/>
              <w:right w:w="100" w:type="dxa"/>
            </w:tcMar>
          </w:tcPr>
          <w:p w14:paraId="747AF1AE"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51916CBA" w14:textId="77777777" w:rsidTr="00E03A07">
        <w:tc>
          <w:tcPr>
            <w:tcW w:w="2967" w:type="dxa"/>
            <w:shd w:val="clear" w:color="auto" w:fill="auto"/>
            <w:tcMar>
              <w:top w:w="100" w:type="dxa"/>
              <w:left w:w="100" w:type="dxa"/>
              <w:bottom w:w="100" w:type="dxa"/>
              <w:right w:w="100" w:type="dxa"/>
            </w:tcMar>
          </w:tcPr>
          <w:p w14:paraId="4ADFE7E9" w14:textId="77777777" w:rsidR="00142F7D" w:rsidRPr="00DE4CBA" w:rsidRDefault="00142F7D" w:rsidP="00E03A07">
            <w:pPr>
              <w:widowControl w:val="0"/>
              <w:pBdr>
                <w:top w:val="nil"/>
                <w:left w:val="nil"/>
                <w:bottom w:val="nil"/>
                <w:right w:val="nil"/>
                <w:between w:val="nil"/>
              </w:pBdr>
              <w:ind w:left="720" w:hanging="360"/>
              <w:rPr>
                <w:lang w:val="en-US"/>
              </w:rPr>
            </w:pPr>
          </w:p>
        </w:tc>
        <w:tc>
          <w:tcPr>
            <w:tcW w:w="2410" w:type="dxa"/>
            <w:shd w:val="clear" w:color="auto" w:fill="auto"/>
            <w:tcMar>
              <w:top w:w="100" w:type="dxa"/>
              <w:left w:w="100" w:type="dxa"/>
              <w:bottom w:w="100" w:type="dxa"/>
              <w:right w:w="100" w:type="dxa"/>
            </w:tcMar>
          </w:tcPr>
          <w:p w14:paraId="0AD0C298" w14:textId="77777777" w:rsidR="00142F7D" w:rsidRPr="00DE4CBA" w:rsidRDefault="00142F7D" w:rsidP="00E03A07">
            <w:pPr>
              <w:widowControl w:val="0"/>
              <w:pBdr>
                <w:top w:val="nil"/>
                <w:left w:val="nil"/>
                <w:bottom w:val="nil"/>
                <w:right w:val="nil"/>
                <w:between w:val="nil"/>
              </w:pBdr>
              <w:rPr>
                <w:lang w:val="en-US"/>
              </w:rPr>
            </w:pPr>
          </w:p>
        </w:tc>
        <w:tc>
          <w:tcPr>
            <w:tcW w:w="2268" w:type="dxa"/>
            <w:shd w:val="clear" w:color="auto" w:fill="auto"/>
            <w:tcMar>
              <w:top w:w="100" w:type="dxa"/>
              <w:left w:w="100" w:type="dxa"/>
              <w:bottom w:w="100" w:type="dxa"/>
              <w:right w:w="100" w:type="dxa"/>
            </w:tcMar>
          </w:tcPr>
          <w:p w14:paraId="05C5F8BF" w14:textId="77777777" w:rsidR="00142F7D" w:rsidRPr="00DE4CBA" w:rsidRDefault="00142F7D" w:rsidP="00E03A07">
            <w:pPr>
              <w:widowControl w:val="0"/>
              <w:pBdr>
                <w:top w:val="nil"/>
                <w:left w:val="nil"/>
                <w:bottom w:val="nil"/>
                <w:right w:val="nil"/>
                <w:between w:val="nil"/>
              </w:pBdr>
              <w:rPr>
                <w:lang w:val="en-US"/>
              </w:rPr>
            </w:pPr>
          </w:p>
        </w:tc>
        <w:tc>
          <w:tcPr>
            <w:tcW w:w="1276" w:type="dxa"/>
            <w:shd w:val="clear" w:color="auto" w:fill="auto"/>
            <w:tcMar>
              <w:top w:w="100" w:type="dxa"/>
              <w:left w:w="100" w:type="dxa"/>
              <w:bottom w:w="100" w:type="dxa"/>
              <w:right w:w="100" w:type="dxa"/>
            </w:tcMar>
          </w:tcPr>
          <w:p w14:paraId="16E45B5B"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19FEB352" w14:textId="77777777" w:rsidTr="00E03A07">
        <w:tc>
          <w:tcPr>
            <w:tcW w:w="2967" w:type="dxa"/>
            <w:shd w:val="clear" w:color="auto" w:fill="auto"/>
            <w:tcMar>
              <w:top w:w="100" w:type="dxa"/>
              <w:left w:w="100" w:type="dxa"/>
              <w:bottom w:w="100" w:type="dxa"/>
              <w:right w:w="100" w:type="dxa"/>
            </w:tcMar>
          </w:tcPr>
          <w:p w14:paraId="5304FE06" w14:textId="77777777" w:rsidR="00142F7D" w:rsidRPr="00DE4CBA" w:rsidRDefault="00142F7D" w:rsidP="00E03A07">
            <w:pPr>
              <w:widowControl w:val="0"/>
              <w:pBdr>
                <w:top w:val="nil"/>
                <w:left w:val="nil"/>
                <w:bottom w:val="nil"/>
                <w:right w:val="nil"/>
                <w:between w:val="nil"/>
              </w:pBdr>
              <w:rPr>
                <w:lang w:val="en-US"/>
              </w:rPr>
            </w:pPr>
            <w:r w:rsidRPr="007053E1">
              <w:rPr>
                <w:b/>
                <w:lang w:val="en-US"/>
              </w:rPr>
              <w:t>Outcomes</w:t>
            </w:r>
          </w:p>
        </w:tc>
        <w:tc>
          <w:tcPr>
            <w:tcW w:w="2410" w:type="dxa"/>
            <w:shd w:val="clear" w:color="auto" w:fill="auto"/>
            <w:tcMar>
              <w:top w:w="100" w:type="dxa"/>
              <w:left w:w="100" w:type="dxa"/>
              <w:bottom w:w="100" w:type="dxa"/>
              <w:right w:w="100" w:type="dxa"/>
            </w:tcMar>
          </w:tcPr>
          <w:p w14:paraId="01921FF3" w14:textId="77777777" w:rsidR="00142F7D" w:rsidRPr="00DE4CBA" w:rsidRDefault="00142F7D" w:rsidP="00E03A07">
            <w:pPr>
              <w:widowControl w:val="0"/>
              <w:pBdr>
                <w:top w:val="nil"/>
                <w:left w:val="nil"/>
                <w:bottom w:val="nil"/>
                <w:right w:val="nil"/>
                <w:between w:val="nil"/>
              </w:pBdr>
              <w:rPr>
                <w:lang w:val="en-US"/>
              </w:rPr>
            </w:pPr>
          </w:p>
        </w:tc>
        <w:tc>
          <w:tcPr>
            <w:tcW w:w="2268" w:type="dxa"/>
            <w:shd w:val="clear" w:color="auto" w:fill="auto"/>
            <w:tcMar>
              <w:top w:w="100" w:type="dxa"/>
              <w:left w:w="100" w:type="dxa"/>
              <w:bottom w:w="100" w:type="dxa"/>
              <w:right w:w="100" w:type="dxa"/>
            </w:tcMar>
          </w:tcPr>
          <w:p w14:paraId="5DE052BD" w14:textId="77777777" w:rsidR="00142F7D" w:rsidRPr="00DE4CBA" w:rsidRDefault="00142F7D" w:rsidP="00E03A07">
            <w:pPr>
              <w:widowControl w:val="0"/>
              <w:pBdr>
                <w:top w:val="nil"/>
                <w:left w:val="nil"/>
                <w:bottom w:val="nil"/>
                <w:right w:val="nil"/>
                <w:between w:val="nil"/>
              </w:pBdr>
              <w:rPr>
                <w:lang w:val="en-US"/>
              </w:rPr>
            </w:pPr>
          </w:p>
        </w:tc>
        <w:tc>
          <w:tcPr>
            <w:tcW w:w="1276" w:type="dxa"/>
            <w:shd w:val="clear" w:color="auto" w:fill="auto"/>
            <w:tcMar>
              <w:top w:w="100" w:type="dxa"/>
              <w:left w:w="100" w:type="dxa"/>
              <w:bottom w:w="100" w:type="dxa"/>
              <w:right w:w="100" w:type="dxa"/>
            </w:tcMar>
          </w:tcPr>
          <w:p w14:paraId="01D315F9" w14:textId="77777777" w:rsidR="00142F7D" w:rsidRPr="00DE4CBA" w:rsidRDefault="00142F7D" w:rsidP="00E03A07">
            <w:pPr>
              <w:widowControl w:val="0"/>
              <w:pBdr>
                <w:top w:val="nil"/>
                <w:left w:val="nil"/>
                <w:bottom w:val="nil"/>
                <w:right w:val="nil"/>
                <w:between w:val="nil"/>
              </w:pBdr>
              <w:rPr>
                <w:lang w:val="en-US"/>
              </w:rPr>
            </w:pPr>
          </w:p>
        </w:tc>
      </w:tr>
      <w:tr w:rsidR="00142F7D" w:rsidRPr="00EB3C56" w14:paraId="79E2868D" w14:textId="77777777" w:rsidTr="00E03A07">
        <w:tc>
          <w:tcPr>
            <w:tcW w:w="2967" w:type="dxa"/>
            <w:shd w:val="clear" w:color="auto" w:fill="auto"/>
            <w:tcMar>
              <w:top w:w="100" w:type="dxa"/>
              <w:left w:w="100" w:type="dxa"/>
              <w:bottom w:w="100" w:type="dxa"/>
              <w:right w:w="100" w:type="dxa"/>
            </w:tcMar>
          </w:tcPr>
          <w:p w14:paraId="5B321DAB" w14:textId="77777777" w:rsidR="00142F7D" w:rsidRPr="00A6055A" w:rsidRDefault="00142F7D" w:rsidP="00E03A07">
            <w:pPr>
              <w:widowControl w:val="0"/>
              <w:pBdr>
                <w:top w:val="nil"/>
                <w:left w:val="nil"/>
                <w:bottom w:val="nil"/>
                <w:right w:val="nil"/>
                <w:between w:val="nil"/>
              </w:pBdr>
              <w:rPr>
                <w:lang w:val="en-US"/>
              </w:rPr>
            </w:pPr>
            <w:r w:rsidRPr="00A6055A">
              <w:rPr>
                <w:lang w:val="en-US"/>
              </w:rPr>
              <w:t>Overall survival</w:t>
            </w:r>
          </w:p>
        </w:tc>
        <w:tc>
          <w:tcPr>
            <w:tcW w:w="2410" w:type="dxa"/>
            <w:shd w:val="clear" w:color="auto" w:fill="auto"/>
            <w:tcMar>
              <w:top w:w="100" w:type="dxa"/>
              <w:left w:w="100" w:type="dxa"/>
              <w:bottom w:w="100" w:type="dxa"/>
              <w:right w:w="100" w:type="dxa"/>
            </w:tcMar>
          </w:tcPr>
          <w:p w14:paraId="2CA9018A" w14:textId="77777777" w:rsidR="00142F7D" w:rsidRPr="00DE4CBA" w:rsidRDefault="00142F7D" w:rsidP="00E03A07">
            <w:pPr>
              <w:widowControl w:val="0"/>
              <w:pBdr>
                <w:top w:val="nil"/>
                <w:left w:val="nil"/>
                <w:bottom w:val="nil"/>
                <w:right w:val="nil"/>
                <w:between w:val="nil"/>
              </w:pBdr>
              <w:rPr>
                <w:lang w:val="en-US"/>
              </w:rPr>
            </w:pPr>
            <w:r>
              <w:rPr>
                <w:lang w:val="en-US"/>
              </w:rPr>
              <w:t>7/7 (100%)</w:t>
            </w:r>
          </w:p>
        </w:tc>
        <w:tc>
          <w:tcPr>
            <w:tcW w:w="2268" w:type="dxa"/>
            <w:shd w:val="clear" w:color="auto" w:fill="auto"/>
            <w:tcMar>
              <w:top w:w="100" w:type="dxa"/>
              <w:left w:w="100" w:type="dxa"/>
              <w:bottom w:w="100" w:type="dxa"/>
              <w:right w:w="100" w:type="dxa"/>
            </w:tcMar>
          </w:tcPr>
          <w:p w14:paraId="6AACCB7E" w14:textId="77777777" w:rsidR="00142F7D" w:rsidRPr="00DE4CBA" w:rsidRDefault="00142F7D" w:rsidP="00E03A07">
            <w:pPr>
              <w:widowControl w:val="0"/>
              <w:pBdr>
                <w:top w:val="nil"/>
                <w:left w:val="nil"/>
                <w:bottom w:val="nil"/>
                <w:right w:val="nil"/>
                <w:between w:val="nil"/>
              </w:pBdr>
              <w:rPr>
                <w:lang w:val="en-US"/>
              </w:rPr>
            </w:pPr>
            <w:r>
              <w:rPr>
                <w:lang w:val="en-US"/>
              </w:rPr>
              <w:t>5/5 (100%)</w:t>
            </w:r>
          </w:p>
        </w:tc>
        <w:tc>
          <w:tcPr>
            <w:tcW w:w="1276" w:type="dxa"/>
            <w:shd w:val="clear" w:color="auto" w:fill="auto"/>
            <w:tcMar>
              <w:top w:w="100" w:type="dxa"/>
              <w:left w:w="100" w:type="dxa"/>
              <w:bottom w:w="100" w:type="dxa"/>
              <w:right w:w="100" w:type="dxa"/>
            </w:tcMar>
          </w:tcPr>
          <w:p w14:paraId="0207A21B" w14:textId="77777777" w:rsidR="00142F7D" w:rsidRPr="00DE4CBA" w:rsidRDefault="00142F7D" w:rsidP="00E03A07">
            <w:pPr>
              <w:widowControl w:val="0"/>
              <w:pBdr>
                <w:top w:val="nil"/>
                <w:left w:val="nil"/>
                <w:bottom w:val="nil"/>
                <w:right w:val="nil"/>
                <w:between w:val="nil"/>
              </w:pBdr>
              <w:rPr>
                <w:lang w:val="en-US"/>
              </w:rPr>
            </w:pPr>
            <w:r>
              <w:rPr>
                <w:lang w:val="en-US"/>
              </w:rPr>
              <w:t>1.00</w:t>
            </w:r>
          </w:p>
        </w:tc>
      </w:tr>
      <w:tr w:rsidR="00142F7D" w:rsidRPr="00EB3C56" w14:paraId="1CBBF999" w14:textId="77777777" w:rsidTr="00E03A07">
        <w:tc>
          <w:tcPr>
            <w:tcW w:w="2967" w:type="dxa"/>
            <w:shd w:val="clear" w:color="auto" w:fill="auto"/>
            <w:tcMar>
              <w:top w:w="100" w:type="dxa"/>
              <w:left w:w="100" w:type="dxa"/>
              <w:bottom w:w="100" w:type="dxa"/>
              <w:right w:w="100" w:type="dxa"/>
            </w:tcMar>
          </w:tcPr>
          <w:p w14:paraId="0250B787" w14:textId="77777777" w:rsidR="00142F7D" w:rsidRPr="00F4122A" w:rsidRDefault="00142F7D" w:rsidP="00E03A07">
            <w:pPr>
              <w:widowControl w:val="0"/>
              <w:pBdr>
                <w:top w:val="nil"/>
                <w:left w:val="nil"/>
                <w:bottom w:val="nil"/>
                <w:right w:val="nil"/>
                <w:between w:val="nil"/>
              </w:pBdr>
              <w:rPr>
                <w:lang w:val="en-US"/>
              </w:rPr>
            </w:pPr>
            <w:r w:rsidRPr="00F4122A">
              <w:rPr>
                <w:lang w:val="en-US"/>
              </w:rPr>
              <w:t>Graft survival</w:t>
            </w:r>
          </w:p>
        </w:tc>
        <w:tc>
          <w:tcPr>
            <w:tcW w:w="2410" w:type="dxa"/>
            <w:shd w:val="clear" w:color="auto" w:fill="auto"/>
            <w:tcMar>
              <w:top w:w="100" w:type="dxa"/>
              <w:left w:w="100" w:type="dxa"/>
              <w:bottom w:w="100" w:type="dxa"/>
              <w:right w:w="100" w:type="dxa"/>
            </w:tcMar>
          </w:tcPr>
          <w:p w14:paraId="6D9D7A9A" w14:textId="77777777" w:rsidR="00142F7D" w:rsidRPr="00DE4CBA" w:rsidRDefault="00142F7D" w:rsidP="00E03A07">
            <w:pPr>
              <w:widowControl w:val="0"/>
              <w:pBdr>
                <w:top w:val="nil"/>
                <w:left w:val="nil"/>
                <w:bottom w:val="nil"/>
                <w:right w:val="nil"/>
                <w:between w:val="nil"/>
              </w:pBdr>
              <w:rPr>
                <w:lang w:val="en-US"/>
              </w:rPr>
            </w:pPr>
            <w:r>
              <w:rPr>
                <w:lang w:val="en-US"/>
              </w:rPr>
              <w:t>6/7 (86%)</w:t>
            </w:r>
          </w:p>
        </w:tc>
        <w:tc>
          <w:tcPr>
            <w:tcW w:w="2268" w:type="dxa"/>
            <w:shd w:val="clear" w:color="auto" w:fill="auto"/>
            <w:tcMar>
              <w:top w:w="100" w:type="dxa"/>
              <w:left w:w="100" w:type="dxa"/>
              <w:bottom w:w="100" w:type="dxa"/>
              <w:right w:w="100" w:type="dxa"/>
            </w:tcMar>
          </w:tcPr>
          <w:p w14:paraId="4D754781" w14:textId="77777777" w:rsidR="00142F7D" w:rsidRPr="00DE4CBA" w:rsidRDefault="00142F7D" w:rsidP="00E03A07">
            <w:pPr>
              <w:widowControl w:val="0"/>
              <w:pBdr>
                <w:top w:val="nil"/>
                <w:left w:val="nil"/>
                <w:bottom w:val="nil"/>
                <w:right w:val="nil"/>
                <w:between w:val="nil"/>
              </w:pBdr>
              <w:rPr>
                <w:lang w:val="en-US"/>
              </w:rPr>
            </w:pPr>
            <w:r>
              <w:rPr>
                <w:lang w:val="en-US"/>
              </w:rPr>
              <w:t>5/5 (100%)</w:t>
            </w:r>
          </w:p>
        </w:tc>
        <w:tc>
          <w:tcPr>
            <w:tcW w:w="1276" w:type="dxa"/>
            <w:shd w:val="clear" w:color="auto" w:fill="auto"/>
            <w:tcMar>
              <w:top w:w="100" w:type="dxa"/>
              <w:left w:w="100" w:type="dxa"/>
              <w:bottom w:w="100" w:type="dxa"/>
              <w:right w:w="100" w:type="dxa"/>
            </w:tcMar>
          </w:tcPr>
          <w:p w14:paraId="2744FD73" w14:textId="77777777" w:rsidR="00142F7D" w:rsidRPr="00DE4CBA" w:rsidRDefault="00142F7D" w:rsidP="00E03A07">
            <w:pPr>
              <w:widowControl w:val="0"/>
              <w:pBdr>
                <w:top w:val="nil"/>
                <w:left w:val="nil"/>
                <w:bottom w:val="nil"/>
                <w:right w:val="nil"/>
                <w:between w:val="nil"/>
              </w:pBdr>
              <w:rPr>
                <w:lang w:val="en-US"/>
              </w:rPr>
            </w:pPr>
            <w:r>
              <w:rPr>
                <w:lang w:val="en-US"/>
              </w:rPr>
              <w:t>1.00</w:t>
            </w:r>
          </w:p>
        </w:tc>
      </w:tr>
      <w:tr w:rsidR="00142F7D" w:rsidRPr="00EB3C56" w14:paraId="394F9BCF" w14:textId="77777777" w:rsidTr="00E03A07">
        <w:tc>
          <w:tcPr>
            <w:tcW w:w="2967" w:type="dxa"/>
            <w:shd w:val="clear" w:color="auto" w:fill="auto"/>
            <w:tcMar>
              <w:top w:w="100" w:type="dxa"/>
              <w:left w:w="100" w:type="dxa"/>
              <w:bottom w:w="100" w:type="dxa"/>
              <w:right w:w="100" w:type="dxa"/>
            </w:tcMar>
          </w:tcPr>
          <w:p w14:paraId="72632DBB" w14:textId="77777777" w:rsidR="00142F7D" w:rsidRDefault="00142F7D" w:rsidP="00E03A07">
            <w:pPr>
              <w:widowControl w:val="0"/>
              <w:pBdr>
                <w:top w:val="nil"/>
                <w:left w:val="nil"/>
                <w:bottom w:val="nil"/>
                <w:right w:val="nil"/>
                <w:between w:val="nil"/>
              </w:pBdr>
              <w:rPr>
                <w:lang w:val="sv-SE"/>
              </w:rPr>
            </w:pPr>
            <w:r>
              <w:rPr>
                <w:lang w:val="sv-SE"/>
              </w:rPr>
              <w:t>eGFR slope/year at 24 months</w:t>
            </w:r>
          </w:p>
          <w:p w14:paraId="61DE6641" w14:textId="77777777" w:rsidR="00142F7D" w:rsidRPr="0080699B" w:rsidRDefault="00142F7D" w:rsidP="00E03A07">
            <w:pPr>
              <w:widowControl w:val="0"/>
              <w:pBdr>
                <w:top w:val="nil"/>
                <w:left w:val="nil"/>
                <w:bottom w:val="nil"/>
                <w:right w:val="nil"/>
                <w:between w:val="nil"/>
              </w:pBdr>
              <w:rPr>
                <w:lang w:val="sv-SE"/>
              </w:rPr>
            </w:pPr>
            <w:r>
              <w:rPr>
                <w:lang w:val="sv-SE"/>
              </w:rPr>
              <w:t>median (IQR)</w:t>
            </w:r>
          </w:p>
        </w:tc>
        <w:tc>
          <w:tcPr>
            <w:tcW w:w="2410" w:type="dxa"/>
            <w:shd w:val="clear" w:color="auto" w:fill="auto"/>
            <w:tcMar>
              <w:top w:w="100" w:type="dxa"/>
              <w:left w:w="100" w:type="dxa"/>
              <w:bottom w:w="100" w:type="dxa"/>
              <w:right w:w="100" w:type="dxa"/>
            </w:tcMar>
          </w:tcPr>
          <w:p w14:paraId="2C05A741" w14:textId="77777777" w:rsidR="00142F7D" w:rsidRPr="00DE4CBA" w:rsidRDefault="00142F7D" w:rsidP="00E03A07">
            <w:pPr>
              <w:widowControl w:val="0"/>
              <w:pBdr>
                <w:top w:val="nil"/>
                <w:left w:val="nil"/>
                <w:bottom w:val="nil"/>
                <w:right w:val="nil"/>
                <w:between w:val="nil"/>
              </w:pBdr>
              <w:rPr>
                <w:lang w:val="en-US"/>
              </w:rPr>
            </w:pPr>
            <w:r>
              <w:rPr>
                <w:lang w:val="en-US"/>
              </w:rPr>
              <w:t xml:space="preserve">-5.4 </w:t>
            </w:r>
            <w:bookmarkStart w:id="4" w:name="_Hlk176765224"/>
            <w:r>
              <w:rPr>
                <w:lang w:val="en-US"/>
              </w:rPr>
              <w:t>(-8.7; -0.1)</w:t>
            </w:r>
            <w:bookmarkEnd w:id="4"/>
          </w:p>
        </w:tc>
        <w:tc>
          <w:tcPr>
            <w:tcW w:w="2268" w:type="dxa"/>
            <w:shd w:val="clear" w:color="auto" w:fill="auto"/>
            <w:tcMar>
              <w:top w:w="100" w:type="dxa"/>
              <w:left w:w="100" w:type="dxa"/>
              <w:bottom w:w="100" w:type="dxa"/>
              <w:right w:w="100" w:type="dxa"/>
            </w:tcMar>
          </w:tcPr>
          <w:p w14:paraId="6FEE21B5" w14:textId="77777777" w:rsidR="00142F7D" w:rsidRPr="00DE4CBA" w:rsidRDefault="00142F7D" w:rsidP="00E03A07">
            <w:pPr>
              <w:widowControl w:val="0"/>
              <w:pBdr>
                <w:top w:val="nil"/>
                <w:left w:val="nil"/>
                <w:bottom w:val="nil"/>
                <w:right w:val="nil"/>
                <w:between w:val="nil"/>
              </w:pBdr>
              <w:rPr>
                <w:lang w:val="en-US"/>
              </w:rPr>
            </w:pPr>
            <w:r>
              <w:rPr>
                <w:lang w:val="en-US"/>
              </w:rPr>
              <w:t xml:space="preserve">-1.8 </w:t>
            </w:r>
            <w:bookmarkStart w:id="5" w:name="_Hlk176765648"/>
            <w:r>
              <w:rPr>
                <w:lang w:val="en-US"/>
              </w:rPr>
              <w:t>(-3.2; 1.1)</w:t>
            </w:r>
            <w:bookmarkEnd w:id="5"/>
          </w:p>
        </w:tc>
        <w:tc>
          <w:tcPr>
            <w:tcW w:w="1276" w:type="dxa"/>
            <w:shd w:val="clear" w:color="auto" w:fill="auto"/>
            <w:tcMar>
              <w:top w:w="100" w:type="dxa"/>
              <w:left w:w="100" w:type="dxa"/>
              <w:bottom w:w="100" w:type="dxa"/>
              <w:right w:w="100" w:type="dxa"/>
            </w:tcMar>
          </w:tcPr>
          <w:p w14:paraId="1D900655" w14:textId="77777777" w:rsidR="00142F7D" w:rsidRPr="00DE4CBA" w:rsidRDefault="00142F7D" w:rsidP="00E03A07">
            <w:pPr>
              <w:widowControl w:val="0"/>
              <w:pBdr>
                <w:top w:val="nil"/>
                <w:left w:val="nil"/>
                <w:bottom w:val="nil"/>
                <w:right w:val="nil"/>
                <w:between w:val="nil"/>
              </w:pBdr>
              <w:rPr>
                <w:lang w:val="en-US"/>
              </w:rPr>
            </w:pPr>
            <w:r>
              <w:rPr>
                <w:lang w:val="en-US"/>
              </w:rPr>
              <w:t>0.34</w:t>
            </w:r>
          </w:p>
        </w:tc>
      </w:tr>
      <w:tr w:rsidR="00142F7D" w:rsidRPr="00EB3C56" w14:paraId="03A18070" w14:textId="77777777" w:rsidTr="00E03A07">
        <w:tc>
          <w:tcPr>
            <w:tcW w:w="2967" w:type="dxa"/>
            <w:shd w:val="clear" w:color="auto" w:fill="auto"/>
            <w:tcMar>
              <w:top w:w="100" w:type="dxa"/>
              <w:left w:w="100" w:type="dxa"/>
              <w:bottom w:w="100" w:type="dxa"/>
              <w:right w:w="100" w:type="dxa"/>
            </w:tcMar>
          </w:tcPr>
          <w:p w14:paraId="3E191F21" w14:textId="77777777" w:rsidR="00142F7D" w:rsidRPr="0080699B" w:rsidRDefault="00142F7D" w:rsidP="00E03A07">
            <w:pPr>
              <w:widowControl w:val="0"/>
              <w:pBdr>
                <w:top w:val="nil"/>
                <w:left w:val="nil"/>
                <w:bottom w:val="nil"/>
                <w:right w:val="nil"/>
                <w:between w:val="nil"/>
              </w:pBdr>
              <w:rPr>
                <w:lang w:val="it-IT"/>
              </w:rPr>
            </w:pPr>
            <w:proofErr w:type="spellStart"/>
            <w:r>
              <w:rPr>
                <w:lang w:val="it-IT"/>
              </w:rPr>
              <w:t>uACR</w:t>
            </w:r>
            <w:proofErr w:type="spellEnd"/>
            <w:r>
              <w:rPr>
                <w:lang w:val="it-IT"/>
              </w:rPr>
              <w:t xml:space="preserve"> </w:t>
            </w:r>
            <w:proofErr w:type="spellStart"/>
            <w:r>
              <w:rPr>
                <w:lang w:val="it-IT"/>
              </w:rPr>
              <w:t>at</w:t>
            </w:r>
            <w:proofErr w:type="spellEnd"/>
            <w:r>
              <w:rPr>
                <w:lang w:val="it-IT"/>
              </w:rPr>
              <w:t xml:space="preserve"> 24 months</w:t>
            </w:r>
          </w:p>
        </w:tc>
        <w:tc>
          <w:tcPr>
            <w:tcW w:w="2410" w:type="dxa"/>
            <w:shd w:val="clear" w:color="auto" w:fill="auto"/>
            <w:tcMar>
              <w:top w:w="100" w:type="dxa"/>
              <w:left w:w="100" w:type="dxa"/>
              <w:bottom w:w="100" w:type="dxa"/>
              <w:right w:w="100" w:type="dxa"/>
            </w:tcMar>
          </w:tcPr>
          <w:p w14:paraId="64CC010A" w14:textId="77777777" w:rsidR="00142F7D" w:rsidRPr="00DE4CBA" w:rsidRDefault="00142F7D" w:rsidP="00E03A07">
            <w:pPr>
              <w:widowControl w:val="0"/>
              <w:pBdr>
                <w:top w:val="nil"/>
                <w:left w:val="nil"/>
                <w:bottom w:val="nil"/>
                <w:right w:val="nil"/>
                <w:between w:val="nil"/>
              </w:pBdr>
              <w:rPr>
                <w:lang w:val="en-US"/>
              </w:rPr>
            </w:pPr>
            <w:r>
              <w:rPr>
                <w:lang w:val="en-US"/>
              </w:rPr>
              <w:t xml:space="preserve">268 </w:t>
            </w:r>
            <w:r w:rsidRPr="00DE4CBA">
              <w:rPr>
                <w:lang w:val="en-US"/>
              </w:rPr>
              <w:t>(</w:t>
            </w:r>
            <w:r>
              <w:rPr>
                <w:lang w:val="en-US"/>
              </w:rPr>
              <w:t>90; 2238</w:t>
            </w:r>
            <w:r w:rsidRPr="00DE4CBA">
              <w:rPr>
                <w:lang w:val="en-US"/>
              </w:rPr>
              <w:t>)</w:t>
            </w:r>
          </w:p>
        </w:tc>
        <w:tc>
          <w:tcPr>
            <w:tcW w:w="2268" w:type="dxa"/>
            <w:shd w:val="clear" w:color="auto" w:fill="auto"/>
            <w:tcMar>
              <w:top w:w="100" w:type="dxa"/>
              <w:left w:w="100" w:type="dxa"/>
              <w:bottom w:w="100" w:type="dxa"/>
              <w:right w:w="100" w:type="dxa"/>
            </w:tcMar>
          </w:tcPr>
          <w:p w14:paraId="0150C47D" w14:textId="77777777" w:rsidR="00142F7D" w:rsidRPr="00DE4CBA" w:rsidRDefault="00142F7D" w:rsidP="00E03A07">
            <w:pPr>
              <w:widowControl w:val="0"/>
              <w:pBdr>
                <w:top w:val="nil"/>
                <w:left w:val="nil"/>
                <w:bottom w:val="nil"/>
                <w:right w:val="nil"/>
                <w:between w:val="nil"/>
              </w:pBdr>
              <w:rPr>
                <w:lang w:val="en-US"/>
              </w:rPr>
            </w:pPr>
            <w:r>
              <w:rPr>
                <w:lang w:val="en-US"/>
              </w:rPr>
              <w:t>34</w:t>
            </w:r>
            <w:r w:rsidRPr="00DE4CBA">
              <w:rPr>
                <w:lang w:val="en-US"/>
              </w:rPr>
              <w:t xml:space="preserve"> (</w:t>
            </w:r>
            <w:r>
              <w:rPr>
                <w:lang w:val="en-US"/>
              </w:rPr>
              <w:t>24; 41</w:t>
            </w:r>
            <w:r w:rsidRPr="00DE4CBA">
              <w:rPr>
                <w:lang w:val="en-US"/>
              </w:rPr>
              <w:t>)</w:t>
            </w:r>
          </w:p>
        </w:tc>
        <w:tc>
          <w:tcPr>
            <w:tcW w:w="1276" w:type="dxa"/>
            <w:shd w:val="clear" w:color="auto" w:fill="auto"/>
            <w:tcMar>
              <w:top w:w="100" w:type="dxa"/>
              <w:left w:w="100" w:type="dxa"/>
              <w:bottom w:w="100" w:type="dxa"/>
              <w:right w:w="100" w:type="dxa"/>
            </w:tcMar>
          </w:tcPr>
          <w:p w14:paraId="128E9973" w14:textId="77777777" w:rsidR="00142F7D" w:rsidRPr="00DE4CBA" w:rsidRDefault="00142F7D" w:rsidP="00E03A07">
            <w:pPr>
              <w:widowControl w:val="0"/>
              <w:pBdr>
                <w:top w:val="nil"/>
                <w:left w:val="nil"/>
                <w:bottom w:val="nil"/>
                <w:right w:val="nil"/>
                <w:between w:val="nil"/>
              </w:pBdr>
              <w:rPr>
                <w:lang w:val="en-US"/>
              </w:rPr>
            </w:pPr>
            <w:r>
              <w:rPr>
                <w:lang w:val="en-US"/>
              </w:rPr>
              <w:t>0.08</w:t>
            </w:r>
          </w:p>
        </w:tc>
      </w:tr>
      <w:tr w:rsidR="00142F7D" w:rsidRPr="00EB3C56" w14:paraId="121FBB27" w14:textId="77777777" w:rsidTr="00E03A07">
        <w:tc>
          <w:tcPr>
            <w:tcW w:w="2967" w:type="dxa"/>
            <w:shd w:val="clear" w:color="auto" w:fill="auto"/>
            <w:tcMar>
              <w:top w:w="100" w:type="dxa"/>
              <w:left w:w="100" w:type="dxa"/>
              <w:bottom w:w="100" w:type="dxa"/>
              <w:right w:w="100" w:type="dxa"/>
            </w:tcMar>
          </w:tcPr>
          <w:p w14:paraId="65C8F561" w14:textId="77777777" w:rsidR="00142F7D" w:rsidRPr="00DE4CBA" w:rsidRDefault="00142F7D" w:rsidP="00E03A07">
            <w:pPr>
              <w:widowControl w:val="0"/>
              <w:pBdr>
                <w:top w:val="nil"/>
                <w:left w:val="nil"/>
                <w:bottom w:val="nil"/>
                <w:right w:val="nil"/>
                <w:between w:val="nil"/>
              </w:pBdr>
              <w:rPr>
                <w:lang w:val="en-US"/>
              </w:rPr>
            </w:pPr>
            <w:r>
              <w:rPr>
                <w:lang w:val="en-US"/>
              </w:rPr>
              <w:t>MFI at 24 months</w:t>
            </w:r>
          </w:p>
        </w:tc>
        <w:tc>
          <w:tcPr>
            <w:tcW w:w="2410" w:type="dxa"/>
            <w:shd w:val="clear" w:color="auto" w:fill="auto"/>
            <w:tcMar>
              <w:top w:w="100" w:type="dxa"/>
              <w:left w:w="100" w:type="dxa"/>
              <w:bottom w:w="100" w:type="dxa"/>
              <w:right w:w="100" w:type="dxa"/>
            </w:tcMar>
          </w:tcPr>
          <w:p w14:paraId="697A84A2" w14:textId="77777777" w:rsidR="00142F7D" w:rsidRPr="00DE4CBA" w:rsidRDefault="00142F7D" w:rsidP="00E03A07">
            <w:pPr>
              <w:widowControl w:val="0"/>
              <w:pBdr>
                <w:top w:val="nil"/>
                <w:left w:val="nil"/>
                <w:bottom w:val="nil"/>
                <w:right w:val="nil"/>
                <w:between w:val="nil"/>
              </w:pBdr>
              <w:rPr>
                <w:lang w:val="en-US"/>
              </w:rPr>
            </w:pPr>
            <w:r>
              <w:rPr>
                <w:lang w:val="en-US"/>
              </w:rPr>
              <w:t>934 (493; 16357)</w:t>
            </w:r>
          </w:p>
        </w:tc>
        <w:tc>
          <w:tcPr>
            <w:tcW w:w="2268" w:type="dxa"/>
            <w:shd w:val="clear" w:color="auto" w:fill="auto"/>
            <w:tcMar>
              <w:top w:w="100" w:type="dxa"/>
              <w:left w:w="100" w:type="dxa"/>
              <w:bottom w:w="100" w:type="dxa"/>
              <w:right w:w="100" w:type="dxa"/>
            </w:tcMar>
          </w:tcPr>
          <w:p w14:paraId="1C3F1CB6" w14:textId="77777777" w:rsidR="00142F7D" w:rsidRPr="00DE4CBA" w:rsidRDefault="00142F7D" w:rsidP="00E03A07">
            <w:pPr>
              <w:widowControl w:val="0"/>
              <w:rPr>
                <w:lang w:val="en-US"/>
              </w:rPr>
            </w:pPr>
            <w:r>
              <w:rPr>
                <w:lang w:val="en-US"/>
              </w:rPr>
              <w:t>10655 (4605; 19698)</w:t>
            </w:r>
          </w:p>
        </w:tc>
        <w:tc>
          <w:tcPr>
            <w:tcW w:w="1276" w:type="dxa"/>
            <w:shd w:val="clear" w:color="auto" w:fill="auto"/>
            <w:tcMar>
              <w:top w:w="100" w:type="dxa"/>
              <w:left w:w="100" w:type="dxa"/>
              <w:bottom w:w="100" w:type="dxa"/>
              <w:right w:w="100" w:type="dxa"/>
            </w:tcMar>
          </w:tcPr>
          <w:p w14:paraId="3C3D2E23" w14:textId="77777777" w:rsidR="00142F7D" w:rsidRPr="00DE4CBA" w:rsidRDefault="00142F7D" w:rsidP="00E03A07">
            <w:pPr>
              <w:widowControl w:val="0"/>
              <w:rPr>
                <w:lang w:val="en-US"/>
              </w:rPr>
            </w:pPr>
            <w:r>
              <w:rPr>
                <w:lang w:val="en-US"/>
              </w:rPr>
              <w:t>0.64</w:t>
            </w:r>
          </w:p>
        </w:tc>
      </w:tr>
      <w:tr w:rsidR="00142F7D" w:rsidRPr="00EB3C56" w14:paraId="338CC5B3" w14:textId="77777777" w:rsidTr="00E03A07">
        <w:tc>
          <w:tcPr>
            <w:tcW w:w="2967" w:type="dxa"/>
            <w:shd w:val="clear" w:color="auto" w:fill="auto"/>
            <w:tcMar>
              <w:top w:w="100" w:type="dxa"/>
              <w:left w:w="100" w:type="dxa"/>
              <w:bottom w:w="100" w:type="dxa"/>
              <w:right w:w="100" w:type="dxa"/>
            </w:tcMar>
          </w:tcPr>
          <w:p w14:paraId="665B70C0" w14:textId="77777777" w:rsidR="00142F7D" w:rsidRPr="00DE4CBA" w:rsidRDefault="00142F7D" w:rsidP="00E03A07">
            <w:pPr>
              <w:widowControl w:val="0"/>
              <w:pBdr>
                <w:top w:val="nil"/>
                <w:left w:val="nil"/>
                <w:bottom w:val="nil"/>
                <w:right w:val="nil"/>
                <w:between w:val="nil"/>
              </w:pBdr>
              <w:rPr>
                <w:lang w:val="en-US"/>
              </w:rPr>
            </w:pPr>
            <w:r>
              <w:rPr>
                <w:lang w:val="en-US"/>
              </w:rPr>
              <w:t>Severe Infection</w:t>
            </w:r>
          </w:p>
        </w:tc>
        <w:tc>
          <w:tcPr>
            <w:tcW w:w="2410" w:type="dxa"/>
            <w:shd w:val="clear" w:color="auto" w:fill="auto"/>
            <w:tcMar>
              <w:top w:w="100" w:type="dxa"/>
              <w:left w:w="100" w:type="dxa"/>
              <w:bottom w:w="100" w:type="dxa"/>
              <w:right w:w="100" w:type="dxa"/>
            </w:tcMar>
          </w:tcPr>
          <w:p w14:paraId="5D016EAF" w14:textId="77777777" w:rsidR="00142F7D" w:rsidRPr="00DE4CBA" w:rsidRDefault="00142F7D" w:rsidP="00E03A07">
            <w:pPr>
              <w:widowControl w:val="0"/>
              <w:pBdr>
                <w:top w:val="nil"/>
                <w:left w:val="nil"/>
                <w:bottom w:val="nil"/>
                <w:right w:val="nil"/>
                <w:between w:val="nil"/>
              </w:pBdr>
              <w:rPr>
                <w:lang w:val="en-US"/>
              </w:rPr>
            </w:pPr>
            <w:r>
              <w:rPr>
                <w:lang w:val="en-US"/>
              </w:rPr>
              <w:t>2 (29%)</w:t>
            </w:r>
          </w:p>
        </w:tc>
        <w:tc>
          <w:tcPr>
            <w:tcW w:w="2268" w:type="dxa"/>
            <w:shd w:val="clear" w:color="auto" w:fill="auto"/>
            <w:tcMar>
              <w:top w:w="100" w:type="dxa"/>
              <w:left w:w="100" w:type="dxa"/>
              <w:bottom w:w="100" w:type="dxa"/>
              <w:right w:w="100" w:type="dxa"/>
            </w:tcMar>
          </w:tcPr>
          <w:p w14:paraId="1B000FDC" w14:textId="77777777" w:rsidR="00142F7D" w:rsidRPr="00DE4CBA" w:rsidRDefault="00142F7D" w:rsidP="00E03A07">
            <w:pPr>
              <w:widowControl w:val="0"/>
              <w:pBdr>
                <w:top w:val="nil"/>
                <w:left w:val="nil"/>
                <w:bottom w:val="nil"/>
                <w:right w:val="nil"/>
                <w:between w:val="nil"/>
              </w:pBdr>
              <w:rPr>
                <w:lang w:val="en-US"/>
              </w:rPr>
            </w:pPr>
            <w:r>
              <w:rPr>
                <w:lang w:val="en-US"/>
              </w:rPr>
              <w:t>2 (40%)</w:t>
            </w:r>
          </w:p>
        </w:tc>
        <w:tc>
          <w:tcPr>
            <w:tcW w:w="1276" w:type="dxa"/>
            <w:shd w:val="clear" w:color="auto" w:fill="auto"/>
            <w:tcMar>
              <w:top w:w="100" w:type="dxa"/>
              <w:left w:w="100" w:type="dxa"/>
              <w:bottom w:w="100" w:type="dxa"/>
              <w:right w:w="100" w:type="dxa"/>
            </w:tcMar>
          </w:tcPr>
          <w:p w14:paraId="6C6D2E0E" w14:textId="77777777" w:rsidR="00142F7D" w:rsidRPr="00DE4CBA" w:rsidRDefault="00142F7D" w:rsidP="00E03A07">
            <w:pPr>
              <w:widowControl w:val="0"/>
              <w:pBdr>
                <w:top w:val="nil"/>
                <w:left w:val="nil"/>
                <w:bottom w:val="nil"/>
                <w:right w:val="nil"/>
                <w:between w:val="nil"/>
              </w:pBdr>
              <w:rPr>
                <w:lang w:val="en-US"/>
              </w:rPr>
            </w:pPr>
            <w:r>
              <w:rPr>
                <w:lang w:val="en-US"/>
              </w:rPr>
              <w:t>1.00</w:t>
            </w:r>
          </w:p>
        </w:tc>
      </w:tr>
    </w:tbl>
    <w:p w14:paraId="3A892C2F" w14:textId="77777777" w:rsidR="00142F7D" w:rsidRDefault="00142F7D" w:rsidP="00142F7D">
      <w:pPr>
        <w:spacing w:line="480" w:lineRule="auto"/>
        <w:rPr>
          <w:b/>
          <w:lang w:val="en-US"/>
        </w:rPr>
      </w:pPr>
    </w:p>
    <w:p w14:paraId="3B70DDD7" w14:textId="77777777" w:rsidR="00142F7D" w:rsidRDefault="00142F7D" w:rsidP="00142F7D">
      <w:pPr>
        <w:spacing w:line="480" w:lineRule="auto"/>
        <w:rPr>
          <w:b/>
          <w:lang w:val="en-US"/>
        </w:rPr>
      </w:pPr>
    </w:p>
    <w:p w14:paraId="73FB67FB" w14:textId="77777777" w:rsidR="00142F7D" w:rsidRPr="001E1A15" w:rsidRDefault="00142F7D" w:rsidP="00142F7D">
      <w:pPr>
        <w:spacing w:line="480" w:lineRule="auto"/>
        <w:rPr>
          <w:lang w:val="en-US"/>
        </w:rPr>
      </w:pPr>
      <w:r w:rsidRPr="001E1A15">
        <w:rPr>
          <w:b/>
          <w:lang w:val="en-US"/>
        </w:rPr>
        <w:lastRenderedPageBreak/>
        <w:t xml:space="preserve">Supplemental Table </w:t>
      </w:r>
      <w:r>
        <w:rPr>
          <w:b/>
          <w:lang w:val="en-US"/>
        </w:rPr>
        <w:t>2</w:t>
      </w:r>
      <w:r w:rsidRPr="001E1A15">
        <w:rPr>
          <w:b/>
          <w:lang w:val="en-US"/>
        </w:rPr>
        <w:t xml:space="preserve">. </w:t>
      </w:r>
      <w:r w:rsidRPr="001E1A15">
        <w:rPr>
          <w:lang w:val="en-US"/>
        </w:rPr>
        <w:t>Contingency table and diagnostic test metrics of maximum intraindividual increase of &gt; 25% compared to the 12 months mean in absolute dd-</w:t>
      </w:r>
      <w:proofErr w:type="spellStart"/>
      <w:r w:rsidRPr="001E1A15">
        <w:rPr>
          <w:lang w:val="en-US"/>
        </w:rPr>
        <w:t>cfDNA</w:t>
      </w:r>
      <w:proofErr w:type="spellEnd"/>
      <w:r w:rsidRPr="001E1A15">
        <w:rPr>
          <w:lang w:val="en-US"/>
        </w:rPr>
        <w:t xml:space="preserve"> for </w:t>
      </w:r>
      <w:r>
        <w:rPr>
          <w:lang w:val="en-US"/>
        </w:rPr>
        <w:t>AMR</w:t>
      </w:r>
      <w:r w:rsidRPr="001E1A15">
        <w:rPr>
          <w:lang w:val="en-US"/>
        </w:rPr>
        <w:t xml:space="preserve"> in DSA+ KTR. </w:t>
      </w:r>
      <w:proofErr w:type="spellStart"/>
      <w:r w:rsidRPr="001E1A15">
        <w:rPr>
          <w:lang w:val="en-US"/>
        </w:rPr>
        <w:t>Prev</w:t>
      </w:r>
      <w:proofErr w:type="spellEnd"/>
      <w:r w:rsidRPr="001E1A15">
        <w:rPr>
          <w:lang w:val="en-US"/>
        </w:rPr>
        <w:t xml:space="preserve">, Prevalence of </w:t>
      </w:r>
      <w:r>
        <w:rPr>
          <w:lang w:val="en-US"/>
        </w:rPr>
        <w:t>AMR</w:t>
      </w:r>
      <w:r w:rsidRPr="001E1A15">
        <w:rPr>
          <w:lang w:val="en-US"/>
        </w:rPr>
        <w:t>; Acc, accuracy; Sens, sensitivity; Spec, specificity; PPV, positive predictive value; NPV, negative predictive value.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42F7D" w:rsidRPr="001E1A15" w14:paraId="7AD132EE" w14:textId="77777777" w:rsidTr="00E03A07">
        <w:tc>
          <w:tcPr>
            <w:tcW w:w="1805" w:type="dxa"/>
            <w:shd w:val="clear" w:color="auto" w:fill="auto"/>
            <w:tcMar>
              <w:top w:w="100" w:type="dxa"/>
              <w:left w:w="100" w:type="dxa"/>
              <w:bottom w:w="100" w:type="dxa"/>
              <w:right w:w="100" w:type="dxa"/>
            </w:tcMar>
          </w:tcPr>
          <w:p w14:paraId="0ED0F116" w14:textId="77777777" w:rsidR="00142F7D" w:rsidRPr="001E1A15" w:rsidRDefault="00142F7D" w:rsidP="00E03A07">
            <w:pPr>
              <w:widowControl w:val="0"/>
              <w:rPr>
                <w:lang w:val="en-US"/>
              </w:rPr>
            </w:pPr>
          </w:p>
        </w:tc>
        <w:tc>
          <w:tcPr>
            <w:tcW w:w="1805" w:type="dxa"/>
            <w:shd w:val="clear" w:color="auto" w:fill="auto"/>
            <w:tcMar>
              <w:top w:w="100" w:type="dxa"/>
              <w:left w:w="100" w:type="dxa"/>
              <w:bottom w:w="100" w:type="dxa"/>
              <w:right w:w="100" w:type="dxa"/>
            </w:tcMar>
          </w:tcPr>
          <w:p w14:paraId="00BD97DC" w14:textId="77777777" w:rsidR="00142F7D" w:rsidRPr="001E1A15" w:rsidRDefault="00142F7D" w:rsidP="00E03A07">
            <w:pPr>
              <w:widowControl w:val="0"/>
            </w:pPr>
            <w:r>
              <w:rPr>
                <w:lang w:val="en-US"/>
              </w:rPr>
              <w:t>AMR</w:t>
            </w:r>
          </w:p>
        </w:tc>
        <w:tc>
          <w:tcPr>
            <w:tcW w:w="1805" w:type="dxa"/>
            <w:shd w:val="clear" w:color="auto" w:fill="auto"/>
            <w:tcMar>
              <w:top w:w="100" w:type="dxa"/>
              <w:left w:w="100" w:type="dxa"/>
              <w:bottom w:w="100" w:type="dxa"/>
              <w:right w:w="100" w:type="dxa"/>
            </w:tcMar>
          </w:tcPr>
          <w:p w14:paraId="0477959D" w14:textId="77777777" w:rsidR="00142F7D" w:rsidRPr="001E1A15" w:rsidRDefault="00142F7D" w:rsidP="00E03A07">
            <w:pPr>
              <w:widowControl w:val="0"/>
            </w:pPr>
            <w:proofErr w:type="spellStart"/>
            <w:r w:rsidRPr="001E1A15">
              <w:t>no</w:t>
            </w:r>
            <w:proofErr w:type="spellEnd"/>
            <w:r w:rsidRPr="001E1A15">
              <w:t xml:space="preserve"> </w:t>
            </w:r>
            <w:r>
              <w:rPr>
                <w:lang w:val="en-US"/>
              </w:rPr>
              <w:t>AMR</w:t>
            </w:r>
          </w:p>
        </w:tc>
        <w:tc>
          <w:tcPr>
            <w:tcW w:w="1805" w:type="dxa"/>
            <w:shd w:val="clear" w:color="auto" w:fill="auto"/>
            <w:tcMar>
              <w:top w:w="100" w:type="dxa"/>
              <w:left w:w="100" w:type="dxa"/>
              <w:bottom w:w="100" w:type="dxa"/>
              <w:right w:w="100" w:type="dxa"/>
            </w:tcMar>
          </w:tcPr>
          <w:p w14:paraId="7AB34E79"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4BD66443" w14:textId="77777777" w:rsidR="00142F7D" w:rsidRPr="001E1A15" w:rsidRDefault="00142F7D" w:rsidP="00E03A07">
            <w:pPr>
              <w:widowControl w:val="0"/>
            </w:pPr>
          </w:p>
        </w:tc>
      </w:tr>
      <w:tr w:rsidR="00142F7D" w:rsidRPr="001E1A15" w14:paraId="582059ED" w14:textId="77777777" w:rsidTr="00E03A07">
        <w:tc>
          <w:tcPr>
            <w:tcW w:w="1805" w:type="dxa"/>
            <w:shd w:val="clear" w:color="auto" w:fill="auto"/>
            <w:tcMar>
              <w:top w:w="100" w:type="dxa"/>
              <w:left w:w="100" w:type="dxa"/>
              <w:bottom w:w="100" w:type="dxa"/>
              <w:right w:w="100" w:type="dxa"/>
            </w:tcMar>
          </w:tcPr>
          <w:p w14:paraId="469BD76F" w14:textId="77777777" w:rsidR="00142F7D" w:rsidRPr="001E1A15" w:rsidRDefault="00142F7D" w:rsidP="00E03A07">
            <w:pPr>
              <w:widowControl w:val="0"/>
            </w:pPr>
            <w:r w:rsidRPr="001E1A15">
              <w:t xml:space="preserve">&gt; 25% </w:t>
            </w:r>
            <w:proofErr w:type="spellStart"/>
            <w:r w:rsidRPr="001E1A15">
              <w:t>increase</w:t>
            </w:r>
            <w:proofErr w:type="spellEnd"/>
          </w:p>
        </w:tc>
        <w:tc>
          <w:tcPr>
            <w:tcW w:w="1805" w:type="dxa"/>
            <w:shd w:val="clear" w:color="auto" w:fill="auto"/>
            <w:tcMar>
              <w:top w:w="100" w:type="dxa"/>
              <w:left w:w="100" w:type="dxa"/>
              <w:bottom w:w="100" w:type="dxa"/>
              <w:right w:w="100" w:type="dxa"/>
            </w:tcMar>
          </w:tcPr>
          <w:p w14:paraId="63A4AAA5" w14:textId="77777777" w:rsidR="00142F7D" w:rsidRPr="001E1A15" w:rsidRDefault="00142F7D" w:rsidP="00E03A07">
            <w:pPr>
              <w:widowControl w:val="0"/>
            </w:pPr>
            <w:r w:rsidRPr="001E1A15">
              <w:t>6</w:t>
            </w:r>
          </w:p>
        </w:tc>
        <w:tc>
          <w:tcPr>
            <w:tcW w:w="1805" w:type="dxa"/>
            <w:shd w:val="clear" w:color="auto" w:fill="auto"/>
            <w:tcMar>
              <w:top w:w="100" w:type="dxa"/>
              <w:left w:w="100" w:type="dxa"/>
              <w:bottom w:w="100" w:type="dxa"/>
              <w:right w:w="100" w:type="dxa"/>
            </w:tcMar>
          </w:tcPr>
          <w:p w14:paraId="3F33564E"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2F82CA6D" w14:textId="77777777" w:rsidR="00142F7D" w:rsidRPr="001E1A15" w:rsidRDefault="00142F7D" w:rsidP="00E03A07">
            <w:pPr>
              <w:widowControl w:val="0"/>
            </w:pPr>
            <w:r w:rsidRPr="001E1A15">
              <w:t>18</w:t>
            </w:r>
          </w:p>
        </w:tc>
        <w:tc>
          <w:tcPr>
            <w:tcW w:w="1805" w:type="dxa"/>
            <w:shd w:val="clear" w:color="auto" w:fill="auto"/>
            <w:tcMar>
              <w:top w:w="100" w:type="dxa"/>
              <w:left w:w="100" w:type="dxa"/>
              <w:bottom w:w="100" w:type="dxa"/>
              <w:right w:w="100" w:type="dxa"/>
            </w:tcMar>
          </w:tcPr>
          <w:p w14:paraId="479C7424" w14:textId="77777777" w:rsidR="00142F7D" w:rsidRPr="001E1A15" w:rsidRDefault="00142F7D" w:rsidP="00E03A07">
            <w:pPr>
              <w:widowControl w:val="0"/>
            </w:pPr>
            <w:r w:rsidRPr="001E1A15">
              <w:t>PPV 0.33</w:t>
            </w:r>
          </w:p>
        </w:tc>
      </w:tr>
      <w:tr w:rsidR="00142F7D" w:rsidRPr="001E1A15" w14:paraId="1104DEDE" w14:textId="77777777" w:rsidTr="00E03A07">
        <w:tc>
          <w:tcPr>
            <w:tcW w:w="1805" w:type="dxa"/>
            <w:shd w:val="clear" w:color="auto" w:fill="auto"/>
            <w:tcMar>
              <w:top w:w="100" w:type="dxa"/>
              <w:left w:w="100" w:type="dxa"/>
              <w:bottom w:w="100" w:type="dxa"/>
              <w:right w:w="100" w:type="dxa"/>
            </w:tcMar>
          </w:tcPr>
          <w:p w14:paraId="6C26B28F" w14:textId="77777777" w:rsidR="00142F7D" w:rsidRPr="001E1A15" w:rsidRDefault="00142F7D" w:rsidP="00E03A07">
            <w:pPr>
              <w:widowControl w:val="0"/>
            </w:pPr>
            <w:r w:rsidRPr="001E1A15">
              <w:rPr>
                <w:rFonts w:eastAsia="Arial Unicode MS"/>
              </w:rPr>
              <w:t xml:space="preserve">≤ 25% </w:t>
            </w:r>
            <w:proofErr w:type="spellStart"/>
            <w:r w:rsidRPr="001E1A15">
              <w:rPr>
                <w:rFonts w:eastAsia="Arial Unicode MS"/>
              </w:rPr>
              <w:t>increase</w:t>
            </w:r>
            <w:proofErr w:type="spellEnd"/>
          </w:p>
        </w:tc>
        <w:tc>
          <w:tcPr>
            <w:tcW w:w="1805" w:type="dxa"/>
            <w:shd w:val="clear" w:color="auto" w:fill="auto"/>
            <w:tcMar>
              <w:top w:w="100" w:type="dxa"/>
              <w:left w:w="100" w:type="dxa"/>
              <w:bottom w:w="100" w:type="dxa"/>
              <w:right w:w="100" w:type="dxa"/>
            </w:tcMar>
          </w:tcPr>
          <w:p w14:paraId="239D1382" w14:textId="77777777" w:rsidR="00142F7D" w:rsidRPr="001E1A15" w:rsidRDefault="00142F7D" w:rsidP="00E03A07">
            <w:pPr>
              <w:widowControl w:val="0"/>
            </w:pPr>
            <w:r w:rsidRPr="001E1A15">
              <w:t>6</w:t>
            </w:r>
          </w:p>
        </w:tc>
        <w:tc>
          <w:tcPr>
            <w:tcW w:w="1805" w:type="dxa"/>
            <w:shd w:val="clear" w:color="auto" w:fill="auto"/>
            <w:tcMar>
              <w:top w:w="100" w:type="dxa"/>
              <w:left w:w="100" w:type="dxa"/>
              <w:bottom w:w="100" w:type="dxa"/>
              <w:right w:w="100" w:type="dxa"/>
            </w:tcMar>
          </w:tcPr>
          <w:p w14:paraId="5C0229EE" w14:textId="77777777" w:rsidR="00142F7D" w:rsidRPr="001E1A15" w:rsidRDefault="00142F7D" w:rsidP="00E03A07">
            <w:pPr>
              <w:widowControl w:val="0"/>
            </w:pPr>
            <w:r w:rsidRPr="001E1A15">
              <w:t>2</w:t>
            </w:r>
          </w:p>
        </w:tc>
        <w:tc>
          <w:tcPr>
            <w:tcW w:w="1805" w:type="dxa"/>
            <w:shd w:val="clear" w:color="auto" w:fill="auto"/>
            <w:tcMar>
              <w:top w:w="100" w:type="dxa"/>
              <w:left w:w="100" w:type="dxa"/>
              <w:bottom w:w="100" w:type="dxa"/>
              <w:right w:w="100" w:type="dxa"/>
            </w:tcMar>
          </w:tcPr>
          <w:p w14:paraId="5A0F8925" w14:textId="77777777" w:rsidR="00142F7D" w:rsidRPr="001E1A15" w:rsidRDefault="00142F7D" w:rsidP="00E03A07">
            <w:pPr>
              <w:widowControl w:val="0"/>
            </w:pPr>
            <w:r w:rsidRPr="001E1A15">
              <w:t>8</w:t>
            </w:r>
          </w:p>
        </w:tc>
        <w:tc>
          <w:tcPr>
            <w:tcW w:w="1805" w:type="dxa"/>
            <w:shd w:val="clear" w:color="auto" w:fill="auto"/>
            <w:tcMar>
              <w:top w:w="100" w:type="dxa"/>
              <w:left w:w="100" w:type="dxa"/>
              <w:bottom w:w="100" w:type="dxa"/>
              <w:right w:w="100" w:type="dxa"/>
            </w:tcMar>
          </w:tcPr>
          <w:p w14:paraId="210D29AF" w14:textId="77777777" w:rsidR="00142F7D" w:rsidRPr="001E1A15" w:rsidRDefault="00142F7D" w:rsidP="00E03A07">
            <w:pPr>
              <w:widowControl w:val="0"/>
            </w:pPr>
            <w:r w:rsidRPr="001E1A15">
              <w:t>NPV 0.25</w:t>
            </w:r>
          </w:p>
        </w:tc>
      </w:tr>
      <w:tr w:rsidR="00142F7D" w:rsidRPr="001E1A15" w14:paraId="3204725D" w14:textId="77777777" w:rsidTr="00E03A07">
        <w:tc>
          <w:tcPr>
            <w:tcW w:w="1805" w:type="dxa"/>
            <w:shd w:val="clear" w:color="auto" w:fill="auto"/>
            <w:tcMar>
              <w:top w:w="100" w:type="dxa"/>
              <w:left w:w="100" w:type="dxa"/>
              <w:bottom w:w="100" w:type="dxa"/>
              <w:right w:w="100" w:type="dxa"/>
            </w:tcMar>
          </w:tcPr>
          <w:p w14:paraId="02E69849"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636CCD62"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60101087" w14:textId="77777777" w:rsidR="00142F7D" w:rsidRPr="001E1A15" w:rsidRDefault="00142F7D" w:rsidP="00E03A07">
            <w:pPr>
              <w:widowControl w:val="0"/>
            </w:pPr>
            <w:r w:rsidRPr="001E1A15">
              <w:t>14</w:t>
            </w:r>
          </w:p>
        </w:tc>
        <w:tc>
          <w:tcPr>
            <w:tcW w:w="1805" w:type="dxa"/>
            <w:shd w:val="clear" w:color="auto" w:fill="auto"/>
            <w:tcMar>
              <w:top w:w="100" w:type="dxa"/>
              <w:left w:w="100" w:type="dxa"/>
              <w:bottom w:w="100" w:type="dxa"/>
              <w:right w:w="100" w:type="dxa"/>
            </w:tcMar>
          </w:tcPr>
          <w:p w14:paraId="6356F969" w14:textId="77777777" w:rsidR="00142F7D" w:rsidRPr="001E1A15" w:rsidRDefault="00142F7D" w:rsidP="00E03A07">
            <w:pPr>
              <w:widowControl w:val="0"/>
            </w:pPr>
            <w:r w:rsidRPr="001E1A15">
              <w:t>26</w:t>
            </w:r>
          </w:p>
        </w:tc>
        <w:tc>
          <w:tcPr>
            <w:tcW w:w="1805" w:type="dxa"/>
            <w:shd w:val="clear" w:color="auto" w:fill="auto"/>
            <w:tcMar>
              <w:top w:w="100" w:type="dxa"/>
              <w:left w:w="100" w:type="dxa"/>
              <w:bottom w:w="100" w:type="dxa"/>
              <w:right w:w="100" w:type="dxa"/>
            </w:tcMar>
          </w:tcPr>
          <w:p w14:paraId="1AAB2057" w14:textId="77777777" w:rsidR="00142F7D" w:rsidRPr="001E1A15" w:rsidRDefault="00142F7D" w:rsidP="00E03A07">
            <w:pPr>
              <w:widowControl w:val="0"/>
            </w:pPr>
            <w:proofErr w:type="spellStart"/>
            <w:r w:rsidRPr="001E1A15">
              <w:t>Prev</w:t>
            </w:r>
            <w:proofErr w:type="spellEnd"/>
            <w:r w:rsidRPr="001E1A15">
              <w:t xml:space="preserve"> 0.46</w:t>
            </w:r>
          </w:p>
        </w:tc>
      </w:tr>
      <w:tr w:rsidR="00142F7D" w:rsidRPr="001E1A15" w14:paraId="401BAB5E" w14:textId="77777777" w:rsidTr="00E03A07">
        <w:tc>
          <w:tcPr>
            <w:tcW w:w="1805" w:type="dxa"/>
            <w:shd w:val="clear" w:color="auto" w:fill="auto"/>
            <w:tcMar>
              <w:top w:w="100" w:type="dxa"/>
              <w:left w:w="100" w:type="dxa"/>
              <w:bottom w:w="100" w:type="dxa"/>
              <w:right w:w="100" w:type="dxa"/>
            </w:tcMar>
          </w:tcPr>
          <w:p w14:paraId="6FA41B92"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05C29C50" w14:textId="77777777" w:rsidR="00142F7D" w:rsidRPr="001E1A15" w:rsidRDefault="00142F7D" w:rsidP="00E03A07">
            <w:pPr>
              <w:widowControl w:val="0"/>
            </w:pPr>
            <w:r w:rsidRPr="001E1A15">
              <w:t>Sens 0.50</w:t>
            </w:r>
          </w:p>
        </w:tc>
        <w:tc>
          <w:tcPr>
            <w:tcW w:w="1805" w:type="dxa"/>
            <w:shd w:val="clear" w:color="auto" w:fill="auto"/>
            <w:tcMar>
              <w:top w:w="100" w:type="dxa"/>
              <w:left w:w="100" w:type="dxa"/>
              <w:bottom w:w="100" w:type="dxa"/>
              <w:right w:w="100" w:type="dxa"/>
            </w:tcMar>
          </w:tcPr>
          <w:p w14:paraId="15F36EAC" w14:textId="77777777" w:rsidR="00142F7D" w:rsidRPr="001E1A15" w:rsidRDefault="00142F7D" w:rsidP="00E03A07">
            <w:pPr>
              <w:widowControl w:val="0"/>
            </w:pPr>
            <w:proofErr w:type="spellStart"/>
            <w:r w:rsidRPr="001E1A15">
              <w:t>Spec</w:t>
            </w:r>
            <w:proofErr w:type="spellEnd"/>
            <w:r w:rsidRPr="001E1A15">
              <w:t xml:space="preserve"> 0.14</w:t>
            </w:r>
          </w:p>
        </w:tc>
        <w:tc>
          <w:tcPr>
            <w:tcW w:w="1805" w:type="dxa"/>
            <w:shd w:val="clear" w:color="auto" w:fill="auto"/>
            <w:tcMar>
              <w:top w:w="100" w:type="dxa"/>
              <w:left w:w="100" w:type="dxa"/>
              <w:bottom w:w="100" w:type="dxa"/>
              <w:right w:w="100" w:type="dxa"/>
            </w:tcMar>
          </w:tcPr>
          <w:p w14:paraId="36E98C82"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38C030C4" w14:textId="77777777" w:rsidR="00142F7D" w:rsidRPr="001E1A15" w:rsidRDefault="00142F7D" w:rsidP="00E03A07">
            <w:pPr>
              <w:widowControl w:val="0"/>
            </w:pPr>
            <w:proofErr w:type="spellStart"/>
            <w:r w:rsidRPr="001E1A15">
              <w:t>Acc</w:t>
            </w:r>
            <w:proofErr w:type="spellEnd"/>
            <w:r w:rsidRPr="001E1A15">
              <w:t xml:space="preserve"> 0.31</w:t>
            </w:r>
          </w:p>
        </w:tc>
      </w:tr>
    </w:tbl>
    <w:p w14:paraId="0089F8AA" w14:textId="77777777" w:rsidR="00142F7D" w:rsidRPr="001E1A15" w:rsidRDefault="00142F7D" w:rsidP="00142F7D">
      <w:pPr>
        <w:spacing w:line="480" w:lineRule="auto"/>
      </w:pPr>
    </w:p>
    <w:p w14:paraId="4815381F" w14:textId="77777777" w:rsidR="00142F7D" w:rsidRPr="001E1A15" w:rsidRDefault="00142F7D" w:rsidP="00142F7D">
      <w:pPr>
        <w:spacing w:line="480" w:lineRule="auto"/>
        <w:rPr>
          <w:lang w:val="en-US"/>
        </w:rPr>
      </w:pPr>
      <w:r w:rsidRPr="001E1A15">
        <w:rPr>
          <w:b/>
          <w:lang w:val="en-US"/>
        </w:rPr>
        <w:t xml:space="preserve">Supplemental Table </w:t>
      </w:r>
      <w:r>
        <w:rPr>
          <w:b/>
          <w:lang w:val="en-US"/>
        </w:rPr>
        <w:t>3</w:t>
      </w:r>
      <w:r w:rsidRPr="001E1A15">
        <w:rPr>
          <w:b/>
          <w:lang w:val="en-US"/>
        </w:rPr>
        <w:t xml:space="preserve">. </w:t>
      </w:r>
      <w:r w:rsidRPr="001E1A15">
        <w:rPr>
          <w:lang w:val="en-US"/>
        </w:rPr>
        <w:t>Contingency table and diagnostic test metrics of a combined criterium of longitudinal absolute dd-</w:t>
      </w:r>
      <w:proofErr w:type="spellStart"/>
      <w:r w:rsidRPr="001E1A15">
        <w:rPr>
          <w:lang w:val="en-US"/>
        </w:rPr>
        <w:t>cfDNA</w:t>
      </w:r>
      <w:proofErr w:type="spellEnd"/>
      <w:r w:rsidRPr="001E1A15">
        <w:rPr>
          <w:lang w:val="en-US"/>
        </w:rPr>
        <w:t xml:space="preserve"> monitoring with a cutoff of 50 copies/mL or maximum intraindividual increase of &gt; 25% compared to the 12 months mean in absolute dd-</w:t>
      </w:r>
      <w:proofErr w:type="spellStart"/>
      <w:r w:rsidRPr="001E1A15">
        <w:rPr>
          <w:lang w:val="en-US"/>
        </w:rPr>
        <w:t>cfDNA</w:t>
      </w:r>
      <w:proofErr w:type="spellEnd"/>
      <w:r w:rsidRPr="001E1A15">
        <w:rPr>
          <w:lang w:val="en-US"/>
        </w:rPr>
        <w:t xml:space="preserve"> for </w:t>
      </w:r>
      <w:r>
        <w:rPr>
          <w:lang w:val="en-US"/>
        </w:rPr>
        <w:t>AMR</w:t>
      </w:r>
      <w:r w:rsidRPr="001E1A15">
        <w:rPr>
          <w:lang w:val="en-US"/>
        </w:rPr>
        <w:t xml:space="preserve"> in DSA+ KTR. </w:t>
      </w:r>
      <w:proofErr w:type="spellStart"/>
      <w:r w:rsidRPr="001E1A15">
        <w:rPr>
          <w:lang w:val="en-US"/>
        </w:rPr>
        <w:t>Prev</w:t>
      </w:r>
      <w:proofErr w:type="spellEnd"/>
      <w:r w:rsidRPr="001E1A15">
        <w:rPr>
          <w:lang w:val="en-US"/>
        </w:rPr>
        <w:t xml:space="preserve">, Prevalence of </w:t>
      </w:r>
      <w:r>
        <w:rPr>
          <w:lang w:val="en-US"/>
        </w:rPr>
        <w:t>AMR</w:t>
      </w:r>
      <w:r w:rsidRPr="001E1A15">
        <w:rPr>
          <w:lang w:val="en-US"/>
        </w:rPr>
        <w:t>; Acc, accuracy; Sens, sensitivity; Spec, specificity; PPV, positive predictive value; NPV, negative predictive value.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42F7D" w:rsidRPr="001E1A15" w14:paraId="1C96F77A" w14:textId="77777777" w:rsidTr="00E03A07">
        <w:tc>
          <w:tcPr>
            <w:tcW w:w="1805" w:type="dxa"/>
            <w:shd w:val="clear" w:color="auto" w:fill="auto"/>
            <w:tcMar>
              <w:top w:w="100" w:type="dxa"/>
              <w:left w:w="100" w:type="dxa"/>
              <w:bottom w:w="100" w:type="dxa"/>
              <w:right w:w="100" w:type="dxa"/>
            </w:tcMar>
          </w:tcPr>
          <w:p w14:paraId="7116D719" w14:textId="77777777" w:rsidR="00142F7D" w:rsidRPr="001E1A15" w:rsidRDefault="00142F7D" w:rsidP="00E03A07">
            <w:pPr>
              <w:widowControl w:val="0"/>
              <w:rPr>
                <w:lang w:val="en-US"/>
              </w:rPr>
            </w:pPr>
          </w:p>
        </w:tc>
        <w:tc>
          <w:tcPr>
            <w:tcW w:w="1805" w:type="dxa"/>
            <w:shd w:val="clear" w:color="auto" w:fill="auto"/>
            <w:tcMar>
              <w:top w:w="100" w:type="dxa"/>
              <w:left w:w="100" w:type="dxa"/>
              <w:bottom w:w="100" w:type="dxa"/>
              <w:right w:w="100" w:type="dxa"/>
            </w:tcMar>
          </w:tcPr>
          <w:p w14:paraId="1446DD96" w14:textId="77777777" w:rsidR="00142F7D" w:rsidRPr="001E1A15" w:rsidRDefault="00142F7D" w:rsidP="00E03A07">
            <w:pPr>
              <w:widowControl w:val="0"/>
            </w:pPr>
            <w:r>
              <w:rPr>
                <w:lang w:val="en-US"/>
              </w:rPr>
              <w:t>AMR</w:t>
            </w:r>
          </w:p>
        </w:tc>
        <w:tc>
          <w:tcPr>
            <w:tcW w:w="1805" w:type="dxa"/>
            <w:shd w:val="clear" w:color="auto" w:fill="auto"/>
            <w:tcMar>
              <w:top w:w="100" w:type="dxa"/>
              <w:left w:w="100" w:type="dxa"/>
              <w:bottom w:w="100" w:type="dxa"/>
              <w:right w:w="100" w:type="dxa"/>
            </w:tcMar>
          </w:tcPr>
          <w:p w14:paraId="7DAF6E93" w14:textId="77777777" w:rsidR="00142F7D" w:rsidRPr="001E1A15" w:rsidRDefault="00142F7D" w:rsidP="00E03A07">
            <w:pPr>
              <w:widowControl w:val="0"/>
            </w:pPr>
            <w:proofErr w:type="spellStart"/>
            <w:r w:rsidRPr="001E1A15">
              <w:t>no</w:t>
            </w:r>
            <w:proofErr w:type="spellEnd"/>
            <w:r w:rsidRPr="001E1A15">
              <w:t xml:space="preserve"> </w:t>
            </w:r>
            <w:r>
              <w:rPr>
                <w:lang w:val="en-US"/>
              </w:rPr>
              <w:t>AMR</w:t>
            </w:r>
          </w:p>
        </w:tc>
        <w:tc>
          <w:tcPr>
            <w:tcW w:w="1805" w:type="dxa"/>
            <w:shd w:val="clear" w:color="auto" w:fill="auto"/>
            <w:tcMar>
              <w:top w:w="100" w:type="dxa"/>
              <w:left w:w="100" w:type="dxa"/>
              <w:bottom w:w="100" w:type="dxa"/>
              <w:right w:w="100" w:type="dxa"/>
            </w:tcMar>
          </w:tcPr>
          <w:p w14:paraId="4E31E840"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6BA7B9FC" w14:textId="77777777" w:rsidR="00142F7D" w:rsidRPr="001E1A15" w:rsidRDefault="00142F7D" w:rsidP="00E03A07">
            <w:pPr>
              <w:widowControl w:val="0"/>
            </w:pPr>
          </w:p>
        </w:tc>
      </w:tr>
      <w:tr w:rsidR="00142F7D" w:rsidRPr="001E1A15" w14:paraId="66A75211" w14:textId="77777777" w:rsidTr="00E03A07">
        <w:tc>
          <w:tcPr>
            <w:tcW w:w="1805" w:type="dxa"/>
            <w:shd w:val="clear" w:color="auto" w:fill="auto"/>
            <w:tcMar>
              <w:top w:w="100" w:type="dxa"/>
              <w:left w:w="100" w:type="dxa"/>
              <w:bottom w:w="100" w:type="dxa"/>
              <w:right w:w="100" w:type="dxa"/>
            </w:tcMar>
          </w:tcPr>
          <w:p w14:paraId="66A0D1C5" w14:textId="77777777" w:rsidR="00142F7D" w:rsidRPr="001E1A15" w:rsidRDefault="00142F7D" w:rsidP="00E03A07">
            <w:pPr>
              <w:widowControl w:val="0"/>
            </w:pPr>
            <w:r w:rsidRPr="001E1A15">
              <w:t xml:space="preserve">&gt; 25% </w:t>
            </w:r>
            <w:proofErr w:type="spellStart"/>
            <w:r w:rsidRPr="001E1A15">
              <w:t>increase</w:t>
            </w:r>
            <w:proofErr w:type="spellEnd"/>
            <w:r w:rsidRPr="001E1A15">
              <w:t xml:space="preserve"> </w:t>
            </w:r>
            <w:proofErr w:type="spellStart"/>
            <w:r w:rsidRPr="001E1A15">
              <w:t>or</w:t>
            </w:r>
            <w:proofErr w:type="spellEnd"/>
            <w:r w:rsidRPr="001E1A15">
              <w:t xml:space="preserve"> &gt; 50 </w:t>
            </w:r>
            <w:proofErr w:type="spellStart"/>
            <w:r w:rsidRPr="001E1A15">
              <w:t>cp</w:t>
            </w:r>
            <w:proofErr w:type="spellEnd"/>
            <w:r w:rsidRPr="001E1A15">
              <w:t>/</w:t>
            </w:r>
            <w:proofErr w:type="spellStart"/>
            <w:r w:rsidRPr="001E1A15">
              <w:t>mL</w:t>
            </w:r>
            <w:proofErr w:type="spellEnd"/>
          </w:p>
        </w:tc>
        <w:tc>
          <w:tcPr>
            <w:tcW w:w="1805" w:type="dxa"/>
            <w:shd w:val="clear" w:color="auto" w:fill="auto"/>
            <w:tcMar>
              <w:top w:w="100" w:type="dxa"/>
              <w:left w:w="100" w:type="dxa"/>
              <w:bottom w:w="100" w:type="dxa"/>
              <w:right w:w="100" w:type="dxa"/>
            </w:tcMar>
          </w:tcPr>
          <w:p w14:paraId="429C5339" w14:textId="77777777" w:rsidR="00142F7D" w:rsidRPr="001E1A15" w:rsidRDefault="00142F7D" w:rsidP="00E03A07">
            <w:pPr>
              <w:widowControl w:val="0"/>
            </w:pPr>
            <w:r w:rsidRPr="001E1A15">
              <w:t>12</w:t>
            </w:r>
          </w:p>
          <w:p w14:paraId="023197B0"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4394F695"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44C47C16" w14:textId="77777777" w:rsidR="00142F7D" w:rsidRPr="001E1A15" w:rsidRDefault="00142F7D" w:rsidP="00E03A07">
            <w:pPr>
              <w:widowControl w:val="0"/>
            </w:pPr>
            <w:r w:rsidRPr="001E1A15">
              <w:t>18</w:t>
            </w:r>
          </w:p>
        </w:tc>
        <w:tc>
          <w:tcPr>
            <w:tcW w:w="1805" w:type="dxa"/>
            <w:shd w:val="clear" w:color="auto" w:fill="auto"/>
            <w:tcMar>
              <w:top w:w="100" w:type="dxa"/>
              <w:left w:w="100" w:type="dxa"/>
              <w:bottom w:w="100" w:type="dxa"/>
              <w:right w:w="100" w:type="dxa"/>
            </w:tcMar>
          </w:tcPr>
          <w:p w14:paraId="40D92D30" w14:textId="77777777" w:rsidR="00142F7D" w:rsidRPr="001E1A15" w:rsidRDefault="00142F7D" w:rsidP="00E03A07">
            <w:pPr>
              <w:widowControl w:val="0"/>
            </w:pPr>
            <w:r w:rsidRPr="001E1A15">
              <w:t>PPV 0.50</w:t>
            </w:r>
          </w:p>
        </w:tc>
      </w:tr>
      <w:tr w:rsidR="00142F7D" w:rsidRPr="001E1A15" w14:paraId="303C2BEB" w14:textId="77777777" w:rsidTr="00E03A07">
        <w:tc>
          <w:tcPr>
            <w:tcW w:w="1805" w:type="dxa"/>
            <w:shd w:val="clear" w:color="auto" w:fill="auto"/>
            <w:tcMar>
              <w:top w:w="100" w:type="dxa"/>
              <w:left w:w="100" w:type="dxa"/>
              <w:bottom w:w="100" w:type="dxa"/>
              <w:right w:w="100" w:type="dxa"/>
            </w:tcMar>
          </w:tcPr>
          <w:p w14:paraId="3C0448E4" w14:textId="77777777" w:rsidR="00142F7D" w:rsidRPr="001E1A15" w:rsidRDefault="00142F7D" w:rsidP="00E03A07">
            <w:pPr>
              <w:widowControl w:val="0"/>
            </w:pPr>
            <w:r w:rsidRPr="001E1A15">
              <w:rPr>
                <w:rFonts w:eastAsia="Arial Unicode MS"/>
              </w:rPr>
              <w:t xml:space="preserve">≤ 25% </w:t>
            </w:r>
            <w:proofErr w:type="spellStart"/>
            <w:r w:rsidRPr="001E1A15">
              <w:rPr>
                <w:rFonts w:eastAsia="Arial Unicode MS"/>
              </w:rPr>
              <w:t>increase</w:t>
            </w:r>
            <w:proofErr w:type="spellEnd"/>
          </w:p>
          <w:p w14:paraId="0B6D3031" w14:textId="77777777" w:rsidR="00142F7D" w:rsidRPr="001E1A15" w:rsidRDefault="00142F7D" w:rsidP="00E03A07">
            <w:pPr>
              <w:widowControl w:val="0"/>
            </w:pPr>
            <w:r w:rsidRPr="001E1A15">
              <w:rPr>
                <w:rFonts w:eastAsia="Arial Unicode MS"/>
              </w:rPr>
              <w:t xml:space="preserve">and ≤ 50 </w:t>
            </w:r>
            <w:proofErr w:type="spellStart"/>
            <w:r w:rsidRPr="001E1A15">
              <w:rPr>
                <w:rFonts w:eastAsia="Arial Unicode MS"/>
              </w:rPr>
              <w:t>cp</w:t>
            </w:r>
            <w:proofErr w:type="spellEnd"/>
            <w:r w:rsidRPr="001E1A15">
              <w:rPr>
                <w:rFonts w:eastAsia="Arial Unicode MS"/>
              </w:rPr>
              <w:t>/</w:t>
            </w:r>
            <w:proofErr w:type="spellStart"/>
            <w:r w:rsidRPr="001E1A15">
              <w:rPr>
                <w:rFonts w:eastAsia="Arial Unicode MS"/>
              </w:rPr>
              <w:t>mL</w:t>
            </w:r>
            <w:proofErr w:type="spellEnd"/>
          </w:p>
        </w:tc>
        <w:tc>
          <w:tcPr>
            <w:tcW w:w="1805" w:type="dxa"/>
            <w:shd w:val="clear" w:color="auto" w:fill="auto"/>
            <w:tcMar>
              <w:top w:w="100" w:type="dxa"/>
              <w:left w:w="100" w:type="dxa"/>
              <w:bottom w:w="100" w:type="dxa"/>
              <w:right w:w="100" w:type="dxa"/>
            </w:tcMar>
          </w:tcPr>
          <w:p w14:paraId="76DE87B6" w14:textId="77777777" w:rsidR="00142F7D" w:rsidRPr="001E1A15" w:rsidRDefault="00142F7D" w:rsidP="00E03A07">
            <w:pPr>
              <w:widowControl w:val="0"/>
            </w:pPr>
            <w:r w:rsidRPr="001E1A15">
              <w:t>0</w:t>
            </w:r>
          </w:p>
        </w:tc>
        <w:tc>
          <w:tcPr>
            <w:tcW w:w="1805" w:type="dxa"/>
            <w:shd w:val="clear" w:color="auto" w:fill="auto"/>
            <w:tcMar>
              <w:top w:w="100" w:type="dxa"/>
              <w:left w:w="100" w:type="dxa"/>
              <w:bottom w:w="100" w:type="dxa"/>
              <w:right w:w="100" w:type="dxa"/>
            </w:tcMar>
          </w:tcPr>
          <w:p w14:paraId="52094EFF" w14:textId="77777777" w:rsidR="00142F7D" w:rsidRPr="001E1A15" w:rsidRDefault="00142F7D" w:rsidP="00E03A07">
            <w:pPr>
              <w:widowControl w:val="0"/>
            </w:pPr>
            <w:r w:rsidRPr="001E1A15">
              <w:t>2</w:t>
            </w:r>
          </w:p>
        </w:tc>
        <w:tc>
          <w:tcPr>
            <w:tcW w:w="1805" w:type="dxa"/>
            <w:shd w:val="clear" w:color="auto" w:fill="auto"/>
            <w:tcMar>
              <w:top w:w="100" w:type="dxa"/>
              <w:left w:w="100" w:type="dxa"/>
              <w:bottom w:w="100" w:type="dxa"/>
              <w:right w:w="100" w:type="dxa"/>
            </w:tcMar>
          </w:tcPr>
          <w:p w14:paraId="4A286C78" w14:textId="77777777" w:rsidR="00142F7D" w:rsidRPr="001E1A15" w:rsidRDefault="00142F7D" w:rsidP="00E03A07">
            <w:pPr>
              <w:widowControl w:val="0"/>
            </w:pPr>
            <w:r w:rsidRPr="001E1A15">
              <w:t>8</w:t>
            </w:r>
          </w:p>
        </w:tc>
        <w:tc>
          <w:tcPr>
            <w:tcW w:w="1805" w:type="dxa"/>
            <w:shd w:val="clear" w:color="auto" w:fill="auto"/>
            <w:tcMar>
              <w:top w:w="100" w:type="dxa"/>
              <w:left w:w="100" w:type="dxa"/>
              <w:bottom w:w="100" w:type="dxa"/>
              <w:right w:w="100" w:type="dxa"/>
            </w:tcMar>
          </w:tcPr>
          <w:p w14:paraId="0BD61DA6" w14:textId="77777777" w:rsidR="00142F7D" w:rsidRPr="001E1A15" w:rsidRDefault="00142F7D" w:rsidP="00E03A07">
            <w:pPr>
              <w:widowControl w:val="0"/>
            </w:pPr>
            <w:r w:rsidRPr="001E1A15">
              <w:t>NPV 1.00</w:t>
            </w:r>
          </w:p>
        </w:tc>
      </w:tr>
      <w:tr w:rsidR="00142F7D" w:rsidRPr="001E1A15" w14:paraId="07EBAAA2" w14:textId="77777777" w:rsidTr="00E03A07">
        <w:tc>
          <w:tcPr>
            <w:tcW w:w="1805" w:type="dxa"/>
            <w:shd w:val="clear" w:color="auto" w:fill="auto"/>
            <w:tcMar>
              <w:top w:w="100" w:type="dxa"/>
              <w:left w:w="100" w:type="dxa"/>
              <w:bottom w:w="100" w:type="dxa"/>
              <w:right w:w="100" w:type="dxa"/>
            </w:tcMar>
          </w:tcPr>
          <w:p w14:paraId="0F6D9C35"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7B0E5BD1"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70E55476" w14:textId="77777777" w:rsidR="00142F7D" w:rsidRPr="001E1A15" w:rsidRDefault="00142F7D" w:rsidP="00E03A07">
            <w:pPr>
              <w:widowControl w:val="0"/>
            </w:pPr>
            <w:r w:rsidRPr="001E1A15">
              <w:t>14</w:t>
            </w:r>
          </w:p>
        </w:tc>
        <w:tc>
          <w:tcPr>
            <w:tcW w:w="1805" w:type="dxa"/>
            <w:shd w:val="clear" w:color="auto" w:fill="auto"/>
            <w:tcMar>
              <w:top w:w="100" w:type="dxa"/>
              <w:left w:w="100" w:type="dxa"/>
              <w:bottom w:w="100" w:type="dxa"/>
              <w:right w:w="100" w:type="dxa"/>
            </w:tcMar>
          </w:tcPr>
          <w:p w14:paraId="28E636AB" w14:textId="77777777" w:rsidR="00142F7D" w:rsidRPr="001E1A15" w:rsidRDefault="00142F7D" w:rsidP="00E03A07">
            <w:pPr>
              <w:widowControl w:val="0"/>
            </w:pPr>
            <w:r w:rsidRPr="001E1A15">
              <w:t>26</w:t>
            </w:r>
          </w:p>
        </w:tc>
        <w:tc>
          <w:tcPr>
            <w:tcW w:w="1805" w:type="dxa"/>
            <w:shd w:val="clear" w:color="auto" w:fill="auto"/>
            <w:tcMar>
              <w:top w:w="100" w:type="dxa"/>
              <w:left w:w="100" w:type="dxa"/>
              <w:bottom w:w="100" w:type="dxa"/>
              <w:right w:w="100" w:type="dxa"/>
            </w:tcMar>
          </w:tcPr>
          <w:p w14:paraId="22CC0515" w14:textId="77777777" w:rsidR="00142F7D" w:rsidRPr="001E1A15" w:rsidRDefault="00142F7D" w:rsidP="00E03A07">
            <w:pPr>
              <w:widowControl w:val="0"/>
            </w:pPr>
            <w:proofErr w:type="spellStart"/>
            <w:r w:rsidRPr="001E1A15">
              <w:t>Prev</w:t>
            </w:r>
            <w:proofErr w:type="spellEnd"/>
            <w:r w:rsidRPr="001E1A15">
              <w:t xml:space="preserve"> 0.46</w:t>
            </w:r>
          </w:p>
        </w:tc>
      </w:tr>
      <w:tr w:rsidR="00142F7D" w:rsidRPr="001E1A15" w14:paraId="1BEB4002" w14:textId="77777777" w:rsidTr="00E03A07">
        <w:tc>
          <w:tcPr>
            <w:tcW w:w="1805" w:type="dxa"/>
            <w:shd w:val="clear" w:color="auto" w:fill="auto"/>
            <w:tcMar>
              <w:top w:w="100" w:type="dxa"/>
              <w:left w:w="100" w:type="dxa"/>
              <w:bottom w:w="100" w:type="dxa"/>
              <w:right w:w="100" w:type="dxa"/>
            </w:tcMar>
          </w:tcPr>
          <w:p w14:paraId="76FDBE92"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7F84F04E" w14:textId="77777777" w:rsidR="00142F7D" w:rsidRPr="001E1A15" w:rsidRDefault="00142F7D" w:rsidP="00E03A07">
            <w:pPr>
              <w:widowControl w:val="0"/>
            </w:pPr>
            <w:r w:rsidRPr="001E1A15">
              <w:t>Sens 1.00</w:t>
            </w:r>
          </w:p>
        </w:tc>
        <w:tc>
          <w:tcPr>
            <w:tcW w:w="1805" w:type="dxa"/>
            <w:shd w:val="clear" w:color="auto" w:fill="auto"/>
            <w:tcMar>
              <w:top w:w="100" w:type="dxa"/>
              <w:left w:w="100" w:type="dxa"/>
              <w:bottom w:w="100" w:type="dxa"/>
              <w:right w:w="100" w:type="dxa"/>
            </w:tcMar>
          </w:tcPr>
          <w:p w14:paraId="2A03D78C" w14:textId="77777777" w:rsidR="00142F7D" w:rsidRPr="001E1A15" w:rsidRDefault="00142F7D" w:rsidP="00E03A07">
            <w:pPr>
              <w:widowControl w:val="0"/>
            </w:pPr>
            <w:proofErr w:type="spellStart"/>
            <w:r w:rsidRPr="001E1A15">
              <w:t>Spec</w:t>
            </w:r>
            <w:proofErr w:type="spellEnd"/>
            <w:r w:rsidRPr="001E1A15">
              <w:t xml:space="preserve"> 0.14</w:t>
            </w:r>
          </w:p>
        </w:tc>
        <w:tc>
          <w:tcPr>
            <w:tcW w:w="1805" w:type="dxa"/>
            <w:shd w:val="clear" w:color="auto" w:fill="auto"/>
            <w:tcMar>
              <w:top w:w="100" w:type="dxa"/>
              <w:left w:w="100" w:type="dxa"/>
              <w:bottom w:w="100" w:type="dxa"/>
              <w:right w:w="100" w:type="dxa"/>
            </w:tcMar>
          </w:tcPr>
          <w:p w14:paraId="7070EF65"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379CF838" w14:textId="77777777" w:rsidR="00142F7D" w:rsidRPr="001E1A15" w:rsidRDefault="00142F7D" w:rsidP="00E03A07">
            <w:pPr>
              <w:widowControl w:val="0"/>
            </w:pPr>
            <w:proofErr w:type="spellStart"/>
            <w:r w:rsidRPr="001E1A15">
              <w:t>Acc</w:t>
            </w:r>
            <w:proofErr w:type="spellEnd"/>
            <w:r w:rsidRPr="001E1A15">
              <w:t xml:space="preserve"> 0.54</w:t>
            </w:r>
          </w:p>
        </w:tc>
      </w:tr>
    </w:tbl>
    <w:p w14:paraId="2B034107" w14:textId="77777777" w:rsidR="00142F7D" w:rsidRPr="001E1A15" w:rsidRDefault="00142F7D" w:rsidP="00142F7D">
      <w:pPr>
        <w:spacing w:line="480" w:lineRule="auto"/>
      </w:pPr>
    </w:p>
    <w:p w14:paraId="36E27B24" w14:textId="77777777" w:rsidR="00142F7D" w:rsidRPr="001E1A15" w:rsidRDefault="00142F7D" w:rsidP="00142F7D">
      <w:pPr>
        <w:spacing w:line="480" w:lineRule="auto"/>
        <w:rPr>
          <w:b/>
          <w:lang w:val="en-US"/>
        </w:rPr>
      </w:pPr>
    </w:p>
    <w:p w14:paraId="299AE680" w14:textId="77777777" w:rsidR="00142F7D" w:rsidRPr="001E1A15" w:rsidRDefault="00142F7D" w:rsidP="00142F7D">
      <w:pPr>
        <w:spacing w:line="480" w:lineRule="auto"/>
        <w:rPr>
          <w:b/>
          <w:lang w:val="en-US"/>
        </w:rPr>
      </w:pPr>
    </w:p>
    <w:p w14:paraId="36898ED9" w14:textId="77777777" w:rsidR="00142F7D" w:rsidRPr="001E1A15" w:rsidRDefault="00142F7D" w:rsidP="00142F7D">
      <w:pPr>
        <w:spacing w:line="480" w:lineRule="auto"/>
        <w:rPr>
          <w:b/>
          <w:lang w:val="en-US"/>
        </w:rPr>
      </w:pPr>
    </w:p>
    <w:p w14:paraId="5639E635" w14:textId="77777777" w:rsidR="00142F7D" w:rsidRPr="001E1A15" w:rsidRDefault="00142F7D" w:rsidP="00142F7D">
      <w:pPr>
        <w:spacing w:line="480" w:lineRule="auto"/>
        <w:rPr>
          <w:b/>
          <w:lang w:val="en-US"/>
        </w:rPr>
      </w:pPr>
    </w:p>
    <w:p w14:paraId="0641751F" w14:textId="77777777" w:rsidR="00142F7D" w:rsidRPr="001E1A15" w:rsidRDefault="00142F7D" w:rsidP="00142F7D">
      <w:pPr>
        <w:spacing w:line="480" w:lineRule="auto"/>
        <w:rPr>
          <w:b/>
          <w:lang w:val="en-US"/>
        </w:rPr>
      </w:pPr>
    </w:p>
    <w:p w14:paraId="1836CF07" w14:textId="77777777" w:rsidR="00142F7D" w:rsidRPr="001E1A15" w:rsidRDefault="00142F7D" w:rsidP="00142F7D">
      <w:pPr>
        <w:spacing w:line="480" w:lineRule="auto"/>
        <w:rPr>
          <w:lang w:val="en-US"/>
        </w:rPr>
      </w:pPr>
      <w:r w:rsidRPr="001E1A15">
        <w:rPr>
          <w:b/>
          <w:lang w:val="en-US"/>
        </w:rPr>
        <w:lastRenderedPageBreak/>
        <w:t xml:space="preserve">Supplemental Table </w:t>
      </w:r>
      <w:r>
        <w:rPr>
          <w:b/>
          <w:lang w:val="en-US"/>
        </w:rPr>
        <w:t>4</w:t>
      </w:r>
      <w:r w:rsidRPr="001E1A15">
        <w:rPr>
          <w:b/>
          <w:lang w:val="en-US"/>
        </w:rPr>
        <w:t xml:space="preserve">. </w:t>
      </w:r>
      <w:r w:rsidRPr="001E1A15">
        <w:rPr>
          <w:lang w:val="en-US"/>
        </w:rPr>
        <w:t>Contingency table and diagnostic test metrics of baseline absolute dd-</w:t>
      </w:r>
      <w:proofErr w:type="spellStart"/>
      <w:r w:rsidRPr="001E1A15">
        <w:rPr>
          <w:lang w:val="en-US"/>
        </w:rPr>
        <w:t>cfDNA</w:t>
      </w:r>
      <w:proofErr w:type="spellEnd"/>
      <w:r w:rsidRPr="001E1A15">
        <w:rPr>
          <w:lang w:val="en-US"/>
        </w:rPr>
        <w:t xml:space="preserve"> with a cutoff of 50 copies/mL for </w:t>
      </w:r>
      <w:r>
        <w:rPr>
          <w:lang w:val="en-US"/>
        </w:rPr>
        <w:t>AMR</w:t>
      </w:r>
      <w:r w:rsidRPr="001E1A15">
        <w:rPr>
          <w:lang w:val="en-US"/>
        </w:rPr>
        <w:t xml:space="preserve"> in DSA+ KTR. </w:t>
      </w:r>
      <w:proofErr w:type="spellStart"/>
      <w:r w:rsidRPr="001E1A15">
        <w:rPr>
          <w:lang w:val="en-US"/>
        </w:rPr>
        <w:t>Prev</w:t>
      </w:r>
      <w:proofErr w:type="spellEnd"/>
      <w:r w:rsidRPr="001E1A15">
        <w:rPr>
          <w:lang w:val="en-US"/>
        </w:rPr>
        <w:t xml:space="preserve">, Prevalence of </w:t>
      </w:r>
      <w:r>
        <w:rPr>
          <w:lang w:val="en-US"/>
        </w:rPr>
        <w:t>AMR</w:t>
      </w:r>
      <w:r w:rsidRPr="001E1A15">
        <w:rPr>
          <w:lang w:val="en-US"/>
        </w:rPr>
        <w:t>; Acc, accuracy; Sens, sensitivity; Spec, specificity; PPV, positive predictive value; NPV, negative predictive value.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42F7D" w:rsidRPr="001E1A15" w14:paraId="14B1859E" w14:textId="77777777" w:rsidTr="00E03A07">
        <w:tc>
          <w:tcPr>
            <w:tcW w:w="1805" w:type="dxa"/>
            <w:shd w:val="clear" w:color="auto" w:fill="auto"/>
            <w:tcMar>
              <w:top w:w="100" w:type="dxa"/>
              <w:left w:w="100" w:type="dxa"/>
              <w:bottom w:w="100" w:type="dxa"/>
              <w:right w:w="100" w:type="dxa"/>
            </w:tcMar>
          </w:tcPr>
          <w:p w14:paraId="09B0EBD4" w14:textId="77777777" w:rsidR="00142F7D" w:rsidRPr="001E1A15" w:rsidRDefault="00142F7D" w:rsidP="00E03A07">
            <w:pPr>
              <w:widowControl w:val="0"/>
              <w:rPr>
                <w:lang w:val="en-US"/>
              </w:rPr>
            </w:pPr>
          </w:p>
        </w:tc>
        <w:tc>
          <w:tcPr>
            <w:tcW w:w="1805" w:type="dxa"/>
            <w:shd w:val="clear" w:color="auto" w:fill="auto"/>
            <w:tcMar>
              <w:top w:w="100" w:type="dxa"/>
              <w:left w:w="100" w:type="dxa"/>
              <w:bottom w:w="100" w:type="dxa"/>
              <w:right w:w="100" w:type="dxa"/>
            </w:tcMar>
          </w:tcPr>
          <w:p w14:paraId="6353E4E7" w14:textId="77777777" w:rsidR="00142F7D" w:rsidRPr="001E1A15" w:rsidRDefault="00142F7D" w:rsidP="00E03A07">
            <w:pPr>
              <w:widowControl w:val="0"/>
            </w:pPr>
            <w:r>
              <w:rPr>
                <w:lang w:val="en-US"/>
              </w:rPr>
              <w:t>AMR</w:t>
            </w:r>
          </w:p>
        </w:tc>
        <w:tc>
          <w:tcPr>
            <w:tcW w:w="1805" w:type="dxa"/>
            <w:shd w:val="clear" w:color="auto" w:fill="auto"/>
            <w:tcMar>
              <w:top w:w="100" w:type="dxa"/>
              <w:left w:w="100" w:type="dxa"/>
              <w:bottom w:w="100" w:type="dxa"/>
              <w:right w:w="100" w:type="dxa"/>
            </w:tcMar>
          </w:tcPr>
          <w:p w14:paraId="2481574C" w14:textId="77777777" w:rsidR="00142F7D" w:rsidRPr="001E1A15" w:rsidRDefault="00142F7D" w:rsidP="00E03A07">
            <w:pPr>
              <w:widowControl w:val="0"/>
            </w:pPr>
            <w:proofErr w:type="spellStart"/>
            <w:r w:rsidRPr="001E1A15">
              <w:t>no</w:t>
            </w:r>
            <w:proofErr w:type="spellEnd"/>
            <w:r w:rsidRPr="001E1A15">
              <w:t xml:space="preserve"> </w:t>
            </w:r>
            <w:r>
              <w:rPr>
                <w:lang w:val="en-US"/>
              </w:rPr>
              <w:t>AMR</w:t>
            </w:r>
          </w:p>
        </w:tc>
        <w:tc>
          <w:tcPr>
            <w:tcW w:w="1805" w:type="dxa"/>
            <w:shd w:val="clear" w:color="auto" w:fill="auto"/>
            <w:tcMar>
              <w:top w:w="100" w:type="dxa"/>
              <w:left w:w="100" w:type="dxa"/>
              <w:bottom w:w="100" w:type="dxa"/>
              <w:right w:w="100" w:type="dxa"/>
            </w:tcMar>
          </w:tcPr>
          <w:p w14:paraId="10FECF3C"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1A60F55C" w14:textId="77777777" w:rsidR="00142F7D" w:rsidRPr="001E1A15" w:rsidRDefault="00142F7D" w:rsidP="00E03A07">
            <w:pPr>
              <w:widowControl w:val="0"/>
            </w:pPr>
          </w:p>
        </w:tc>
      </w:tr>
      <w:tr w:rsidR="00142F7D" w:rsidRPr="001E1A15" w14:paraId="1D4A839E" w14:textId="77777777" w:rsidTr="00E03A07">
        <w:tc>
          <w:tcPr>
            <w:tcW w:w="1805" w:type="dxa"/>
            <w:shd w:val="clear" w:color="auto" w:fill="auto"/>
            <w:tcMar>
              <w:top w:w="100" w:type="dxa"/>
              <w:left w:w="100" w:type="dxa"/>
              <w:bottom w:w="100" w:type="dxa"/>
              <w:right w:w="100" w:type="dxa"/>
            </w:tcMar>
          </w:tcPr>
          <w:p w14:paraId="795FC4E7" w14:textId="77777777" w:rsidR="00142F7D" w:rsidRPr="001E1A15" w:rsidRDefault="00142F7D" w:rsidP="00E03A07">
            <w:pPr>
              <w:widowControl w:val="0"/>
            </w:pPr>
            <w:r w:rsidRPr="001E1A15">
              <w:t xml:space="preserve">&gt; 50 </w:t>
            </w:r>
            <w:proofErr w:type="spellStart"/>
            <w:r w:rsidRPr="001E1A15">
              <w:t>cp</w:t>
            </w:r>
            <w:proofErr w:type="spellEnd"/>
            <w:r w:rsidRPr="001E1A15">
              <w:t>/</w:t>
            </w:r>
            <w:proofErr w:type="spellStart"/>
            <w:r w:rsidRPr="001E1A15">
              <w:t>mL</w:t>
            </w:r>
            <w:proofErr w:type="spellEnd"/>
          </w:p>
        </w:tc>
        <w:tc>
          <w:tcPr>
            <w:tcW w:w="1805" w:type="dxa"/>
            <w:shd w:val="clear" w:color="auto" w:fill="auto"/>
            <w:tcMar>
              <w:top w:w="100" w:type="dxa"/>
              <w:left w:w="100" w:type="dxa"/>
              <w:bottom w:w="100" w:type="dxa"/>
              <w:right w:w="100" w:type="dxa"/>
            </w:tcMar>
          </w:tcPr>
          <w:p w14:paraId="6A11CF32" w14:textId="77777777" w:rsidR="00142F7D" w:rsidRPr="001E1A15" w:rsidRDefault="00142F7D" w:rsidP="00E03A07">
            <w:pPr>
              <w:widowControl w:val="0"/>
            </w:pPr>
            <w:r w:rsidRPr="001E1A15">
              <w:t>7</w:t>
            </w:r>
          </w:p>
        </w:tc>
        <w:tc>
          <w:tcPr>
            <w:tcW w:w="1805" w:type="dxa"/>
            <w:shd w:val="clear" w:color="auto" w:fill="auto"/>
            <w:tcMar>
              <w:top w:w="100" w:type="dxa"/>
              <w:left w:w="100" w:type="dxa"/>
              <w:bottom w:w="100" w:type="dxa"/>
              <w:right w:w="100" w:type="dxa"/>
            </w:tcMar>
          </w:tcPr>
          <w:p w14:paraId="4846A5FA" w14:textId="77777777" w:rsidR="00142F7D" w:rsidRPr="001E1A15" w:rsidRDefault="00142F7D" w:rsidP="00E03A07">
            <w:pPr>
              <w:widowControl w:val="0"/>
            </w:pPr>
            <w:r w:rsidRPr="001E1A15">
              <w:t>0</w:t>
            </w:r>
          </w:p>
        </w:tc>
        <w:tc>
          <w:tcPr>
            <w:tcW w:w="1805" w:type="dxa"/>
            <w:shd w:val="clear" w:color="auto" w:fill="auto"/>
            <w:tcMar>
              <w:top w:w="100" w:type="dxa"/>
              <w:left w:w="100" w:type="dxa"/>
              <w:bottom w:w="100" w:type="dxa"/>
              <w:right w:w="100" w:type="dxa"/>
            </w:tcMar>
          </w:tcPr>
          <w:p w14:paraId="595A487A" w14:textId="77777777" w:rsidR="00142F7D" w:rsidRPr="001E1A15" w:rsidRDefault="00142F7D" w:rsidP="00E03A07">
            <w:pPr>
              <w:widowControl w:val="0"/>
            </w:pPr>
            <w:r w:rsidRPr="001E1A15">
              <w:t>7</w:t>
            </w:r>
          </w:p>
        </w:tc>
        <w:tc>
          <w:tcPr>
            <w:tcW w:w="1805" w:type="dxa"/>
            <w:shd w:val="clear" w:color="auto" w:fill="auto"/>
            <w:tcMar>
              <w:top w:w="100" w:type="dxa"/>
              <w:left w:w="100" w:type="dxa"/>
              <w:bottom w:w="100" w:type="dxa"/>
              <w:right w:w="100" w:type="dxa"/>
            </w:tcMar>
          </w:tcPr>
          <w:p w14:paraId="779B564B" w14:textId="77777777" w:rsidR="00142F7D" w:rsidRPr="001E1A15" w:rsidRDefault="00142F7D" w:rsidP="00E03A07">
            <w:pPr>
              <w:widowControl w:val="0"/>
            </w:pPr>
            <w:r w:rsidRPr="001E1A15">
              <w:t>PPV 1.00</w:t>
            </w:r>
          </w:p>
        </w:tc>
      </w:tr>
      <w:tr w:rsidR="00142F7D" w:rsidRPr="001E1A15" w14:paraId="3AFB5750" w14:textId="77777777" w:rsidTr="00E03A07">
        <w:tc>
          <w:tcPr>
            <w:tcW w:w="1805" w:type="dxa"/>
            <w:shd w:val="clear" w:color="auto" w:fill="auto"/>
            <w:tcMar>
              <w:top w:w="100" w:type="dxa"/>
              <w:left w:w="100" w:type="dxa"/>
              <w:bottom w:w="100" w:type="dxa"/>
              <w:right w:w="100" w:type="dxa"/>
            </w:tcMar>
          </w:tcPr>
          <w:p w14:paraId="4EA80E5A" w14:textId="77777777" w:rsidR="00142F7D" w:rsidRPr="001E1A15" w:rsidRDefault="00142F7D" w:rsidP="00E03A07">
            <w:pPr>
              <w:widowControl w:val="0"/>
            </w:pPr>
            <w:r w:rsidRPr="001E1A15">
              <w:rPr>
                <w:rFonts w:eastAsia="Arial Unicode MS"/>
              </w:rPr>
              <w:t xml:space="preserve">≤ 50 </w:t>
            </w:r>
            <w:proofErr w:type="spellStart"/>
            <w:r w:rsidRPr="001E1A15">
              <w:rPr>
                <w:rFonts w:eastAsia="Arial Unicode MS"/>
              </w:rPr>
              <w:t>cp</w:t>
            </w:r>
            <w:proofErr w:type="spellEnd"/>
            <w:r w:rsidRPr="001E1A15">
              <w:rPr>
                <w:rFonts w:eastAsia="Arial Unicode MS"/>
              </w:rPr>
              <w:t>/</w:t>
            </w:r>
            <w:proofErr w:type="spellStart"/>
            <w:r w:rsidRPr="001E1A15">
              <w:rPr>
                <w:rFonts w:eastAsia="Arial Unicode MS"/>
              </w:rPr>
              <w:t>mL</w:t>
            </w:r>
            <w:proofErr w:type="spellEnd"/>
          </w:p>
        </w:tc>
        <w:tc>
          <w:tcPr>
            <w:tcW w:w="1805" w:type="dxa"/>
            <w:shd w:val="clear" w:color="auto" w:fill="auto"/>
            <w:tcMar>
              <w:top w:w="100" w:type="dxa"/>
              <w:left w:w="100" w:type="dxa"/>
              <w:bottom w:w="100" w:type="dxa"/>
              <w:right w:w="100" w:type="dxa"/>
            </w:tcMar>
          </w:tcPr>
          <w:p w14:paraId="203B7740" w14:textId="77777777" w:rsidR="00142F7D" w:rsidRPr="001E1A15" w:rsidRDefault="00142F7D" w:rsidP="00E03A07">
            <w:pPr>
              <w:widowControl w:val="0"/>
            </w:pPr>
            <w:r w:rsidRPr="001E1A15">
              <w:t>5</w:t>
            </w:r>
          </w:p>
        </w:tc>
        <w:tc>
          <w:tcPr>
            <w:tcW w:w="1805" w:type="dxa"/>
            <w:shd w:val="clear" w:color="auto" w:fill="auto"/>
            <w:tcMar>
              <w:top w:w="100" w:type="dxa"/>
              <w:left w:w="100" w:type="dxa"/>
              <w:bottom w:w="100" w:type="dxa"/>
              <w:right w:w="100" w:type="dxa"/>
            </w:tcMar>
          </w:tcPr>
          <w:p w14:paraId="245AA2F3" w14:textId="77777777" w:rsidR="00142F7D" w:rsidRPr="001E1A15" w:rsidRDefault="00142F7D" w:rsidP="00E03A07">
            <w:pPr>
              <w:widowControl w:val="0"/>
            </w:pPr>
            <w:r w:rsidRPr="001E1A15">
              <w:t>14</w:t>
            </w:r>
          </w:p>
        </w:tc>
        <w:tc>
          <w:tcPr>
            <w:tcW w:w="1805" w:type="dxa"/>
            <w:shd w:val="clear" w:color="auto" w:fill="auto"/>
            <w:tcMar>
              <w:top w:w="100" w:type="dxa"/>
              <w:left w:w="100" w:type="dxa"/>
              <w:bottom w:w="100" w:type="dxa"/>
              <w:right w:w="100" w:type="dxa"/>
            </w:tcMar>
          </w:tcPr>
          <w:p w14:paraId="442A0FCE" w14:textId="77777777" w:rsidR="00142F7D" w:rsidRPr="001E1A15" w:rsidRDefault="00142F7D" w:rsidP="00E03A07">
            <w:pPr>
              <w:widowControl w:val="0"/>
            </w:pPr>
            <w:r w:rsidRPr="001E1A15">
              <w:t>19</w:t>
            </w:r>
          </w:p>
        </w:tc>
        <w:tc>
          <w:tcPr>
            <w:tcW w:w="1805" w:type="dxa"/>
            <w:shd w:val="clear" w:color="auto" w:fill="auto"/>
            <w:tcMar>
              <w:top w:w="100" w:type="dxa"/>
              <w:left w:w="100" w:type="dxa"/>
              <w:bottom w:w="100" w:type="dxa"/>
              <w:right w:w="100" w:type="dxa"/>
            </w:tcMar>
          </w:tcPr>
          <w:p w14:paraId="1CAD2F46" w14:textId="77777777" w:rsidR="00142F7D" w:rsidRPr="001E1A15" w:rsidRDefault="00142F7D" w:rsidP="00E03A07">
            <w:pPr>
              <w:widowControl w:val="0"/>
            </w:pPr>
            <w:r w:rsidRPr="001E1A15">
              <w:t>NPV 0.74</w:t>
            </w:r>
          </w:p>
        </w:tc>
      </w:tr>
      <w:tr w:rsidR="00142F7D" w:rsidRPr="001E1A15" w14:paraId="431551A6" w14:textId="77777777" w:rsidTr="00E03A07">
        <w:tc>
          <w:tcPr>
            <w:tcW w:w="1805" w:type="dxa"/>
            <w:shd w:val="clear" w:color="auto" w:fill="auto"/>
            <w:tcMar>
              <w:top w:w="100" w:type="dxa"/>
              <w:left w:w="100" w:type="dxa"/>
              <w:bottom w:w="100" w:type="dxa"/>
              <w:right w:w="100" w:type="dxa"/>
            </w:tcMar>
          </w:tcPr>
          <w:p w14:paraId="57516B75"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699447B6"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788FF3A5" w14:textId="77777777" w:rsidR="00142F7D" w:rsidRPr="001E1A15" w:rsidRDefault="00142F7D" w:rsidP="00E03A07">
            <w:pPr>
              <w:widowControl w:val="0"/>
            </w:pPr>
            <w:r w:rsidRPr="001E1A15">
              <w:t>14</w:t>
            </w:r>
          </w:p>
        </w:tc>
        <w:tc>
          <w:tcPr>
            <w:tcW w:w="1805" w:type="dxa"/>
            <w:shd w:val="clear" w:color="auto" w:fill="auto"/>
            <w:tcMar>
              <w:top w:w="100" w:type="dxa"/>
              <w:left w:w="100" w:type="dxa"/>
              <w:bottom w:w="100" w:type="dxa"/>
              <w:right w:w="100" w:type="dxa"/>
            </w:tcMar>
          </w:tcPr>
          <w:p w14:paraId="4582FBAD" w14:textId="77777777" w:rsidR="00142F7D" w:rsidRPr="001E1A15" w:rsidRDefault="00142F7D" w:rsidP="00E03A07">
            <w:pPr>
              <w:widowControl w:val="0"/>
            </w:pPr>
            <w:r w:rsidRPr="001E1A15">
              <w:t>26</w:t>
            </w:r>
          </w:p>
        </w:tc>
        <w:tc>
          <w:tcPr>
            <w:tcW w:w="1805" w:type="dxa"/>
            <w:shd w:val="clear" w:color="auto" w:fill="auto"/>
            <w:tcMar>
              <w:top w:w="100" w:type="dxa"/>
              <w:left w:w="100" w:type="dxa"/>
              <w:bottom w:w="100" w:type="dxa"/>
              <w:right w:w="100" w:type="dxa"/>
            </w:tcMar>
          </w:tcPr>
          <w:p w14:paraId="4CFDE3B4" w14:textId="77777777" w:rsidR="00142F7D" w:rsidRPr="001E1A15" w:rsidRDefault="00142F7D" w:rsidP="00E03A07">
            <w:pPr>
              <w:widowControl w:val="0"/>
            </w:pPr>
            <w:proofErr w:type="spellStart"/>
            <w:r w:rsidRPr="001E1A15">
              <w:t>Prev</w:t>
            </w:r>
            <w:proofErr w:type="spellEnd"/>
            <w:r w:rsidRPr="001E1A15">
              <w:t xml:space="preserve"> 0.46</w:t>
            </w:r>
          </w:p>
        </w:tc>
      </w:tr>
      <w:tr w:rsidR="00142F7D" w:rsidRPr="001E1A15" w14:paraId="32E492EA" w14:textId="77777777" w:rsidTr="00E03A07">
        <w:tc>
          <w:tcPr>
            <w:tcW w:w="1805" w:type="dxa"/>
            <w:shd w:val="clear" w:color="auto" w:fill="auto"/>
            <w:tcMar>
              <w:top w:w="100" w:type="dxa"/>
              <w:left w:w="100" w:type="dxa"/>
              <w:bottom w:w="100" w:type="dxa"/>
              <w:right w:w="100" w:type="dxa"/>
            </w:tcMar>
          </w:tcPr>
          <w:p w14:paraId="23EA1E4E"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6799575F" w14:textId="77777777" w:rsidR="00142F7D" w:rsidRPr="001E1A15" w:rsidRDefault="00142F7D" w:rsidP="00E03A07">
            <w:pPr>
              <w:widowControl w:val="0"/>
            </w:pPr>
            <w:r w:rsidRPr="001E1A15">
              <w:t>Sens 0.58</w:t>
            </w:r>
          </w:p>
        </w:tc>
        <w:tc>
          <w:tcPr>
            <w:tcW w:w="1805" w:type="dxa"/>
            <w:shd w:val="clear" w:color="auto" w:fill="auto"/>
            <w:tcMar>
              <w:top w:w="100" w:type="dxa"/>
              <w:left w:w="100" w:type="dxa"/>
              <w:bottom w:w="100" w:type="dxa"/>
              <w:right w:w="100" w:type="dxa"/>
            </w:tcMar>
          </w:tcPr>
          <w:p w14:paraId="00B9CAD5" w14:textId="77777777" w:rsidR="00142F7D" w:rsidRPr="001E1A15" w:rsidRDefault="00142F7D" w:rsidP="00E03A07">
            <w:pPr>
              <w:widowControl w:val="0"/>
            </w:pPr>
            <w:proofErr w:type="spellStart"/>
            <w:r w:rsidRPr="001E1A15">
              <w:t>Spec</w:t>
            </w:r>
            <w:proofErr w:type="spellEnd"/>
            <w:r w:rsidRPr="001E1A15">
              <w:t xml:space="preserve"> 1.00</w:t>
            </w:r>
          </w:p>
        </w:tc>
        <w:tc>
          <w:tcPr>
            <w:tcW w:w="1805" w:type="dxa"/>
            <w:shd w:val="clear" w:color="auto" w:fill="auto"/>
            <w:tcMar>
              <w:top w:w="100" w:type="dxa"/>
              <w:left w:w="100" w:type="dxa"/>
              <w:bottom w:w="100" w:type="dxa"/>
              <w:right w:w="100" w:type="dxa"/>
            </w:tcMar>
          </w:tcPr>
          <w:p w14:paraId="72A6EF65"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093AE15E" w14:textId="77777777" w:rsidR="00142F7D" w:rsidRPr="001E1A15" w:rsidRDefault="00142F7D" w:rsidP="00E03A07">
            <w:pPr>
              <w:widowControl w:val="0"/>
            </w:pPr>
            <w:proofErr w:type="spellStart"/>
            <w:r w:rsidRPr="001E1A15">
              <w:t>Acc</w:t>
            </w:r>
            <w:proofErr w:type="spellEnd"/>
            <w:r w:rsidRPr="001E1A15">
              <w:t xml:space="preserve"> 0.81</w:t>
            </w:r>
          </w:p>
        </w:tc>
      </w:tr>
    </w:tbl>
    <w:p w14:paraId="05E4E497" w14:textId="77777777" w:rsidR="00142F7D" w:rsidRPr="001E1A15" w:rsidRDefault="00142F7D" w:rsidP="00142F7D">
      <w:pPr>
        <w:spacing w:line="480" w:lineRule="auto"/>
        <w:rPr>
          <w:rFonts w:eastAsia="Roboto"/>
          <w:color w:val="333333"/>
          <w:highlight w:val="white"/>
        </w:rPr>
      </w:pPr>
    </w:p>
    <w:p w14:paraId="39223691" w14:textId="77777777" w:rsidR="00142F7D" w:rsidRPr="001E1A15" w:rsidRDefault="00142F7D" w:rsidP="00142F7D">
      <w:pPr>
        <w:spacing w:line="480" w:lineRule="auto"/>
        <w:rPr>
          <w:lang w:val="en-US"/>
        </w:rPr>
      </w:pPr>
      <w:r w:rsidRPr="001E1A15">
        <w:rPr>
          <w:b/>
          <w:lang w:val="en-US"/>
        </w:rPr>
        <w:t xml:space="preserve">Supplemental Table </w:t>
      </w:r>
      <w:r>
        <w:rPr>
          <w:b/>
          <w:lang w:val="en-US"/>
        </w:rPr>
        <w:t>5.</w:t>
      </w:r>
      <w:r w:rsidRPr="001E1A15">
        <w:rPr>
          <w:b/>
          <w:lang w:val="en-US"/>
        </w:rPr>
        <w:t xml:space="preserve"> </w:t>
      </w:r>
      <w:r w:rsidRPr="001E1A15">
        <w:rPr>
          <w:lang w:val="en-US"/>
        </w:rPr>
        <w:t>Contingency table and diagnostic test metrics of longitudinal relative dd-</w:t>
      </w:r>
      <w:proofErr w:type="spellStart"/>
      <w:r w:rsidRPr="001E1A15">
        <w:rPr>
          <w:lang w:val="en-US"/>
        </w:rPr>
        <w:t>cfDNA</w:t>
      </w:r>
      <w:proofErr w:type="spellEnd"/>
      <w:r w:rsidRPr="001E1A15">
        <w:rPr>
          <w:lang w:val="en-US"/>
        </w:rPr>
        <w:t xml:space="preserve"> monitoring with a cutoff of 0.5 % for </w:t>
      </w:r>
      <w:r>
        <w:rPr>
          <w:lang w:val="en-US"/>
        </w:rPr>
        <w:t>AMR</w:t>
      </w:r>
      <w:r w:rsidRPr="001E1A15">
        <w:rPr>
          <w:lang w:val="en-US"/>
        </w:rPr>
        <w:t xml:space="preserve"> in DSA+ KTR. </w:t>
      </w:r>
      <w:proofErr w:type="spellStart"/>
      <w:r w:rsidRPr="001E1A15">
        <w:rPr>
          <w:lang w:val="en-US"/>
        </w:rPr>
        <w:t>Prev</w:t>
      </w:r>
      <w:proofErr w:type="spellEnd"/>
      <w:r w:rsidRPr="001E1A15">
        <w:rPr>
          <w:lang w:val="en-US"/>
        </w:rPr>
        <w:t xml:space="preserve">, Prevalence of </w:t>
      </w:r>
      <w:r>
        <w:rPr>
          <w:lang w:val="en-US"/>
        </w:rPr>
        <w:t>AMR</w:t>
      </w:r>
      <w:r w:rsidRPr="001E1A15">
        <w:rPr>
          <w:lang w:val="en-US"/>
        </w:rPr>
        <w:t>; Acc, accuracy; Sens, sensitivity; Spec, specificity; PPV, positive predictive value; NPV, negative predictive value.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42F7D" w:rsidRPr="001E1A15" w14:paraId="113C6E65" w14:textId="77777777" w:rsidTr="00E03A07">
        <w:tc>
          <w:tcPr>
            <w:tcW w:w="1805" w:type="dxa"/>
            <w:shd w:val="clear" w:color="auto" w:fill="auto"/>
            <w:tcMar>
              <w:top w:w="100" w:type="dxa"/>
              <w:left w:w="100" w:type="dxa"/>
              <w:bottom w:w="100" w:type="dxa"/>
              <w:right w:w="100" w:type="dxa"/>
            </w:tcMar>
          </w:tcPr>
          <w:p w14:paraId="70943DFA" w14:textId="77777777" w:rsidR="00142F7D" w:rsidRPr="001E1A15" w:rsidRDefault="00142F7D" w:rsidP="00E03A07">
            <w:pPr>
              <w:widowControl w:val="0"/>
              <w:rPr>
                <w:lang w:val="en-US"/>
              </w:rPr>
            </w:pPr>
          </w:p>
        </w:tc>
        <w:tc>
          <w:tcPr>
            <w:tcW w:w="1805" w:type="dxa"/>
            <w:shd w:val="clear" w:color="auto" w:fill="auto"/>
            <w:tcMar>
              <w:top w:w="100" w:type="dxa"/>
              <w:left w:w="100" w:type="dxa"/>
              <w:bottom w:w="100" w:type="dxa"/>
              <w:right w:w="100" w:type="dxa"/>
            </w:tcMar>
          </w:tcPr>
          <w:p w14:paraId="021A8FD8" w14:textId="77777777" w:rsidR="00142F7D" w:rsidRPr="001E1A15" w:rsidRDefault="00142F7D" w:rsidP="00E03A07">
            <w:pPr>
              <w:widowControl w:val="0"/>
            </w:pPr>
            <w:r>
              <w:rPr>
                <w:lang w:val="en-US"/>
              </w:rPr>
              <w:t>AMR</w:t>
            </w:r>
          </w:p>
        </w:tc>
        <w:tc>
          <w:tcPr>
            <w:tcW w:w="1805" w:type="dxa"/>
            <w:shd w:val="clear" w:color="auto" w:fill="auto"/>
            <w:tcMar>
              <w:top w:w="100" w:type="dxa"/>
              <w:left w:w="100" w:type="dxa"/>
              <w:bottom w:w="100" w:type="dxa"/>
              <w:right w:w="100" w:type="dxa"/>
            </w:tcMar>
          </w:tcPr>
          <w:p w14:paraId="500CF3DC" w14:textId="77777777" w:rsidR="00142F7D" w:rsidRPr="001E1A15" w:rsidRDefault="00142F7D" w:rsidP="00E03A07">
            <w:pPr>
              <w:widowControl w:val="0"/>
            </w:pPr>
            <w:proofErr w:type="spellStart"/>
            <w:r w:rsidRPr="001E1A15">
              <w:t>no</w:t>
            </w:r>
            <w:proofErr w:type="spellEnd"/>
            <w:r w:rsidRPr="001E1A15">
              <w:t xml:space="preserve"> </w:t>
            </w:r>
            <w:r>
              <w:rPr>
                <w:lang w:val="en-US"/>
              </w:rPr>
              <w:t>AMR</w:t>
            </w:r>
          </w:p>
        </w:tc>
        <w:tc>
          <w:tcPr>
            <w:tcW w:w="1805" w:type="dxa"/>
            <w:shd w:val="clear" w:color="auto" w:fill="auto"/>
            <w:tcMar>
              <w:top w:w="100" w:type="dxa"/>
              <w:left w:w="100" w:type="dxa"/>
              <w:bottom w:w="100" w:type="dxa"/>
              <w:right w:w="100" w:type="dxa"/>
            </w:tcMar>
          </w:tcPr>
          <w:p w14:paraId="1BF42714"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008BE0D1" w14:textId="77777777" w:rsidR="00142F7D" w:rsidRPr="001E1A15" w:rsidRDefault="00142F7D" w:rsidP="00E03A07">
            <w:pPr>
              <w:widowControl w:val="0"/>
            </w:pPr>
          </w:p>
        </w:tc>
      </w:tr>
      <w:tr w:rsidR="00142F7D" w:rsidRPr="001E1A15" w14:paraId="1C70FD15" w14:textId="77777777" w:rsidTr="00E03A07">
        <w:tc>
          <w:tcPr>
            <w:tcW w:w="1805" w:type="dxa"/>
            <w:shd w:val="clear" w:color="auto" w:fill="auto"/>
            <w:tcMar>
              <w:top w:w="100" w:type="dxa"/>
              <w:left w:w="100" w:type="dxa"/>
              <w:bottom w:w="100" w:type="dxa"/>
              <w:right w:w="100" w:type="dxa"/>
            </w:tcMar>
          </w:tcPr>
          <w:p w14:paraId="5663E292" w14:textId="77777777" w:rsidR="00142F7D" w:rsidRPr="001E1A15" w:rsidRDefault="00142F7D" w:rsidP="00E03A07">
            <w:pPr>
              <w:widowControl w:val="0"/>
            </w:pPr>
            <w:r w:rsidRPr="001E1A15">
              <w:t>&gt; 0.5%</w:t>
            </w:r>
          </w:p>
        </w:tc>
        <w:tc>
          <w:tcPr>
            <w:tcW w:w="1805" w:type="dxa"/>
            <w:shd w:val="clear" w:color="auto" w:fill="auto"/>
            <w:tcMar>
              <w:top w:w="100" w:type="dxa"/>
              <w:left w:w="100" w:type="dxa"/>
              <w:bottom w:w="100" w:type="dxa"/>
              <w:right w:w="100" w:type="dxa"/>
            </w:tcMar>
          </w:tcPr>
          <w:p w14:paraId="50F7E420"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50F78321" w14:textId="77777777" w:rsidR="00142F7D" w:rsidRPr="001E1A15" w:rsidRDefault="00142F7D" w:rsidP="00E03A07">
            <w:pPr>
              <w:widowControl w:val="0"/>
            </w:pPr>
            <w:r w:rsidRPr="001E1A15">
              <w:t>9</w:t>
            </w:r>
          </w:p>
        </w:tc>
        <w:tc>
          <w:tcPr>
            <w:tcW w:w="1805" w:type="dxa"/>
            <w:shd w:val="clear" w:color="auto" w:fill="auto"/>
            <w:tcMar>
              <w:top w:w="100" w:type="dxa"/>
              <w:left w:w="100" w:type="dxa"/>
              <w:bottom w:w="100" w:type="dxa"/>
              <w:right w:w="100" w:type="dxa"/>
            </w:tcMar>
          </w:tcPr>
          <w:p w14:paraId="426E6B38" w14:textId="77777777" w:rsidR="00142F7D" w:rsidRPr="001E1A15" w:rsidRDefault="00142F7D" w:rsidP="00E03A07">
            <w:pPr>
              <w:widowControl w:val="0"/>
            </w:pPr>
            <w:r w:rsidRPr="001E1A15">
              <w:t>21</w:t>
            </w:r>
          </w:p>
        </w:tc>
        <w:tc>
          <w:tcPr>
            <w:tcW w:w="1805" w:type="dxa"/>
            <w:shd w:val="clear" w:color="auto" w:fill="auto"/>
            <w:tcMar>
              <w:top w:w="100" w:type="dxa"/>
              <w:left w:w="100" w:type="dxa"/>
              <w:bottom w:w="100" w:type="dxa"/>
              <w:right w:w="100" w:type="dxa"/>
            </w:tcMar>
          </w:tcPr>
          <w:p w14:paraId="21142235" w14:textId="77777777" w:rsidR="00142F7D" w:rsidRPr="001E1A15" w:rsidRDefault="00142F7D" w:rsidP="00E03A07">
            <w:pPr>
              <w:widowControl w:val="0"/>
            </w:pPr>
            <w:r w:rsidRPr="001E1A15">
              <w:t>PPV 0.57</w:t>
            </w:r>
          </w:p>
        </w:tc>
      </w:tr>
      <w:tr w:rsidR="00142F7D" w:rsidRPr="001E1A15" w14:paraId="0932551D" w14:textId="77777777" w:rsidTr="00E03A07">
        <w:tc>
          <w:tcPr>
            <w:tcW w:w="1805" w:type="dxa"/>
            <w:shd w:val="clear" w:color="auto" w:fill="auto"/>
            <w:tcMar>
              <w:top w:w="100" w:type="dxa"/>
              <w:left w:w="100" w:type="dxa"/>
              <w:bottom w:w="100" w:type="dxa"/>
              <w:right w:w="100" w:type="dxa"/>
            </w:tcMar>
          </w:tcPr>
          <w:p w14:paraId="35A9E074" w14:textId="77777777" w:rsidR="00142F7D" w:rsidRPr="001E1A15" w:rsidRDefault="00142F7D" w:rsidP="00E03A07">
            <w:pPr>
              <w:widowControl w:val="0"/>
            </w:pPr>
            <w:r w:rsidRPr="001E1A15">
              <w:rPr>
                <w:rFonts w:eastAsia="Arial Unicode MS"/>
              </w:rPr>
              <w:t>≤ 0.5%</w:t>
            </w:r>
          </w:p>
        </w:tc>
        <w:tc>
          <w:tcPr>
            <w:tcW w:w="1805" w:type="dxa"/>
            <w:shd w:val="clear" w:color="auto" w:fill="auto"/>
            <w:tcMar>
              <w:top w:w="100" w:type="dxa"/>
              <w:left w:w="100" w:type="dxa"/>
              <w:bottom w:w="100" w:type="dxa"/>
              <w:right w:w="100" w:type="dxa"/>
            </w:tcMar>
          </w:tcPr>
          <w:p w14:paraId="5114831A" w14:textId="77777777" w:rsidR="00142F7D" w:rsidRPr="001E1A15" w:rsidRDefault="00142F7D" w:rsidP="00E03A07">
            <w:pPr>
              <w:widowControl w:val="0"/>
            </w:pPr>
            <w:r w:rsidRPr="001E1A15">
              <w:t>0</w:t>
            </w:r>
          </w:p>
        </w:tc>
        <w:tc>
          <w:tcPr>
            <w:tcW w:w="1805" w:type="dxa"/>
            <w:shd w:val="clear" w:color="auto" w:fill="auto"/>
            <w:tcMar>
              <w:top w:w="100" w:type="dxa"/>
              <w:left w:w="100" w:type="dxa"/>
              <w:bottom w:w="100" w:type="dxa"/>
              <w:right w:w="100" w:type="dxa"/>
            </w:tcMar>
          </w:tcPr>
          <w:p w14:paraId="1AF668CB" w14:textId="77777777" w:rsidR="00142F7D" w:rsidRPr="001E1A15" w:rsidRDefault="00142F7D" w:rsidP="00E03A07">
            <w:pPr>
              <w:widowControl w:val="0"/>
            </w:pPr>
            <w:r w:rsidRPr="001E1A15">
              <w:t>5</w:t>
            </w:r>
          </w:p>
        </w:tc>
        <w:tc>
          <w:tcPr>
            <w:tcW w:w="1805" w:type="dxa"/>
            <w:shd w:val="clear" w:color="auto" w:fill="auto"/>
            <w:tcMar>
              <w:top w:w="100" w:type="dxa"/>
              <w:left w:w="100" w:type="dxa"/>
              <w:bottom w:w="100" w:type="dxa"/>
              <w:right w:w="100" w:type="dxa"/>
            </w:tcMar>
          </w:tcPr>
          <w:p w14:paraId="7A1F003F" w14:textId="77777777" w:rsidR="00142F7D" w:rsidRPr="001E1A15" w:rsidRDefault="00142F7D" w:rsidP="00E03A07">
            <w:pPr>
              <w:widowControl w:val="0"/>
            </w:pPr>
            <w:r w:rsidRPr="001E1A15">
              <w:t>5</w:t>
            </w:r>
          </w:p>
        </w:tc>
        <w:tc>
          <w:tcPr>
            <w:tcW w:w="1805" w:type="dxa"/>
            <w:shd w:val="clear" w:color="auto" w:fill="auto"/>
            <w:tcMar>
              <w:top w:w="100" w:type="dxa"/>
              <w:left w:w="100" w:type="dxa"/>
              <w:bottom w:w="100" w:type="dxa"/>
              <w:right w:w="100" w:type="dxa"/>
            </w:tcMar>
          </w:tcPr>
          <w:p w14:paraId="12595C30" w14:textId="77777777" w:rsidR="00142F7D" w:rsidRPr="001E1A15" w:rsidRDefault="00142F7D" w:rsidP="00E03A07">
            <w:pPr>
              <w:widowControl w:val="0"/>
            </w:pPr>
            <w:r w:rsidRPr="001E1A15">
              <w:t>NPV 1.00</w:t>
            </w:r>
          </w:p>
        </w:tc>
      </w:tr>
      <w:tr w:rsidR="00142F7D" w:rsidRPr="001E1A15" w14:paraId="64E367F3" w14:textId="77777777" w:rsidTr="00E03A07">
        <w:tc>
          <w:tcPr>
            <w:tcW w:w="1805" w:type="dxa"/>
            <w:shd w:val="clear" w:color="auto" w:fill="auto"/>
            <w:tcMar>
              <w:top w:w="100" w:type="dxa"/>
              <w:left w:w="100" w:type="dxa"/>
              <w:bottom w:w="100" w:type="dxa"/>
              <w:right w:w="100" w:type="dxa"/>
            </w:tcMar>
          </w:tcPr>
          <w:p w14:paraId="6AF7EB6F"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4410007A"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34EF2B9A" w14:textId="77777777" w:rsidR="00142F7D" w:rsidRPr="001E1A15" w:rsidRDefault="00142F7D" w:rsidP="00E03A07">
            <w:pPr>
              <w:widowControl w:val="0"/>
            </w:pPr>
            <w:r w:rsidRPr="001E1A15">
              <w:t>14</w:t>
            </w:r>
          </w:p>
        </w:tc>
        <w:tc>
          <w:tcPr>
            <w:tcW w:w="1805" w:type="dxa"/>
            <w:shd w:val="clear" w:color="auto" w:fill="auto"/>
            <w:tcMar>
              <w:top w:w="100" w:type="dxa"/>
              <w:left w:w="100" w:type="dxa"/>
              <w:bottom w:w="100" w:type="dxa"/>
              <w:right w:w="100" w:type="dxa"/>
            </w:tcMar>
          </w:tcPr>
          <w:p w14:paraId="56688045" w14:textId="77777777" w:rsidR="00142F7D" w:rsidRPr="001E1A15" w:rsidRDefault="00142F7D" w:rsidP="00E03A07">
            <w:pPr>
              <w:widowControl w:val="0"/>
            </w:pPr>
            <w:r w:rsidRPr="001E1A15">
              <w:t>26</w:t>
            </w:r>
          </w:p>
        </w:tc>
        <w:tc>
          <w:tcPr>
            <w:tcW w:w="1805" w:type="dxa"/>
            <w:shd w:val="clear" w:color="auto" w:fill="auto"/>
            <w:tcMar>
              <w:top w:w="100" w:type="dxa"/>
              <w:left w:w="100" w:type="dxa"/>
              <w:bottom w:w="100" w:type="dxa"/>
              <w:right w:w="100" w:type="dxa"/>
            </w:tcMar>
          </w:tcPr>
          <w:p w14:paraId="020DC24B" w14:textId="77777777" w:rsidR="00142F7D" w:rsidRPr="001E1A15" w:rsidRDefault="00142F7D" w:rsidP="00E03A07">
            <w:pPr>
              <w:widowControl w:val="0"/>
            </w:pPr>
            <w:proofErr w:type="spellStart"/>
            <w:r w:rsidRPr="001E1A15">
              <w:t>Prev</w:t>
            </w:r>
            <w:proofErr w:type="spellEnd"/>
            <w:r w:rsidRPr="001E1A15">
              <w:t xml:space="preserve"> 0.46</w:t>
            </w:r>
          </w:p>
        </w:tc>
      </w:tr>
      <w:tr w:rsidR="00142F7D" w:rsidRPr="001E1A15" w14:paraId="122F4151" w14:textId="77777777" w:rsidTr="00E03A07">
        <w:tc>
          <w:tcPr>
            <w:tcW w:w="1805" w:type="dxa"/>
            <w:shd w:val="clear" w:color="auto" w:fill="auto"/>
            <w:tcMar>
              <w:top w:w="100" w:type="dxa"/>
              <w:left w:w="100" w:type="dxa"/>
              <w:bottom w:w="100" w:type="dxa"/>
              <w:right w:w="100" w:type="dxa"/>
            </w:tcMar>
          </w:tcPr>
          <w:p w14:paraId="0317B1AC"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3F07B62D" w14:textId="77777777" w:rsidR="00142F7D" w:rsidRPr="001E1A15" w:rsidRDefault="00142F7D" w:rsidP="00E03A07">
            <w:pPr>
              <w:widowControl w:val="0"/>
            </w:pPr>
            <w:r w:rsidRPr="001E1A15">
              <w:t>Sens 1.00</w:t>
            </w:r>
          </w:p>
        </w:tc>
        <w:tc>
          <w:tcPr>
            <w:tcW w:w="1805" w:type="dxa"/>
            <w:shd w:val="clear" w:color="auto" w:fill="auto"/>
            <w:tcMar>
              <w:top w:w="100" w:type="dxa"/>
              <w:left w:w="100" w:type="dxa"/>
              <w:bottom w:w="100" w:type="dxa"/>
              <w:right w:w="100" w:type="dxa"/>
            </w:tcMar>
          </w:tcPr>
          <w:p w14:paraId="25E4BA03" w14:textId="77777777" w:rsidR="00142F7D" w:rsidRPr="001E1A15" w:rsidRDefault="00142F7D" w:rsidP="00E03A07">
            <w:pPr>
              <w:widowControl w:val="0"/>
            </w:pPr>
            <w:proofErr w:type="spellStart"/>
            <w:r w:rsidRPr="001E1A15">
              <w:t>Spec</w:t>
            </w:r>
            <w:proofErr w:type="spellEnd"/>
            <w:r w:rsidRPr="001E1A15">
              <w:t xml:space="preserve"> 0.36</w:t>
            </w:r>
          </w:p>
        </w:tc>
        <w:tc>
          <w:tcPr>
            <w:tcW w:w="1805" w:type="dxa"/>
            <w:shd w:val="clear" w:color="auto" w:fill="auto"/>
            <w:tcMar>
              <w:top w:w="100" w:type="dxa"/>
              <w:left w:w="100" w:type="dxa"/>
              <w:bottom w:w="100" w:type="dxa"/>
              <w:right w:w="100" w:type="dxa"/>
            </w:tcMar>
          </w:tcPr>
          <w:p w14:paraId="52C0D184"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4A329948" w14:textId="77777777" w:rsidR="00142F7D" w:rsidRPr="001E1A15" w:rsidRDefault="00142F7D" w:rsidP="00E03A07">
            <w:pPr>
              <w:widowControl w:val="0"/>
            </w:pPr>
            <w:proofErr w:type="spellStart"/>
            <w:r w:rsidRPr="001E1A15">
              <w:t>Acc</w:t>
            </w:r>
            <w:proofErr w:type="spellEnd"/>
            <w:r w:rsidRPr="001E1A15">
              <w:t xml:space="preserve"> 0.65</w:t>
            </w:r>
          </w:p>
        </w:tc>
      </w:tr>
    </w:tbl>
    <w:p w14:paraId="39E971F4" w14:textId="77777777" w:rsidR="00142F7D" w:rsidRPr="001E1A15" w:rsidRDefault="00142F7D" w:rsidP="00142F7D">
      <w:pPr>
        <w:spacing w:line="480" w:lineRule="auto"/>
        <w:rPr>
          <w:b/>
          <w:lang w:val="en-US"/>
        </w:rPr>
      </w:pPr>
    </w:p>
    <w:p w14:paraId="4BC579F4" w14:textId="77777777" w:rsidR="00142F7D" w:rsidRDefault="00142F7D" w:rsidP="00142F7D">
      <w:pPr>
        <w:spacing w:line="480" w:lineRule="auto"/>
        <w:rPr>
          <w:b/>
          <w:lang w:val="en-US"/>
        </w:rPr>
      </w:pPr>
    </w:p>
    <w:p w14:paraId="71E45716" w14:textId="77777777" w:rsidR="00142F7D" w:rsidRDefault="00142F7D" w:rsidP="00142F7D">
      <w:pPr>
        <w:spacing w:line="480" w:lineRule="auto"/>
        <w:rPr>
          <w:b/>
          <w:lang w:val="en-US"/>
        </w:rPr>
      </w:pPr>
    </w:p>
    <w:p w14:paraId="5FEDD1D7" w14:textId="77777777" w:rsidR="00142F7D" w:rsidRDefault="00142F7D" w:rsidP="00142F7D">
      <w:pPr>
        <w:spacing w:line="480" w:lineRule="auto"/>
        <w:rPr>
          <w:b/>
          <w:lang w:val="en-US"/>
        </w:rPr>
      </w:pPr>
    </w:p>
    <w:p w14:paraId="4197FFD8" w14:textId="77777777" w:rsidR="00142F7D" w:rsidRDefault="00142F7D" w:rsidP="00142F7D">
      <w:pPr>
        <w:spacing w:line="480" w:lineRule="auto"/>
        <w:rPr>
          <w:b/>
          <w:lang w:val="en-US"/>
        </w:rPr>
      </w:pPr>
    </w:p>
    <w:p w14:paraId="7F3EDA08" w14:textId="77777777" w:rsidR="00142F7D" w:rsidRDefault="00142F7D" w:rsidP="00142F7D">
      <w:pPr>
        <w:spacing w:line="480" w:lineRule="auto"/>
        <w:rPr>
          <w:b/>
          <w:lang w:val="en-US"/>
        </w:rPr>
      </w:pPr>
    </w:p>
    <w:p w14:paraId="293F5992" w14:textId="77777777" w:rsidR="00142F7D" w:rsidRDefault="00142F7D" w:rsidP="00142F7D">
      <w:pPr>
        <w:spacing w:line="480" w:lineRule="auto"/>
        <w:rPr>
          <w:b/>
          <w:lang w:val="en-US"/>
        </w:rPr>
      </w:pPr>
    </w:p>
    <w:p w14:paraId="7E5C08D5" w14:textId="77777777" w:rsidR="00142F7D" w:rsidRDefault="00142F7D" w:rsidP="00142F7D">
      <w:pPr>
        <w:spacing w:line="480" w:lineRule="auto"/>
        <w:rPr>
          <w:b/>
          <w:lang w:val="en-US"/>
        </w:rPr>
      </w:pPr>
    </w:p>
    <w:p w14:paraId="2BCBC891" w14:textId="77777777" w:rsidR="00142F7D" w:rsidRPr="001E1A15" w:rsidRDefault="00142F7D" w:rsidP="00142F7D">
      <w:pPr>
        <w:spacing w:line="480" w:lineRule="auto"/>
        <w:rPr>
          <w:lang w:val="en-US"/>
        </w:rPr>
      </w:pPr>
      <w:r w:rsidRPr="001E1A15">
        <w:rPr>
          <w:b/>
          <w:lang w:val="en-US"/>
        </w:rPr>
        <w:lastRenderedPageBreak/>
        <w:t xml:space="preserve">Supplemental Table </w:t>
      </w:r>
      <w:r>
        <w:rPr>
          <w:b/>
          <w:lang w:val="en-US"/>
        </w:rPr>
        <w:t>6</w:t>
      </w:r>
      <w:r w:rsidRPr="001E1A15">
        <w:rPr>
          <w:b/>
          <w:lang w:val="en-US"/>
        </w:rPr>
        <w:t xml:space="preserve">. </w:t>
      </w:r>
      <w:r w:rsidRPr="001E1A15">
        <w:rPr>
          <w:lang w:val="en-US"/>
        </w:rPr>
        <w:t xml:space="preserve">Contingency table and diagnostic test metrics of longitudinal </w:t>
      </w:r>
      <w:proofErr w:type="spellStart"/>
      <w:r w:rsidRPr="001E1A15">
        <w:rPr>
          <w:lang w:val="en-US"/>
        </w:rPr>
        <w:t>uACR</w:t>
      </w:r>
      <w:proofErr w:type="spellEnd"/>
      <w:r w:rsidRPr="001E1A15">
        <w:rPr>
          <w:lang w:val="en-US"/>
        </w:rPr>
        <w:t xml:space="preserve"> monitoring with a cutoff of 1000 mg/g for </w:t>
      </w:r>
      <w:r>
        <w:rPr>
          <w:lang w:val="en-US"/>
        </w:rPr>
        <w:t>AMR</w:t>
      </w:r>
      <w:r w:rsidRPr="001E1A15">
        <w:rPr>
          <w:lang w:val="en-US"/>
        </w:rPr>
        <w:t xml:space="preserve"> in DSA+ KTR. </w:t>
      </w:r>
      <w:proofErr w:type="spellStart"/>
      <w:r w:rsidRPr="001E1A15">
        <w:rPr>
          <w:lang w:val="en-US"/>
        </w:rPr>
        <w:t>Prev</w:t>
      </w:r>
      <w:proofErr w:type="spellEnd"/>
      <w:r w:rsidRPr="001E1A15">
        <w:rPr>
          <w:lang w:val="en-US"/>
        </w:rPr>
        <w:t xml:space="preserve">, Prevalence of </w:t>
      </w:r>
      <w:r>
        <w:rPr>
          <w:lang w:val="en-US"/>
        </w:rPr>
        <w:t>AMR</w:t>
      </w:r>
      <w:r w:rsidRPr="001E1A15">
        <w:rPr>
          <w:lang w:val="en-US"/>
        </w:rPr>
        <w:t>; Acc, accuracy; Sens, sensitivity; Spec, specificity; PPV, positive predictive value; NPV, negative predictive value.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42F7D" w:rsidRPr="001E1A15" w14:paraId="0A226B18" w14:textId="77777777" w:rsidTr="00E03A07">
        <w:tc>
          <w:tcPr>
            <w:tcW w:w="1805" w:type="dxa"/>
            <w:shd w:val="clear" w:color="auto" w:fill="auto"/>
            <w:tcMar>
              <w:top w:w="100" w:type="dxa"/>
              <w:left w:w="100" w:type="dxa"/>
              <w:bottom w:w="100" w:type="dxa"/>
              <w:right w:w="100" w:type="dxa"/>
            </w:tcMar>
          </w:tcPr>
          <w:p w14:paraId="43DA3FD0" w14:textId="77777777" w:rsidR="00142F7D" w:rsidRPr="001E1A15" w:rsidRDefault="00142F7D" w:rsidP="00E03A07">
            <w:pPr>
              <w:widowControl w:val="0"/>
              <w:rPr>
                <w:lang w:val="en-US"/>
              </w:rPr>
            </w:pPr>
          </w:p>
        </w:tc>
        <w:tc>
          <w:tcPr>
            <w:tcW w:w="1805" w:type="dxa"/>
            <w:shd w:val="clear" w:color="auto" w:fill="auto"/>
            <w:tcMar>
              <w:top w:w="100" w:type="dxa"/>
              <w:left w:w="100" w:type="dxa"/>
              <w:bottom w:w="100" w:type="dxa"/>
              <w:right w:w="100" w:type="dxa"/>
            </w:tcMar>
          </w:tcPr>
          <w:p w14:paraId="26CEDFF0" w14:textId="77777777" w:rsidR="00142F7D" w:rsidRPr="001E1A15" w:rsidRDefault="00142F7D" w:rsidP="00E03A07">
            <w:pPr>
              <w:widowControl w:val="0"/>
            </w:pPr>
            <w:r>
              <w:rPr>
                <w:lang w:val="en-US"/>
              </w:rPr>
              <w:t>AMR</w:t>
            </w:r>
          </w:p>
        </w:tc>
        <w:tc>
          <w:tcPr>
            <w:tcW w:w="1805" w:type="dxa"/>
            <w:shd w:val="clear" w:color="auto" w:fill="auto"/>
            <w:tcMar>
              <w:top w:w="100" w:type="dxa"/>
              <w:left w:w="100" w:type="dxa"/>
              <w:bottom w:w="100" w:type="dxa"/>
              <w:right w:w="100" w:type="dxa"/>
            </w:tcMar>
          </w:tcPr>
          <w:p w14:paraId="6971B7B4" w14:textId="77777777" w:rsidR="00142F7D" w:rsidRPr="001E1A15" w:rsidRDefault="00142F7D" w:rsidP="00E03A07">
            <w:pPr>
              <w:widowControl w:val="0"/>
            </w:pPr>
            <w:proofErr w:type="spellStart"/>
            <w:r w:rsidRPr="001E1A15">
              <w:t>no</w:t>
            </w:r>
            <w:proofErr w:type="spellEnd"/>
            <w:r w:rsidRPr="001E1A15">
              <w:t xml:space="preserve"> </w:t>
            </w:r>
            <w:r>
              <w:rPr>
                <w:lang w:val="en-US"/>
              </w:rPr>
              <w:t>AMR</w:t>
            </w:r>
          </w:p>
        </w:tc>
        <w:tc>
          <w:tcPr>
            <w:tcW w:w="1805" w:type="dxa"/>
            <w:shd w:val="clear" w:color="auto" w:fill="auto"/>
            <w:tcMar>
              <w:top w:w="100" w:type="dxa"/>
              <w:left w:w="100" w:type="dxa"/>
              <w:bottom w:w="100" w:type="dxa"/>
              <w:right w:w="100" w:type="dxa"/>
            </w:tcMar>
          </w:tcPr>
          <w:p w14:paraId="4AA1531A"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29FDD6B3" w14:textId="77777777" w:rsidR="00142F7D" w:rsidRPr="001E1A15" w:rsidRDefault="00142F7D" w:rsidP="00E03A07">
            <w:pPr>
              <w:widowControl w:val="0"/>
            </w:pPr>
          </w:p>
        </w:tc>
      </w:tr>
      <w:tr w:rsidR="00142F7D" w:rsidRPr="001E1A15" w14:paraId="7E9DD834" w14:textId="77777777" w:rsidTr="00E03A07">
        <w:tc>
          <w:tcPr>
            <w:tcW w:w="1805" w:type="dxa"/>
            <w:shd w:val="clear" w:color="auto" w:fill="auto"/>
            <w:tcMar>
              <w:top w:w="100" w:type="dxa"/>
              <w:left w:w="100" w:type="dxa"/>
              <w:bottom w:w="100" w:type="dxa"/>
              <w:right w:w="100" w:type="dxa"/>
            </w:tcMar>
          </w:tcPr>
          <w:p w14:paraId="657337EE" w14:textId="77777777" w:rsidR="00142F7D" w:rsidRPr="001E1A15" w:rsidRDefault="00142F7D" w:rsidP="00E03A07">
            <w:pPr>
              <w:widowControl w:val="0"/>
            </w:pPr>
            <w:r w:rsidRPr="001E1A15">
              <w:t>&gt; 1000 mg/g</w:t>
            </w:r>
          </w:p>
        </w:tc>
        <w:tc>
          <w:tcPr>
            <w:tcW w:w="1805" w:type="dxa"/>
            <w:shd w:val="clear" w:color="auto" w:fill="auto"/>
            <w:tcMar>
              <w:top w:w="100" w:type="dxa"/>
              <w:left w:w="100" w:type="dxa"/>
              <w:bottom w:w="100" w:type="dxa"/>
              <w:right w:w="100" w:type="dxa"/>
            </w:tcMar>
          </w:tcPr>
          <w:p w14:paraId="103598DB" w14:textId="77777777" w:rsidR="00142F7D" w:rsidRPr="001E1A15" w:rsidRDefault="00142F7D" w:rsidP="00E03A07">
            <w:pPr>
              <w:widowControl w:val="0"/>
            </w:pPr>
            <w:r w:rsidRPr="001E1A15">
              <w:t>4</w:t>
            </w:r>
          </w:p>
        </w:tc>
        <w:tc>
          <w:tcPr>
            <w:tcW w:w="1805" w:type="dxa"/>
            <w:shd w:val="clear" w:color="auto" w:fill="auto"/>
            <w:tcMar>
              <w:top w:w="100" w:type="dxa"/>
              <w:left w:w="100" w:type="dxa"/>
              <w:bottom w:w="100" w:type="dxa"/>
              <w:right w:w="100" w:type="dxa"/>
            </w:tcMar>
          </w:tcPr>
          <w:p w14:paraId="7335B28B" w14:textId="77777777" w:rsidR="00142F7D" w:rsidRPr="001E1A15" w:rsidRDefault="00142F7D" w:rsidP="00E03A07">
            <w:pPr>
              <w:widowControl w:val="0"/>
            </w:pPr>
            <w:r w:rsidRPr="001E1A15">
              <w:t>1</w:t>
            </w:r>
          </w:p>
        </w:tc>
        <w:tc>
          <w:tcPr>
            <w:tcW w:w="1805" w:type="dxa"/>
            <w:shd w:val="clear" w:color="auto" w:fill="auto"/>
            <w:tcMar>
              <w:top w:w="100" w:type="dxa"/>
              <w:left w:w="100" w:type="dxa"/>
              <w:bottom w:w="100" w:type="dxa"/>
              <w:right w:w="100" w:type="dxa"/>
            </w:tcMar>
          </w:tcPr>
          <w:p w14:paraId="6E0F660B" w14:textId="77777777" w:rsidR="00142F7D" w:rsidRPr="001E1A15" w:rsidRDefault="00142F7D" w:rsidP="00E03A07">
            <w:pPr>
              <w:widowControl w:val="0"/>
            </w:pPr>
            <w:r w:rsidRPr="001E1A15">
              <w:t>5</w:t>
            </w:r>
          </w:p>
        </w:tc>
        <w:tc>
          <w:tcPr>
            <w:tcW w:w="1805" w:type="dxa"/>
            <w:shd w:val="clear" w:color="auto" w:fill="auto"/>
            <w:tcMar>
              <w:top w:w="100" w:type="dxa"/>
              <w:left w:w="100" w:type="dxa"/>
              <w:bottom w:w="100" w:type="dxa"/>
              <w:right w:w="100" w:type="dxa"/>
            </w:tcMar>
          </w:tcPr>
          <w:p w14:paraId="5FCAB565" w14:textId="77777777" w:rsidR="00142F7D" w:rsidRPr="001E1A15" w:rsidRDefault="00142F7D" w:rsidP="00E03A07">
            <w:pPr>
              <w:widowControl w:val="0"/>
            </w:pPr>
            <w:r w:rsidRPr="001E1A15">
              <w:t>PPV 0.80</w:t>
            </w:r>
          </w:p>
        </w:tc>
      </w:tr>
      <w:tr w:rsidR="00142F7D" w:rsidRPr="001E1A15" w14:paraId="40FDF040" w14:textId="77777777" w:rsidTr="00E03A07">
        <w:tc>
          <w:tcPr>
            <w:tcW w:w="1805" w:type="dxa"/>
            <w:shd w:val="clear" w:color="auto" w:fill="auto"/>
            <w:tcMar>
              <w:top w:w="100" w:type="dxa"/>
              <w:left w:w="100" w:type="dxa"/>
              <w:bottom w:w="100" w:type="dxa"/>
              <w:right w:w="100" w:type="dxa"/>
            </w:tcMar>
          </w:tcPr>
          <w:p w14:paraId="087C2E0B" w14:textId="77777777" w:rsidR="00142F7D" w:rsidRPr="001E1A15" w:rsidRDefault="00142F7D" w:rsidP="00E03A07">
            <w:pPr>
              <w:widowControl w:val="0"/>
            </w:pPr>
            <w:r w:rsidRPr="001E1A15">
              <w:rPr>
                <w:rFonts w:eastAsia="Arial Unicode MS"/>
              </w:rPr>
              <w:t>≤ 1000 mg/g</w:t>
            </w:r>
          </w:p>
        </w:tc>
        <w:tc>
          <w:tcPr>
            <w:tcW w:w="1805" w:type="dxa"/>
            <w:shd w:val="clear" w:color="auto" w:fill="auto"/>
            <w:tcMar>
              <w:top w:w="100" w:type="dxa"/>
              <w:left w:w="100" w:type="dxa"/>
              <w:bottom w:w="100" w:type="dxa"/>
              <w:right w:w="100" w:type="dxa"/>
            </w:tcMar>
          </w:tcPr>
          <w:p w14:paraId="1EFF05E2" w14:textId="77777777" w:rsidR="00142F7D" w:rsidRPr="001E1A15" w:rsidRDefault="00142F7D" w:rsidP="00E03A07">
            <w:pPr>
              <w:widowControl w:val="0"/>
            </w:pPr>
            <w:r w:rsidRPr="001E1A15">
              <w:t>8</w:t>
            </w:r>
          </w:p>
        </w:tc>
        <w:tc>
          <w:tcPr>
            <w:tcW w:w="1805" w:type="dxa"/>
            <w:shd w:val="clear" w:color="auto" w:fill="auto"/>
            <w:tcMar>
              <w:top w:w="100" w:type="dxa"/>
              <w:left w:w="100" w:type="dxa"/>
              <w:bottom w:w="100" w:type="dxa"/>
              <w:right w:w="100" w:type="dxa"/>
            </w:tcMar>
          </w:tcPr>
          <w:p w14:paraId="3891772F" w14:textId="77777777" w:rsidR="00142F7D" w:rsidRPr="001E1A15" w:rsidRDefault="00142F7D" w:rsidP="00E03A07">
            <w:pPr>
              <w:widowControl w:val="0"/>
            </w:pPr>
            <w:r w:rsidRPr="001E1A15">
              <w:t>13</w:t>
            </w:r>
          </w:p>
        </w:tc>
        <w:tc>
          <w:tcPr>
            <w:tcW w:w="1805" w:type="dxa"/>
            <w:shd w:val="clear" w:color="auto" w:fill="auto"/>
            <w:tcMar>
              <w:top w:w="100" w:type="dxa"/>
              <w:left w:w="100" w:type="dxa"/>
              <w:bottom w:w="100" w:type="dxa"/>
              <w:right w:w="100" w:type="dxa"/>
            </w:tcMar>
          </w:tcPr>
          <w:p w14:paraId="3F9615E0" w14:textId="77777777" w:rsidR="00142F7D" w:rsidRPr="001E1A15" w:rsidRDefault="00142F7D" w:rsidP="00E03A07">
            <w:pPr>
              <w:widowControl w:val="0"/>
            </w:pPr>
            <w:r w:rsidRPr="001E1A15">
              <w:t>21</w:t>
            </w:r>
          </w:p>
        </w:tc>
        <w:tc>
          <w:tcPr>
            <w:tcW w:w="1805" w:type="dxa"/>
            <w:shd w:val="clear" w:color="auto" w:fill="auto"/>
            <w:tcMar>
              <w:top w:w="100" w:type="dxa"/>
              <w:left w:w="100" w:type="dxa"/>
              <w:bottom w:w="100" w:type="dxa"/>
              <w:right w:w="100" w:type="dxa"/>
            </w:tcMar>
          </w:tcPr>
          <w:p w14:paraId="7BD1F702" w14:textId="77777777" w:rsidR="00142F7D" w:rsidRPr="001E1A15" w:rsidRDefault="00142F7D" w:rsidP="00E03A07">
            <w:pPr>
              <w:widowControl w:val="0"/>
            </w:pPr>
            <w:r w:rsidRPr="001E1A15">
              <w:t>NPV 0.62</w:t>
            </w:r>
          </w:p>
        </w:tc>
      </w:tr>
      <w:tr w:rsidR="00142F7D" w:rsidRPr="001E1A15" w14:paraId="0C8240AA" w14:textId="77777777" w:rsidTr="00E03A07">
        <w:tc>
          <w:tcPr>
            <w:tcW w:w="1805" w:type="dxa"/>
            <w:shd w:val="clear" w:color="auto" w:fill="auto"/>
            <w:tcMar>
              <w:top w:w="100" w:type="dxa"/>
              <w:left w:w="100" w:type="dxa"/>
              <w:bottom w:w="100" w:type="dxa"/>
              <w:right w:w="100" w:type="dxa"/>
            </w:tcMar>
          </w:tcPr>
          <w:p w14:paraId="68F6B013" w14:textId="77777777" w:rsidR="00142F7D" w:rsidRPr="001E1A15" w:rsidRDefault="00142F7D" w:rsidP="00E03A07">
            <w:pPr>
              <w:widowControl w:val="0"/>
            </w:pPr>
            <w:r w:rsidRPr="001E1A15">
              <w:t>Total</w:t>
            </w:r>
          </w:p>
        </w:tc>
        <w:tc>
          <w:tcPr>
            <w:tcW w:w="1805" w:type="dxa"/>
            <w:shd w:val="clear" w:color="auto" w:fill="auto"/>
            <w:tcMar>
              <w:top w:w="100" w:type="dxa"/>
              <w:left w:w="100" w:type="dxa"/>
              <w:bottom w:w="100" w:type="dxa"/>
              <w:right w:w="100" w:type="dxa"/>
            </w:tcMar>
          </w:tcPr>
          <w:p w14:paraId="5ACDA729" w14:textId="77777777" w:rsidR="00142F7D" w:rsidRPr="001E1A15" w:rsidRDefault="00142F7D" w:rsidP="00E03A07">
            <w:pPr>
              <w:widowControl w:val="0"/>
            </w:pPr>
            <w:r w:rsidRPr="001E1A15">
              <w:t>12</w:t>
            </w:r>
          </w:p>
        </w:tc>
        <w:tc>
          <w:tcPr>
            <w:tcW w:w="1805" w:type="dxa"/>
            <w:shd w:val="clear" w:color="auto" w:fill="auto"/>
            <w:tcMar>
              <w:top w:w="100" w:type="dxa"/>
              <w:left w:w="100" w:type="dxa"/>
              <w:bottom w:w="100" w:type="dxa"/>
              <w:right w:w="100" w:type="dxa"/>
            </w:tcMar>
          </w:tcPr>
          <w:p w14:paraId="1E92BD11" w14:textId="77777777" w:rsidR="00142F7D" w:rsidRPr="001E1A15" w:rsidRDefault="00142F7D" w:rsidP="00E03A07">
            <w:pPr>
              <w:widowControl w:val="0"/>
            </w:pPr>
            <w:r w:rsidRPr="001E1A15">
              <w:t>14</w:t>
            </w:r>
          </w:p>
        </w:tc>
        <w:tc>
          <w:tcPr>
            <w:tcW w:w="1805" w:type="dxa"/>
            <w:shd w:val="clear" w:color="auto" w:fill="auto"/>
            <w:tcMar>
              <w:top w:w="100" w:type="dxa"/>
              <w:left w:w="100" w:type="dxa"/>
              <w:bottom w:w="100" w:type="dxa"/>
              <w:right w:w="100" w:type="dxa"/>
            </w:tcMar>
          </w:tcPr>
          <w:p w14:paraId="7E6C0199" w14:textId="77777777" w:rsidR="00142F7D" w:rsidRPr="001E1A15" w:rsidRDefault="00142F7D" w:rsidP="00E03A07">
            <w:pPr>
              <w:widowControl w:val="0"/>
            </w:pPr>
            <w:r w:rsidRPr="001E1A15">
              <w:t>26</w:t>
            </w:r>
          </w:p>
        </w:tc>
        <w:tc>
          <w:tcPr>
            <w:tcW w:w="1805" w:type="dxa"/>
            <w:shd w:val="clear" w:color="auto" w:fill="auto"/>
            <w:tcMar>
              <w:top w:w="100" w:type="dxa"/>
              <w:left w:w="100" w:type="dxa"/>
              <w:bottom w:w="100" w:type="dxa"/>
              <w:right w:w="100" w:type="dxa"/>
            </w:tcMar>
          </w:tcPr>
          <w:p w14:paraId="10865547" w14:textId="77777777" w:rsidR="00142F7D" w:rsidRPr="001E1A15" w:rsidRDefault="00142F7D" w:rsidP="00E03A07">
            <w:pPr>
              <w:widowControl w:val="0"/>
            </w:pPr>
            <w:proofErr w:type="spellStart"/>
            <w:r w:rsidRPr="001E1A15">
              <w:t>Prev</w:t>
            </w:r>
            <w:proofErr w:type="spellEnd"/>
            <w:r w:rsidRPr="001E1A15">
              <w:t xml:space="preserve"> 0.46</w:t>
            </w:r>
          </w:p>
        </w:tc>
      </w:tr>
      <w:tr w:rsidR="00142F7D" w:rsidRPr="001E1A15" w14:paraId="467BF87C" w14:textId="77777777" w:rsidTr="00E03A07">
        <w:tc>
          <w:tcPr>
            <w:tcW w:w="1805" w:type="dxa"/>
            <w:shd w:val="clear" w:color="auto" w:fill="auto"/>
            <w:tcMar>
              <w:top w:w="100" w:type="dxa"/>
              <w:left w:w="100" w:type="dxa"/>
              <w:bottom w:w="100" w:type="dxa"/>
              <w:right w:w="100" w:type="dxa"/>
            </w:tcMar>
          </w:tcPr>
          <w:p w14:paraId="7BF77240"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5EE6FFCD" w14:textId="77777777" w:rsidR="00142F7D" w:rsidRPr="001E1A15" w:rsidRDefault="00142F7D" w:rsidP="00E03A07">
            <w:pPr>
              <w:widowControl w:val="0"/>
            </w:pPr>
            <w:r w:rsidRPr="001E1A15">
              <w:t>Sens 0.33</w:t>
            </w:r>
          </w:p>
        </w:tc>
        <w:tc>
          <w:tcPr>
            <w:tcW w:w="1805" w:type="dxa"/>
            <w:shd w:val="clear" w:color="auto" w:fill="auto"/>
            <w:tcMar>
              <w:top w:w="100" w:type="dxa"/>
              <w:left w:w="100" w:type="dxa"/>
              <w:bottom w:w="100" w:type="dxa"/>
              <w:right w:w="100" w:type="dxa"/>
            </w:tcMar>
          </w:tcPr>
          <w:p w14:paraId="5EF053BB" w14:textId="77777777" w:rsidR="00142F7D" w:rsidRPr="001E1A15" w:rsidRDefault="00142F7D" w:rsidP="00E03A07">
            <w:pPr>
              <w:widowControl w:val="0"/>
            </w:pPr>
            <w:proofErr w:type="spellStart"/>
            <w:r w:rsidRPr="001E1A15">
              <w:t>Spec</w:t>
            </w:r>
            <w:proofErr w:type="spellEnd"/>
            <w:r w:rsidRPr="001E1A15">
              <w:t xml:space="preserve"> 0.93</w:t>
            </w:r>
          </w:p>
        </w:tc>
        <w:tc>
          <w:tcPr>
            <w:tcW w:w="1805" w:type="dxa"/>
            <w:shd w:val="clear" w:color="auto" w:fill="auto"/>
            <w:tcMar>
              <w:top w:w="100" w:type="dxa"/>
              <w:left w:w="100" w:type="dxa"/>
              <w:bottom w:w="100" w:type="dxa"/>
              <w:right w:w="100" w:type="dxa"/>
            </w:tcMar>
          </w:tcPr>
          <w:p w14:paraId="44C91B3A" w14:textId="77777777" w:rsidR="00142F7D" w:rsidRPr="001E1A15" w:rsidRDefault="00142F7D" w:rsidP="00E03A07">
            <w:pPr>
              <w:widowControl w:val="0"/>
            </w:pPr>
          </w:p>
        </w:tc>
        <w:tc>
          <w:tcPr>
            <w:tcW w:w="1805" w:type="dxa"/>
            <w:shd w:val="clear" w:color="auto" w:fill="auto"/>
            <w:tcMar>
              <w:top w:w="100" w:type="dxa"/>
              <w:left w:w="100" w:type="dxa"/>
              <w:bottom w:w="100" w:type="dxa"/>
              <w:right w:w="100" w:type="dxa"/>
            </w:tcMar>
          </w:tcPr>
          <w:p w14:paraId="7226684B" w14:textId="77777777" w:rsidR="00142F7D" w:rsidRPr="001E1A15" w:rsidRDefault="00142F7D" w:rsidP="00E03A07">
            <w:pPr>
              <w:widowControl w:val="0"/>
            </w:pPr>
            <w:proofErr w:type="spellStart"/>
            <w:r w:rsidRPr="001E1A15">
              <w:t>Acc</w:t>
            </w:r>
            <w:proofErr w:type="spellEnd"/>
            <w:r w:rsidRPr="001E1A15">
              <w:t xml:space="preserve"> 0.65</w:t>
            </w:r>
          </w:p>
        </w:tc>
      </w:tr>
    </w:tbl>
    <w:p w14:paraId="1CF894FA" w14:textId="77777777" w:rsidR="00142F7D" w:rsidRDefault="00142F7D" w:rsidP="00142F7D">
      <w:pPr>
        <w:spacing w:line="480" w:lineRule="auto"/>
        <w:rPr>
          <w:b/>
          <w:lang w:val="en-US"/>
        </w:rPr>
      </w:pPr>
    </w:p>
    <w:p w14:paraId="0777EBD4" w14:textId="77777777" w:rsidR="00142F7D" w:rsidRPr="003520D7" w:rsidRDefault="00142F7D" w:rsidP="00142F7D">
      <w:pPr>
        <w:spacing w:line="480" w:lineRule="auto"/>
        <w:rPr>
          <w:lang w:val="en-US"/>
        </w:rPr>
      </w:pPr>
      <w:r>
        <w:rPr>
          <w:b/>
          <w:lang w:val="en-US"/>
        </w:rPr>
        <w:t>Supplemental Table 7</w:t>
      </w:r>
      <w:r w:rsidRPr="003520D7">
        <w:rPr>
          <w:b/>
          <w:lang w:val="en-US"/>
        </w:rPr>
        <w:t xml:space="preserve">. </w:t>
      </w:r>
      <w:r w:rsidRPr="003520D7">
        <w:rPr>
          <w:lang w:val="en-US"/>
        </w:rPr>
        <w:t xml:space="preserve">Contingency table and diagnostic test metrics of </w:t>
      </w:r>
      <w:r>
        <w:rPr>
          <w:lang w:val="en-US"/>
        </w:rPr>
        <w:t>MFI doubling from baseline to study completion</w:t>
      </w:r>
      <w:r w:rsidRPr="003520D7">
        <w:rPr>
          <w:lang w:val="en-US"/>
        </w:rPr>
        <w:t xml:space="preserve"> for </w:t>
      </w:r>
      <w:r>
        <w:rPr>
          <w:lang w:val="en-US"/>
        </w:rPr>
        <w:t>AMR</w:t>
      </w:r>
      <w:r w:rsidRPr="003520D7">
        <w:rPr>
          <w:lang w:val="en-US"/>
        </w:rPr>
        <w:t xml:space="preserve"> in DSA+ KTR. </w:t>
      </w:r>
      <w:proofErr w:type="spellStart"/>
      <w:r w:rsidRPr="003520D7">
        <w:rPr>
          <w:lang w:val="en-US"/>
        </w:rPr>
        <w:t>Prev</w:t>
      </w:r>
      <w:proofErr w:type="spellEnd"/>
      <w:r w:rsidRPr="003520D7">
        <w:rPr>
          <w:lang w:val="en-US"/>
        </w:rPr>
        <w:t xml:space="preserve">, Prevalence of </w:t>
      </w:r>
      <w:r>
        <w:rPr>
          <w:lang w:val="en-US"/>
        </w:rPr>
        <w:t>AMR</w:t>
      </w:r>
      <w:r w:rsidRPr="003520D7">
        <w:rPr>
          <w:lang w:val="en-US"/>
        </w:rPr>
        <w:t>; Acc, accuracy; Sens, sensitivity; Spec, specificity; PPV, positive predictive value; NPV, negative predictive value</w:t>
      </w:r>
      <w:r>
        <w:rPr>
          <w:lang w:val="en-US"/>
        </w:rPr>
        <w:t>; MFI, mean fluorescence activity of the immunodominant de novo donor-</w:t>
      </w:r>
      <w:proofErr w:type="spellStart"/>
      <w:r>
        <w:rPr>
          <w:lang w:val="en-US"/>
        </w:rPr>
        <w:t>specfic</w:t>
      </w:r>
      <w:proofErr w:type="spellEnd"/>
      <w:r>
        <w:rPr>
          <w:lang w:val="en-US"/>
        </w:rPr>
        <w:t xml:space="preserve"> anti-HLA antibody</w:t>
      </w:r>
      <w:r w:rsidRPr="003520D7">
        <w:rPr>
          <w:lang w:val="en-US"/>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778"/>
        <w:gridCol w:w="1806"/>
        <w:gridCol w:w="1806"/>
        <w:gridCol w:w="1806"/>
      </w:tblGrid>
      <w:tr w:rsidR="00142F7D" w:rsidRPr="003520D7" w14:paraId="57F64892" w14:textId="77777777" w:rsidTr="00E03A07">
        <w:tc>
          <w:tcPr>
            <w:tcW w:w="1833" w:type="dxa"/>
            <w:shd w:val="clear" w:color="auto" w:fill="auto"/>
            <w:tcMar>
              <w:top w:w="100" w:type="dxa"/>
              <w:left w:w="100" w:type="dxa"/>
              <w:bottom w:w="100" w:type="dxa"/>
              <w:right w:w="100" w:type="dxa"/>
            </w:tcMar>
          </w:tcPr>
          <w:p w14:paraId="1E9ECF8D" w14:textId="77777777" w:rsidR="00142F7D" w:rsidRPr="003520D7" w:rsidRDefault="00142F7D" w:rsidP="00E03A07">
            <w:pPr>
              <w:widowControl w:val="0"/>
              <w:pBdr>
                <w:top w:val="nil"/>
                <w:left w:val="nil"/>
                <w:bottom w:val="nil"/>
                <w:right w:val="nil"/>
                <w:between w:val="nil"/>
              </w:pBdr>
              <w:rPr>
                <w:lang w:val="en-US"/>
              </w:rPr>
            </w:pPr>
          </w:p>
        </w:tc>
        <w:tc>
          <w:tcPr>
            <w:tcW w:w="1778" w:type="dxa"/>
            <w:shd w:val="clear" w:color="auto" w:fill="auto"/>
            <w:tcMar>
              <w:top w:w="100" w:type="dxa"/>
              <w:left w:w="100" w:type="dxa"/>
              <w:bottom w:w="100" w:type="dxa"/>
              <w:right w:w="100" w:type="dxa"/>
            </w:tcMar>
          </w:tcPr>
          <w:p w14:paraId="4D8D1C27" w14:textId="77777777" w:rsidR="00142F7D" w:rsidRPr="003520D7" w:rsidRDefault="00142F7D" w:rsidP="00E03A07">
            <w:pPr>
              <w:widowControl w:val="0"/>
              <w:pBdr>
                <w:top w:val="nil"/>
                <w:left w:val="nil"/>
                <w:bottom w:val="nil"/>
                <w:right w:val="nil"/>
                <w:between w:val="nil"/>
              </w:pBdr>
              <w:rPr>
                <w:lang w:val="en-US"/>
              </w:rPr>
            </w:pPr>
            <w:r>
              <w:rPr>
                <w:lang w:val="en-US"/>
              </w:rPr>
              <w:t>AMR</w:t>
            </w:r>
          </w:p>
        </w:tc>
        <w:tc>
          <w:tcPr>
            <w:tcW w:w="1806" w:type="dxa"/>
            <w:shd w:val="clear" w:color="auto" w:fill="auto"/>
            <w:tcMar>
              <w:top w:w="100" w:type="dxa"/>
              <w:left w:w="100" w:type="dxa"/>
              <w:bottom w:w="100" w:type="dxa"/>
              <w:right w:w="100" w:type="dxa"/>
            </w:tcMar>
          </w:tcPr>
          <w:p w14:paraId="397DEC65" w14:textId="77777777" w:rsidR="00142F7D" w:rsidRPr="003520D7" w:rsidRDefault="00142F7D" w:rsidP="00E03A07">
            <w:pPr>
              <w:widowControl w:val="0"/>
              <w:pBdr>
                <w:top w:val="nil"/>
                <w:left w:val="nil"/>
                <w:bottom w:val="nil"/>
                <w:right w:val="nil"/>
                <w:between w:val="nil"/>
              </w:pBdr>
              <w:rPr>
                <w:lang w:val="en-US"/>
              </w:rPr>
            </w:pPr>
            <w:r w:rsidRPr="003520D7">
              <w:rPr>
                <w:lang w:val="en-US"/>
              </w:rPr>
              <w:t xml:space="preserve">no </w:t>
            </w:r>
            <w:r>
              <w:rPr>
                <w:lang w:val="en-US"/>
              </w:rPr>
              <w:t>AMR</w:t>
            </w:r>
          </w:p>
        </w:tc>
        <w:tc>
          <w:tcPr>
            <w:tcW w:w="1806" w:type="dxa"/>
            <w:shd w:val="clear" w:color="auto" w:fill="auto"/>
            <w:tcMar>
              <w:top w:w="100" w:type="dxa"/>
              <w:left w:w="100" w:type="dxa"/>
              <w:bottom w:w="100" w:type="dxa"/>
              <w:right w:w="100" w:type="dxa"/>
            </w:tcMar>
          </w:tcPr>
          <w:p w14:paraId="2EE2AB92" w14:textId="77777777" w:rsidR="00142F7D" w:rsidRPr="003520D7" w:rsidRDefault="00142F7D" w:rsidP="00E03A07">
            <w:pPr>
              <w:widowControl w:val="0"/>
              <w:pBdr>
                <w:top w:val="nil"/>
                <w:left w:val="nil"/>
                <w:bottom w:val="nil"/>
                <w:right w:val="nil"/>
                <w:between w:val="nil"/>
              </w:pBdr>
              <w:rPr>
                <w:lang w:val="en-US"/>
              </w:rPr>
            </w:pPr>
            <w:r w:rsidRPr="003520D7">
              <w:rPr>
                <w:lang w:val="en-US"/>
              </w:rPr>
              <w:t>Total</w:t>
            </w:r>
          </w:p>
        </w:tc>
        <w:tc>
          <w:tcPr>
            <w:tcW w:w="1806" w:type="dxa"/>
            <w:shd w:val="clear" w:color="auto" w:fill="auto"/>
            <w:tcMar>
              <w:top w:w="100" w:type="dxa"/>
              <w:left w:w="100" w:type="dxa"/>
              <w:bottom w:w="100" w:type="dxa"/>
              <w:right w:w="100" w:type="dxa"/>
            </w:tcMar>
          </w:tcPr>
          <w:p w14:paraId="48DCC174" w14:textId="77777777" w:rsidR="00142F7D" w:rsidRPr="003520D7" w:rsidRDefault="00142F7D" w:rsidP="00E03A07">
            <w:pPr>
              <w:widowControl w:val="0"/>
              <w:pBdr>
                <w:top w:val="nil"/>
                <w:left w:val="nil"/>
                <w:bottom w:val="nil"/>
                <w:right w:val="nil"/>
                <w:between w:val="nil"/>
              </w:pBdr>
              <w:rPr>
                <w:lang w:val="en-US"/>
              </w:rPr>
            </w:pPr>
          </w:p>
        </w:tc>
      </w:tr>
      <w:tr w:rsidR="00142F7D" w:rsidRPr="003520D7" w14:paraId="5ED446EE" w14:textId="77777777" w:rsidTr="00E03A07">
        <w:tc>
          <w:tcPr>
            <w:tcW w:w="1833" w:type="dxa"/>
            <w:shd w:val="clear" w:color="auto" w:fill="auto"/>
            <w:tcMar>
              <w:top w:w="100" w:type="dxa"/>
              <w:left w:w="100" w:type="dxa"/>
              <w:bottom w:w="100" w:type="dxa"/>
              <w:right w:w="100" w:type="dxa"/>
            </w:tcMar>
          </w:tcPr>
          <w:p w14:paraId="1E4AE32E" w14:textId="77777777" w:rsidR="00142F7D" w:rsidRPr="003520D7" w:rsidRDefault="00142F7D" w:rsidP="00E03A07">
            <w:pPr>
              <w:widowControl w:val="0"/>
              <w:pBdr>
                <w:top w:val="nil"/>
                <w:left w:val="nil"/>
                <w:bottom w:val="nil"/>
                <w:right w:val="nil"/>
                <w:between w:val="nil"/>
              </w:pBdr>
              <w:rPr>
                <w:lang w:val="en-US"/>
              </w:rPr>
            </w:pPr>
            <w:r>
              <w:rPr>
                <w:lang w:val="en-US"/>
              </w:rPr>
              <w:t>MFI doubling</w:t>
            </w:r>
          </w:p>
        </w:tc>
        <w:tc>
          <w:tcPr>
            <w:tcW w:w="1778" w:type="dxa"/>
            <w:shd w:val="clear" w:color="auto" w:fill="auto"/>
            <w:tcMar>
              <w:top w:w="100" w:type="dxa"/>
              <w:left w:w="100" w:type="dxa"/>
              <w:bottom w:w="100" w:type="dxa"/>
              <w:right w:w="100" w:type="dxa"/>
            </w:tcMar>
          </w:tcPr>
          <w:p w14:paraId="39FA22E5" w14:textId="77777777" w:rsidR="00142F7D" w:rsidRPr="003520D7" w:rsidRDefault="00142F7D" w:rsidP="00E03A07">
            <w:pPr>
              <w:widowControl w:val="0"/>
              <w:pBdr>
                <w:top w:val="nil"/>
                <w:left w:val="nil"/>
                <w:bottom w:val="nil"/>
                <w:right w:val="nil"/>
                <w:between w:val="nil"/>
              </w:pBdr>
              <w:rPr>
                <w:lang w:val="en-US"/>
              </w:rPr>
            </w:pPr>
            <w:r>
              <w:rPr>
                <w:lang w:val="en-US"/>
              </w:rPr>
              <w:t>0</w:t>
            </w:r>
          </w:p>
        </w:tc>
        <w:tc>
          <w:tcPr>
            <w:tcW w:w="1806" w:type="dxa"/>
            <w:shd w:val="clear" w:color="auto" w:fill="auto"/>
            <w:tcMar>
              <w:top w:w="100" w:type="dxa"/>
              <w:left w:w="100" w:type="dxa"/>
              <w:bottom w:w="100" w:type="dxa"/>
              <w:right w:w="100" w:type="dxa"/>
            </w:tcMar>
          </w:tcPr>
          <w:p w14:paraId="4C197419" w14:textId="77777777" w:rsidR="00142F7D" w:rsidRPr="003520D7" w:rsidRDefault="00142F7D" w:rsidP="00E03A07">
            <w:pPr>
              <w:widowControl w:val="0"/>
              <w:pBdr>
                <w:top w:val="nil"/>
                <w:left w:val="nil"/>
                <w:bottom w:val="nil"/>
                <w:right w:val="nil"/>
                <w:between w:val="nil"/>
              </w:pBdr>
              <w:rPr>
                <w:lang w:val="en-US"/>
              </w:rPr>
            </w:pPr>
            <w:r>
              <w:rPr>
                <w:lang w:val="en-US"/>
              </w:rPr>
              <w:t>1</w:t>
            </w:r>
          </w:p>
        </w:tc>
        <w:tc>
          <w:tcPr>
            <w:tcW w:w="1806" w:type="dxa"/>
            <w:shd w:val="clear" w:color="auto" w:fill="auto"/>
            <w:tcMar>
              <w:top w:w="100" w:type="dxa"/>
              <w:left w:w="100" w:type="dxa"/>
              <w:bottom w:w="100" w:type="dxa"/>
              <w:right w:w="100" w:type="dxa"/>
            </w:tcMar>
          </w:tcPr>
          <w:p w14:paraId="0787B2CF" w14:textId="77777777" w:rsidR="00142F7D" w:rsidRPr="003520D7" w:rsidRDefault="00142F7D" w:rsidP="00E03A07">
            <w:pPr>
              <w:widowControl w:val="0"/>
              <w:pBdr>
                <w:top w:val="nil"/>
                <w:left w:val="nil"/>
                <w:bottom w:val="nil"/>
                <w:right w:val="nil"/>
                <w:between w:val="nil"/>
              </w:pBdr>
              <w:rPr>
                <w:lang w:val="en-US"/>
              </w:rPr>
            </w:pPr>
            <w:r w:rsidRPr="003520D7">
              <w:rPr>
                <w:lang w:val="en-US"/>
              </w:rPr>
              <w:t>1</w:t>
            </w:r>
          </w:p>
        </w:tc>
        <w:tc>
          <w:tcPr>
            <w:tcW w:w="1806" w:type="dxa"/>
            <w:shd w:val="clear" w:color="auto" w:fill="auto"/>
            <w:tcMar>
              <w:top w:w="100" w:type="dxa"/>
              <w:left w:w="100" w:type="dxa"/>
              <w:bottom w:w="100" w:type="dxa"/>
              <w:right w:w="100" w:type="dxa"/>
            </w:tcMar>
          </w:tcPr>
          <w:p w14:paraId="7BE36CDD" w14:textId="77777777" w:rsidR="00142F7D" w:rsidRPr="003520D7" w:rsidRDefault="00142F7D" w:rsidP="00E03A07">
            <w:pPr>
              <w:widowControl w:val="0"/>
              <w:pBdr>
                <w:top w:val="nil"/>
                <w:left w:val="nil"/>
                <w:bottom w:val="nil"/>
                <w:right w:val="nil"/>
                <w:between w:val="nil"/>
              </w:pBdr>
              <w:rPr>
                <w:lang w:val="en-US"/>
              </w:rPr>
            </w:pPr>
            <w:r w:rsidRPr="003520D7">
              <w:rPr>
                <w:lang w:val="en-US"/>
              </w:rPr>
              <w:t xml:space="preserve">PPV </w:t>
            </w:r>
            <w:r>
              <w:rPr>
                <w:lang w:val="en-US"/>
              </w:rPr>
              <w:t>0.00</w:t>
            </w:r>
          </w:p>
        </w:tc>
      </w:tr>
      <w:tr w:rsidR="00142F7D" w:rsidRPr="003520D7" w14:paraId="2BAB0BF4" w14:textId="77777777" w:rsidTr="00E03A07">
        <w:tc>
          <w:tcPr>
            <w:tcW w:w="1833" w:type="dxa"/>
            <w:shd w:val="clear" w:color="auto" w:fill="auto"/>
            <w:tcMar>
              <w:top w:w="100" w:type="dxa"/>
              <w:left w:w="100" w:type="dxa"/>
              <w:bottom w:w="100" w:type="dxa"/>
              <w:right w:w="100" w:type="dxa"/>
            </w:tcMar>
          </w:tcPr>
          <w:p w14:paraId="10B200FD" w14:textId="77777777" w:rsidR="00142F7D" w:rsidRPr="003520D7" w:rsidRDefault="00142F7D" w:rsidP="00E03A07">
            <w:pPr>
              <w:widowControl w:val="0"/>
              <w:pBdr>
                <w:top w:val="nil"/>
                <w:left w:val="nil"/>
                <w:bottom w:val="nil"/>
                <w:right w:val="nil"/>
                <w:between w:val="nil"/>
              </w:pBdr>
              <w:rPr>
                <w:lang w:val="en-US"/>
              </w:rPr>
            </w:pPr>
            <w:r>
              <w:rPr>
                <w:rFonts w:eastAsia="Arial Unicode MS"/>
                <w:lang w:val="en-US"/>
              </w:rPr>
              <w:t>No MFI doubling</w:t>
            </w:r>
          </w:p>
        </w:tc>
        <w:tc>
          <w:tcPr>
            <w:tcW w:w="1778" w:type="dxa"/>
            <w:shd w:val="clear" w:color="auto" w:fill="auto"/>
            <w:tcMar>
              <w:top w:w="100" w:type="dxa"/>
              <w:left w:w="100" w:type="dxa"/>
              <w:bottom w:w="100" w:type="dxa"/>
              <w:right w:w="100" w:type="dxa"/>
            </w:tcMar>
          </w:tcPr>
          <w:p w14:paraId="17DCAC4D" w14:textId="77777777" w:rsidR="00142F7D" w:rsidRPr="003520D7" w:rsidRDefault="00142F7D" w:rsidP="00E03A07">
            <w:pPr>
              <w:widowControl w:val="0"/>
              <w:pBdr>
                <w:top w:val="nil"/>
                <w:left w:val="nil"/>
                <w:bottom w:val="nil"/>
                <w:right w:val="nil"/>
                <w:between w:val="nil"/>
              </w:pBdr>
              <w:rPr>
                <w:lang w:val="en-US"/>
              </w:rPr>
            </w:pPr>
            <w:r>
              <w:rPr>
                <w:lang w:val="en-US"/>
              </w:rPr>
              <w:t>12</w:t>
            </w:r>
          </w:p>
        </w:tc>
        <w:tc>
          <w:tcPr>
            <w:tcW w:w="1806" w:type="dxa"/>
            <w:shd w:val="clear" w:color="auto" w:fill="auto"/>
            <w:tcMar>
              <w:top w:w="100" w:type="dxa"/>
              <w:left w:w="100" w:type="dxa"/>
              <w:bottom w:w="100" w:type="dxa"/>
              <w:right w:w="100" w:type="dxa"/>
            </w:tcMar>
          </w:tcPr>
          <w:p w14:paraId="07CAB6E8" w14:textId="77777777" w:rsidR="00142F7D" w:rsidRPr="003520D7" w:rsidRDefault="00142F7D" w:rsidP="00E03A07">
            <w:pPr>
              <w:widowControl w:val="0"/>
              <w:pBdr>
                <w:top w:val="nil"/>
                <w:left w:val="nil"/>
                <w:bottom w:val="nil"/>
                <w:right w:val="nil"/>
                <w:between w:val="nil"/>
              </w:pBdr>
              <w:rPr>
                <w:lang w:val="en-US"/>
              </w:rPr>
            </w:pPr>
            <w:r>
              <w:rPr>
                <w:lang w:val="en-US"/>
              </w:rPr>
              <w:t>13</w:t>
            </w:r>
          </w:p>
        </w:tc>
        <w:tc>
          <w:tcPr>
            <w:tcW w:w="1806" w:type="dxa"/>
            <w:shd w:val="clear" w:color="auto" w:fill="auto"/>
            <w:tcMar>
              <w:top w:w="100" w:type="dxa"/>
              <w:left w:w="100" w:type="dxa"/>
              <w:bottom w:w="100" w:type="dxa"/>
              <w:right w:w="100" w:type="dxa"/>
            </w:tcMar>
          </w:tcPr>
          <w:p w14:paraId="06D786DA" w14:textId="77777777" w:rsidR="00142F7D" w:rsidRPr="003520D7" w:rsidRDefault="00142F7D" w:rsidP="00E03A07">
            <w:pPr>
              <w:widowControl w:val="0"/>
              <w:pBdr>
                <w:top w:val="nil"/>
                <w:left w:val="nil"/>
                <w:bottom w:val="nil"/>
                <w:right w:val="nil"/>
                <w:between w:val="nil"/>
              </w:pBdr>
              <w:rPr>
                <w:lang w:val="en-US"/>
              </w:rPr>
            </w:pPr>
            <w:r>
              <w:rPr>
                <w:lang w:val="en-US"/>
              </w:rPr>
              <w:t>25</w:t>
            </w:r>
          </w:p>
        </w:tc>
        <w:tc>
          <w:tcPr>
            <w:tcW w:w="1806" w:type="dxa"/>
            <w:shd w:val="clear" w:color="auto" w:fill="auto"/>
            <w:tcMar>
              <w:top w:w="100" w:type="dxa"/>
              <w:left w:w="100" w:type="dxa"/>
              <w:bottom w:w="100" w:type="dxa"/>
              <w:right w:w="100" w:type="dxa"/>
            </w:tcMar>
          </w:tcPr>
          <w:p w14:paraId="155CFEE3" w14:textId="77777777" w:rsidR="00142F7D" w:rsidRPr="003520D7" w:rsidRDefault="00142F7D" w:rsidP="00E03A07">
            <w:pPr>
              <w:widowControl w:val="0"/>
              <w:pBdr>
                <w:top w:val="nil"/>
                <w:left w:val="nil"/>
                <w:bottom w:val="nil"/>
                <w:right w:val="nil"/>
                <w:between w:val="nil"/>
              </w:pBdr>
              <w:rPr>
                <w:lang w:val="en-US"/>
              </w:rPr>
            </w:pPr>
            <w:r w:rsidRPr="003520D7">
              <w:rPr>
                <w:lang w:val="en-US"/>
              </w:rPr>
              <w:t>NPV 0.</w:t>
            </w:r>
            <w:r>
              <w:rPr>
                <w:lang w:val="en-US"/>
              </w:rPr>
              <w:t>52</w:t>
            </w:r>
          </w:p>
        </w:tc>
      </w:tr>
      <w:tr w:rsidR="00142F7D" w:rsidRPr="003520D7" w14:paraId="403701AA" w14:textId="77777777" w:rsidTr="00E03A07">
        <w:tc>
          <w:tcPr>
            <w:tcW w:w="1833" w:type="dxa"/>
            <w:shd w:val="clear" w:color="auto" w:fill="auto"/>
            <w:tcMar>
              <w:top w:w="100" w:type="dxa"/>
              <w:left w:w="100" w:type="dxa"/>
              <w:bottom w:w="100" w:type="dxa"/>
              <w:right w:w="100" w:type="dxa"/>
            </w:tcMar>
          </w:tcPr>
          <w:p w14:paraId="5BF6600A" w14:textId="77777777" w:rsidR="00142F7D" w:rsidRPr="003520D7" w:rsidRDefault="00142F7D" w:rsidP="00E03A07">
            <w:pPr>
              <w:widowControl w:val="0"/>
              <w:pBdr>
                <w:top w:val="nil"/>
                <w:left w:val="nil"/>
                <w:bottom w:val="nil"/>
                <w:right w:val="nil"/>
                <w:between w:val="nil"/>
              </w:pBdr>
              <w:rPr>
                <w:lang w:val="en-US"/>
              </w:rPr>
            </w:pPr>
            <w:r w:rsidRPr="003520D7">
              <w:rPr>
                <w:lang w:val="en-US"/>
              </w:rPr>
              <w:t>Total</w:t>
            </w:r>
          </w:p>
        </w:tc>
        <w:tc>
          <w:tcPr>
            <w:tcW w:w="1778" w:type="dxa"/>
            <w:shd w:val="clear" w:color="auto" w:fill="auto"/>
            <w:tcMar>
              <w:top w:w="100" w:type="dxa"/>
              <w:left w:w="100" w:type="dxa"/>
              <w:bottom w:w="100" w:type="dxa"/>
              <w:right w:w="100" w:type="dxa"/>
            </w:tcMar>
          </w:tcPr>
          <w:p w14:paraId="15CF35A7" w14:textId="77777777" w:rsidR="00142F7D" w:rsidRPr="003520D7" w:rsidRDefault="00142F7D" w:rsidP="00E03A07">
            <w:pPr>
              <w:widowControl w:val="0"/>
              <w:pBdr>
                <w:top w:val="nil"/>
                <w:left w:val="nil"/>
                <w:bottom w:val="nil"/>
                <w:right w:val="nil"/>
                <w:between w:val="nil"/>
              </w:pBdr>
              <w:rPr>
                <w:lang w:val="en-US"/>
              </w:rPr>
            </w:pPr>
            <w:r w:rsidRPr="003520D7">
              <w:rPr>
                <w:lang w:val="en-US"/>
              </w:rPr>
              <w:t>12</w:t>
            </w:r>
          </w:p>
        </w:tc>
        <w:tc>
          <w:tcPr>
            <w:tcW w:w="1806" w:type="dxa"/>
            <w:shd w:val="clear" w:color="auto" w:fill="auto"/>
            <w:tcMar>
              <w:top w:w="100" w:type="dxa"/>
              <w:left w:w="100" w:type="dxa"/>
              <w:bottom w:w="100" w:type="dxa"/>
              <w:right w:w="100" w:type="dxa"/>
            </w:tcMar>
          </w:tcPr>
          <w:p w14:paraId="494A0F39" w14:textId="77777777" w:rsidR="00142F7D" w:rsidRPr="003520D7" w:rsidRDefault="00142F7D" w:rsidP="00E03A07">
            <w:pPr>
              <w:widowControl w:val="0"/>
              <w:pBdr>
                <w:top w:val="nil"/>
                <w:left w:val="nil"/>
                <w:bottom w:val="nil"/>
                <w:right w:val="nil"/>
                <w:between w:val="nil"/>
              </w:pBdr>
              <w:rPr>
                <w:lang w:val="en-US"/>
              </w:rPr>
            </w:pPr>
            <w:r w:rsidRPr="003520D7">
              <w:rPr>
                <w:lang w:val="en-US"/>
              </w:rPr>
              <w:t>14</w:t>
            </w:r>
          </w:p>
        </w:tc>
        <w:tc>
          <w:tcPr>
            <w:tcW w:w="1806" w:type="dxa"/>
            <w:shd w:val="clear" w:color="auto" w:fill="auto"/>
            <w:tcMar>
              <w:top w:w="100" w:type="dxa"/>
              <w:left w:w="100" w:type="dxa"/>
              <w:bottom w:w="100" w:type="dxa"/>
              <w:right w:w="100" w:type="dxa"/>
            </w:tcMar>
          </w:tcPr>
          <w:p w14:paraId="3936E974" w14:textId="77777777" w:rsidR="00142F7D" w:rsidRPr="003520D7" w:rsidRDefault="00142F7D" w:rsidP="00E03A07">
            <w:pPr>
              <w:widowControl w:val="0"/>
              <w:pBdr>
                <w:top w:val="nil"/>
                <w:left w:val="nil"/>
                <w:bottom w:val="nil"/>
                <w:right w:val="nil"/>
                <w:between w:val="nil"/>
              </w:pBdr>
              <w:rPr>
                <w:lang w:val="en-US"/>
              </w:rPr>
            </w:pPr>
            <w:r w:rsidRPr="003520D7">
              <w:rPr>
                <w:lang w:val="en-US"/>
              </w:rPr>
              <w:t>26</w:t>
            </w:r>
          </w:p>
        </w:tc>
        <w:tc>
          <w:tcPr>
            <w:tcW w:w="1806" w:type="dxa"/>
            <w:shd w:val="clear" w:color="auto" w:fill="auto"/>
            <w:tcMar>
              <w:top w:w="100" w:type="dxa"/>
              <w:left w:w="100" w:type="dxa"/>
              <w:bottom w:w="100" w:type="dxa"/>
              <w:right w:w="100" w:type="dxa"/>
            </w:tcMar>
          </w:tcPr>
          <w:p w14:paraId="0AA6E8A0" w14:textId="77777777" w:rsidR="00142F7D" w:rsidRPr="003520D7" w:rsidRDefault="00142F7D" w:rsidP="00E03A07">
            <w:pPr>
              <w:widowControl w:val="0"/>
              <w:pBdr>
                <w:top w:val="nil"/>
                <w:left w:val="nil"/>
                <w:bottom w:val="nil"/>
                <w:right w:val="nil"/>
                <w:between w:val="nil"/>
              </w:pBdr>
              <w:rPr>
                <w:lang w:val="en-US"/>
              </w:rPr>
            </w:pPr>
            <w:proofErr w:type="spellStart"/>
            <w:r w:rsidRPr="003520D7">
              <w:rPr>
                <w:lang w:val="en-US"/>
              </w:rPr>
              <w:t>Prev</w:t>
            </w:r>
            <w:proofErr w:type="spellEnd"/>
            <w:r w:rsidRPr="003520D7">
              <w:rPr>
                <w:lang w:val="en-US"/>
              </w:rPr>
              <w:t xml:space="preserve"> 0.46</w:t>
            </w:r>
          </w:p>
        </w:tc>
      </w:tr>
      <w:tr w:rsidR="00142F7D" w:rsidRPr="003520D7" w14:paraId="4013670B" w14:textId="77777777" w:rsidTr="00E03A07">
        <w:tc>
          <w:tcPr>
            <w:tcW w:w="1833" w:type="dxa"/>
            <w:shd w:val="clear" w:color="auto" w:fill="auto"/>
            <w:tcMar>
              <w:top w:w="100" w:type="dxa"/>
              <w:left w:w="100" w:type="dxa"/>
              <w:bottom w:w="100" w:type="dxa"/>
              <w:right w:w="100" w:type="dxa"/>
            </w:tcMar>
          </w:tcPr>
          <w:p w14:paraId="1947B1CC" w14:textId="77777777" w:rsidR="00142F7D" w:rsidRPr="003520D7" w:rsidRDefault="00142F7D" w:rsidP="00E03A07">
            <w:pPr>
              <w:widowControl w:val="0"/>
              <w:pBdr>
                <w:top w:val="nil"/>
                <w:left w:val="nil"/>
                <w:bottom w:val="nil"/>
                <w:right w:val="nil"/>
                <w:between w:val="nil"/>
              </w:pBdr>
              <w:rPr>
                <w:lang w:val="en-US"/>
              </w:rPr>
            </w:pPr>
          </w:p>
        </w:tc>
        <w:tc>
          <w:tcPr>
            <w:tcW w:w="1778" w:type="dxa"/>
            <w:shd w:val="clear" w:color="auto" w:fill="auto"/>
            <w:tcMar>
              <w:top w:w="100" w:type="dxa"/>
              <w:left w:w="100" w:type="dxa"/>
              <w:bottom w:w="100" w:type="dxa"/>
              <w:right w:w="100" w:type="dxa"/>
            </w:tcMar>
          </w:tcPr>
          <w:p w14:paraId="6E7CAD2F" w14:textId="77777777" w:rsidR="00142F7D" w:rsidRPr="003520D7" w:rsidRDefault="00142F7D" w:rsidP="00E03A07">
            <w:pPr>
              <w:widowControl w:val="0"/>
              <w:pBdr>
                <w:top w:val="nil"/>
                <w:left w:val="nil"/>
                <w:bottom w:val="nil"/>
                <w:right w:val="nil"/>
                <w:between w:val="nil"/>
              </w:pBdr>
              <w:rPr>
                <w:lang w:val="en-US"/>
              </w:rPr>
            </w:pPr>
            <w:r w:rsidRPr="003520D7">
              <w:rPr>
                <w:lang w:val="en-US"/>
              </w:rPr>
              <w:t xml:space="preserve">Sens </w:t>
            </w:r>
            <w:r>
              <w:rPr>
                <w:lang w:val="en-US"/>
              </w:rPr>
              <w:t>0.00</w:t>
            </w:r>
          </w:p>
        </w:tc>
        <w:tc>
          <w:tcPr>
            <w:tcW w:w="1806" w:type="dxa"/>
            <w:shd w:val="clear" w:color="auto" w:fill="auto"/>
            <w:tcMar>
              <w:top w:w="100" w:type="dxa"/>
              <w:left w:w="100" w:type="dxa"/>
              <w:bottom w:w="100" w:type="dxa"/>
              <w:right w:w="100" w:type="dxa"/>
            </w:tcMar>
          </w:tcPr>
          <w:p w14:paraId="400CC841" w14:textId="77777777" w:rsidR="00142F7D" w:rsidRPr="003520D7" w:rsidRDefault="00142F7D" w:rsidP="00E03A07">
            <w:pPr>
              <w:widowControl w:val="0"/>
              <w:pBdr>
                <w:top w:val="nil"/>
                <w:left w:val="nil"/>
                <w:bottom w:val="nil"/>
                <w:right w:val="nil"/>
                <w:between w:val="nil"/>
              </w:pBdr>
              <w:rPr>
                <w:lang w:val="en-US"/>
              </w:rPr>
            </w:pPr>
            <w:r w:rsidRPr="003520D7">
              <w:rPr>
                <w:lang w:val="en-US"/>
              </w:rPr>
              <w:t>Spec 0.</w:t>
            </w:r>
            <w:r>
              <w:rPr>
                <w:lang w:val="en-US"/>
              </w:rPr>
              <w:t>93</w:t>
            </w:r>
          </w:p>
        </w:tc>
        <w:tc>
          <w:tcPr>
            <w:tcW w:w="1806" w:type="dxa"/>
            <w:shd w:val="clear" w:color="auto" w:fill="auto"/>
            <w:tcMar>
              <w:top w:w="100" w:type="dxa"/>
              <w:left w:w="100" w:type="dxa"/>
              <w:bottom w:w="100" w:type="dxa"/>
              <w:right w:w="100" w:type="dxa"/>
            </w:tcMar>
          </w:tcPr>
          <w:p w14:paraId="456B39E8" w14:textId="77777777" w:rsidR="00142F7D" w:rsidRPr="003520D7" w:rsidRDefault="00142F7D" w:rsidP="00E03A07">
            <w:pPr>
              <w:widowControl w:val="0"/>
              <w:pBdr>
                <w:top w:val="nil"/>
                <w:left w:val="nil"/>
                <w:bottom w:val="nil"/>
                <w:right w:val="nil"/>
                <w:between w:val="nil"/>
              </w:pBdr>
              <w:rPr>
                <w:lang w:val="en-US"/>
              </w:rPr>
            </w:pPr>
          </w:p>
        </w:tc>
        <w:tc>
          <w:tcPr>
            <w:tcW w:w="1806" w:type="dxa"/>
            <w:shd w:val="clear" w:color="auto" w:fill="auto"/>
            <w:tcMar>
              <w:top w:w="100" w:type="dxa"/>
              <w:left w:w="100" w:type="dxa"/>
              <w:bottom w:w="100" w:type="dxa"/>
              <w:right w:w="100" w:type="dxa"/>
            </w:tcMar>
          </w:tcPr>
          <w:p w14:paraId="3D996062" w14:textId="77777777" w:rsidR="00142F7D" w:rsidRPr="003520D7" w:rsidRDefault="00142F7D" w:rsidP="00E03A07">
            <w:pPr>
              <w:widowControl w:val="0"/>
              <w:pBdr>
                <w:top w:val="nil"/>
                <w:left w:val="nil"/>
                <w:bottom w:val="nil"/>
                <w:right w:val="nil"/>
                <w:between w:val="nil"/>
              </w:pBdr>
              <w:rPr>
                <w:lang w:val="en-US"/>
              </w:rPr>
            </w:pPr>
            <w:r w:rsidRPr="003520D7">
              <w:rPr>
                <w:lang w:val="en-US"/>
              </w:rPr>
              <w:t>Acc 0.</w:t>
            </w:r>
            <w:r>
              <w:rPr>
                <w:lang w:val="en-US"/>
              </w:rPr>
              <w:t>5</w:t>
            </w:r>
          </w:p>
        </w:tc>
      </w:tr>
    </w:tbl>
    <w:p w14:paraId="4364E9DC" w14:textId="77777777" w:rsidR="00142F7D" w:rsidRPr="003520D7" w:rsidRDefault="00142F7D" w:rsidP="00142F7D">
      <w:pPr>
        <w:spacing w:line="480" w:lineRule="auto"/>
        <w:rPr>
          <w:rFonts w:eastAsia="Roboto"/>
          <w:color w:val="333333"/>
          <w:highlight w:val="white"/>
          <w:lang w:val="en-US"/>
        </w:rPr>
      </w:pPr>
    </w:p>
    <w:p w14:paraId="116C8719" w14:textId="77777777" w:rsidR="00142F7D" w:rsidRDefault="00142F7D" w:rsidP="00142F7D">
      <w:pPr>
        <w:spacing w:line="480" w:lineRule="auto"/>
        <w:rPr>
          <w:b/>
          <w:lang w:val="en-US"/>
        </w:rPr>
      </w:pPr>
    </w:p>
    <w:p w14:paraId="0B878C52" w14:textId="77777777" w:rsidR="00142F7D" w:rsidRDefault="00142F7D" w:rsidP="00142F7D">
      <w:pPr>
        <w:spacing w:line="480" w:lineRule="auto"/>
        <w:rPr>
          <w:b/>
          <w:lang w:val="en-US"/>
        </w:rPr>
      </w:pPr>
    </w:p>
    <w:p w14:paraId="6A1EEF24" w14:textId="77777777" w:rsidR="00142F7D" w:rsidRDefault="00142F7D" w:rsidP="00142F7D">
      <w:pPr>
        <w:spacing w:line="480" w:lineRule="auto"/>
        <w:rPr>
          <w:b/>
          <w:lang w:val="en-US"/>
        </w:rPr>
      </w:pPr>
    </w:p>
    <w:p w14:paraId="3FC9319D" w14:textId="77777777" w:rsidR="00142F7D" w:rsidRDefault="00142F7D" w:rsidP="00142F7D">
      <w:pPr>
        <w:spacing w:line="480" w:lineRule="auto"/>
        <w:rPr>
          <w:b/>
          <w:lang w:val="en-US"/>
        </w:rPr>
      </w:pPr>
    </w:p>
    <w:p w14:paraId="24811F57" w14:textId="77777777" w:rsidR="00142F7D" w:rsidRDefault="00142F7D" w:rsidP="00142F7D">
      <w:pPr>
        <w:spacing w:line="480" w:lineRule="auto"/>
        <w:rPr>
          <w:b/>
          <w:lang w:val="en-US"/>
        </w:rPr>
      </w:pPr>
    </w:p>
    <w:p w14:paraId="089C1524" w14:textId="77777777" w:rsidR="00142F7D" w:rsidRDefault="00142F7D" w:rsidP="00142F7D">
      <w:pPr>
        <w:spacing w:line="480" w:lineRule="auto"/>
        <w:rPr>
          <w:b/>
          <w:lang w:val="en-US"/>
        </w:rPr>
      </w:pPr>
    </w:p>
    <w:p w14:paraId="66E3B2F5" w14:textId="77777777" w:rsidR="00142F7D" w:rsidRPr="003520D7" w:rsidRDefault="00142F7D" w:rsidP="00142F7D">
      <w:pPr>
        <w:spacing w:line="480" w:lineRule="auto"/>
        <w:rPr>
          <w:lang w:val="en-US"/>
        </w:rPr>
      </w:pPr>
      <w:r>
        <w:rPr>
          <w:b/>
          <w:lang w:val="en-US"/>
        </w:rPr>
        <w:lastRenderedPageBreak/>
        <w:t>Supplemental Table 8</w:t>
      </w:r>
      <w:r w:rsidRPr="003520D7">
        <w:rPr>
          <w:b/>
          <w:lang w:val="en-US"/>
        </w:rPr>
        <w:t xml:space="preserve">. </w:t>
      </w:r>
      <w:r w:rsidRPr="003520D7">
        <w:rPr>
          <w:lang w:val="en-US"/>
        </w:rPr>
        <w:t xml:space="preserve">Contingency table and diagnostic test metrics of </w:t>
      </w:r>
      <w:r>
        <w:rPr>
          <w:lang w:val="en-US"/>
        </w:rPr>
        <w:t>MFI halving from baseline to study completion</w:t>
      </w:r>
      <w:r w:rsidRPr="003520D7">
        <w:rPr>
          <w:lang w:val="en-US"/>
        </w:rPr>
        <w:t xml:space="preserve"> for </w:t>
      </w:r>
      <w:r>
        <w:rPr>
          <w:lang w:val="en-US"/>
        </w:rPr>
        <w:t>AMR</w:t>
      </w:r>
      <w:r w:rsidRPr="003520D7">
        <w:rPr>
          <w:lang w:val="en-US"/>
        </w:rPr>
        <w:t xml:space="preserve"> in DSA+ KTR. </w:t>
      </w:r>
      <w:proofErr w:type="spellStart"/>
      <w:r w:rsidRPr="003520D7">
        <w:rPr>
          <w:lang w:val="en-US"/>
        </w:rPr>
        <w:t>Prev</w:t>
      </w:r>
      <w:proofErr w:type="spellEnd"/>
      <w:r w:rsidRPr="003520D7">
        <w:rPr>
          <w:lang w:val="en-US"/>
        </w:rPr>
        <w:t xml:space="preserve">, Prevalence of </w:t>
      </w:r>
      <w:r>
        <w:rPr>
          <w:lang w:val="en-US"/>
        </w:rPr>
        <w:t>AMR</w:t>
      </w:r>
      <w:r w:rsidRPr="003520D7">
        <w:rPr>
          <w:lang w:val="en-US"/>
        </w:rPr>
        <w:t>; Acc, accuracy; Sens, sensitivity; Spec, specificity; PPV, positive predictive value; NPV, negative predictive value</w:t>
      </w:r>
      <w:r>
        <w:rPr>
          <w:lang w:val="en-US"/>
        </w:rPr>
        <w:t>; MFI, mean fluorescence activity of the immunodominant de novo donor-</w:t>
      </w:r>
      <w:proofErr w:type="spellStart"/>
      <w:r>
        <w:rPr>
          <w:lang w:val="en-US"/>
        </w:rPr>
        <w:t>specfic</w:t>
      </w:r>
      <w:proofErr w:type="spellEnd"/>
      <w:r>
        <w:rPr>
          <w:lang w:val="en-US"/>
        </w:rPr>
        <w:t xml:space="preserve"> anti-HLA antibody</w:t>
      </w:r>
      <w:r w:rsidRPr="003520D7">
        <w:rPr>
          <w:lang w:val="en-US"/>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778"/>
        <w:gridCol w:w="1806"/>
        <w:gridCol w:w="1806"/>
        <w:gridCol w:w="1806"/>
      </w:tblGrid>
      <w:tr w:rsidR="00142F7D" w:rsidRPr="003520D7" w14:paraId="7E777984" w14:textId="77777777" w:rsidTr="00E03A07">
        <w:tc>
          <w:tcPr>
            <w:tcW w:w="1833" w:type="dxa"/>
            <w:shd w:val="clear" w:color="auto" w:fill="auto"/>
            <w:tcMar>
              <w:top w:w="100" w:type="dxa"/>
              <w:left w:w="100" w:type="dxa"/>
              <w:bottom w:w="100" w:type="dxa"/>
              <w:right w:w="100" w:type="dxa"/>
            </w:tcMar>
          </w:tcPr>
          <w:p w14:paraId="485559A3" w14:textId="77777777" w:rsidR="00142F7D" w:rsidRPr="003520D7" w:rsidRDefault="00142F7D" w:rsidP="00E03A07">
            <w:pPr>
              <w:widowControl w:val="0"/>
              <w:pBdr>
                <w:top w:val="nil"/>
                <w:left w:val="nil"/>
                <w:bottom w:val="nil"/>
                <w:right w:val="nil"/>
                <w:between w:val="nil"/>
              </w:pBdr>
              <w:rPr>
                <w:lang w:val="en-US"/>
              </w:rPr>
            </w:pPr>
          </w:p>
        </w:tc>
        <w:tc>
          <w:tcPr>
            <w:tcW w:w="1778" w:type="dxa"/>
            <w:shd w:val="clear" w:color="auto" w:fill="auto"/>
            <w:tcMar>
              <w:top w:w="100" w:type="dxa"/>
              <w:left w:w="100" w:type="dxa"/>
              <w:bottom w:w="100" w:type="dxa"/>
              <w:right w:w="100" w:type="dxa"/>
            </w:tcMar>
          </w:tcPr>
          <w:p w14:paraId="0D5CACFE" w14:textId="77777777" w:rsidR="00142F7D" w:rsidRPr="003520D7" w:rsidRDefault="00142F7D" w:rsidP="00E03A07">
            <w:pPr>
              <w:widowControl w:val="0"/>
              <w:pBdr>
                <w:top w:val="nil"/>
                <w:left w:val="nil"/>
                <w:bottom w:val="nil"/>
                <w:right w:val="nil"/>
                <w:between w:val="nil"/>
              </w:pBdr>
              <w:rPr>
                <w:lang w:val="en-US"/>
              </w:rPr>
            </w:pPr>
            <w:r>
              <w:rPr>
                <w:lang w:val="en-US"/>
              </w:rPr>
              <w:t>AMR</w:t>
            </w:r>
          </w:p>
        </w:tc>
        <w:tc>
          <w:tcPr>
            <w:tcW w:w="1806" w:type="dxa"/>
            <w:shd w:val="clear" w:color="auto" w:fill="auto"/>
            <w:tcMar>
              <w:top w:w="100" w:type="dxa"/>
              <w:left w:w="100" w:type="dxa"/>
              <w:bottom w:w="100" w:type="dxa"/>
              <w:right w:w="100" w:type="dxa"/>
            </w:tcMar>
          </w:tcPr>
          <w:p w14:paraId="37653988" w14:textId="77777777" w:rsidR="00142F7D" w:rsidRPr="003520D7" w:rsidRDefault="00142F7D" w:rsidP="00E03A07">
            <w:pPr>
              <w:widowControl w:val="0"/>
              <w:pBdr>
                <w:top w:val="nil"/>
                <w:left w:val="nil"/>
                <w:bottom w:val="nil"/>
                <w:right w:val="nil"/>
                <w:between w:val="nil"/>
              </w:pBdr>
              <w:rPr>
                <w:lang w:val="en-US"/>
              </w:rPr>
            </w:pPr>
            <w:r w:rsidRPr="003520D7">
              <w:rPr>
                <w:lang w:val="en-US"/>
              </w:rPr>
              <w:t xml:space="preserve">no </w:t>
            </w:r>
            <w:r>
              <w:rPr>
                <w:lang w:val="en-US"/>
              </w:rPr>
              <w:t>AMR</w:t>
            </w:r>
          </w:p>
        </w:tc>
        <w:tc>
          <w:tcPr>
            <w:tcW w:w="1806" w:type="dxa"/>
            <w:shd w:val="clear" w:color="auto" w:fill="auto"/>
            <w:tcMar>
              <w:top w:w="100" w:type="dxa"/>
              <w:left w:w="100" w:type="dxa"/>
              <w:bottom w:w="100" w:type="dxa"/>
              <w:right w:w="100" w:type="dxa"/>
            </w:tcMar>
          </w:tcPr>
          <w:p w14:paraId="415CE528" w14:textId="77777777" w:rsidR="00142F7D" w:rsidRPr="003520D7" w:rsidRDefault="00142F7D" w:rsidP="00E03A07">
            <w:pPr>
              <w:widowControl w:val="0"/>
              <w:pBdr>
                <w:top w:val="nil"/>
                <w:left w:val="nil"/>
                <w:bottom w:val="nil"/>
                <w:right w:val="nil"/>
                <w:between w:val="nil"/>
              </w:pBdr>
              <w:rPr>
                <w:lang w:val="en-US"/>
              </w:rPr>
            </w:pPr>
            <w:r w:rsidRPr="003520D7">
              <w:rPr>
                <w:lang w:val="en-US"/>
              </w:rPr>
              <w:t>Total</w:t>
            </w:r>
          </w:p>
        </w:tc>
        <w:tc>
          <w:tcPr>
            <w:tcW w:w="1806" w:type="dxa"/>
            <w:shd w:val="clear" w:color="auto" w:fill="auto"/>
            <w:tcMar>
              <w:top w:w="100" w:type="dxa"/>
              <w:left w:w="100" w:type="dxa"/>
              <w:bottom w:w="100" w:type="dxa"/>
              <w:right w:w="100" w:type="dxa"/>
            </w:tcMar>
          </w:tcPr>
          <w:p w14:paraId="23D005B3" w14:textId="77777777" w:rsidR="00142F7D" w:rsidRPr="003520D7" w:rsidRDefault="00142F7D" w:rsidP="00E03A07">
            <w:pPr>
              <w:widowControl w:val="0"/>
              <w:pBdr>
                <w:top w:val="nil"/>
                <w:left w:val="nil"/>
                <w:bottom w:val="nil"/>
                <w:right w:val="nil"/>
                <w:between w:val="nil"/>
              </w:pBdr>
              <w:rPr>
                <w:lang w:val="en-US"/>
              </w:rPr>
            </w:pPr>
          </w:p>
        </w:tc>
      </w:tr>
      <w:tr w:rsidR="00142F7D" w:rsidRPr="003520D7" w14:paraId="056529F8" w14:textId="77777777" w:rsidTr="00E03A07">
        <w:tc>
          <w:tcPr>
            <w:tcW w:w="1833" w:type="dxa"/>
            <w:shd w:val="clear" w:color="auto" w:fill="auto"/>
            <w:tcMar>
              <w:top w:w="100" w:type="dxa"/>
              <w:left w:w="100" w:type="dxa"/>
              <w:bottom w:w="100" w:type="dxa"/>
              <w:right w:w="100" w:type="dxa"/>
            </w:tcMar>
          </w:tcPr>
          <w:p w14:paraId="487DC6D2" w14:textId="77777777" w:rsidR="00142F7D" w:rsidRPr="003520D7" w:rsidRDefault="00142F7D" w:rsidP="00E03A07">
            <w:pPr>
              <w:widowControl w:val="0"/>
              <w:pBdr>
                <w:top w:val="nil"/>
                <w:left w:val="nil"/>
                <w:bottom w:val="nil"/>
                <w:right w:val="nil"/>
                <w:between w:val="nil"/>
              </w:pBdr>
              <w:rPr>
                <w:lang w:val="en-US"/>
              </w:rPr>
            </w:pPr>
            <w:r>
              <w:rPr>
                <w:lang w:val="en-US"/>
              </w:rPr>
              <w:t>MFI halving</w:t>
            </w:r>
          </w:p>
        </w:tc>
        <w:tc>
          <w:tcPr>
            <w:tcW w:w="1778" w:type="dxa"/>
            <w:shd w:val="clear" w:color="auto" w:fill="auto"/>
            <w:tcMar>
              <w:top w:w="100" w:type="dxa"/>
              <w:left w:w="100" w:type="dxa"/>
              <w:bottom w:w="100" w:type="dxa"/>
              <w:right w:w="100" w:type="dxa"/>
            </w:tcMar>
          </w:tcPr>
          <w:p w14:paraId="1C414886" w14:textId="77777777" w:rsidR="00142F7D" w:rsidRPr="003520D7" w:rsidRDefault="00142F7D" w:rsidP="00E03A07">
            <w:pPr>
              <w:widowControl w:val="0"/>
              <w:pBdr>
                <w:top w:val="nil"/>
                <w:left w:val="nil"/>
                <w:bottom w:val="nil"/>
                <w:right w:val="nil"/>
                <w:between w:val="nil"/>
              </w:pBdr>
              <w:rPr>
                <w:lang w:val="en-US"/>
              </w:rPr>
            </w:pPr>
            <w:r>
              <w:rPr>
                <w:lang w:val="en-US"/>
              </w:rPr>
              <w:t>2</w:t>
            </w:r>
          </w:p>
        </w:tc>
        <w:tc>
          <w:tcPr>
            <w:tcW w:w="1806" w:type="dxa"/>
            <w:shd w:val="clear" w:color="auto" w:fill="auto"/>
            <w:tcMar>
              <w:top w:w="100" w:type="dxa"/>
              <w:left w:w="100" w:type="dxa"/>
              <w:bottom w:w="100" w:type="dxa"/>
              <w:right w:w="100" w:type="dxa"/>
            </w:tcMar>
          </w:tcPr>
          <w:p w14:paraId="0F87F52E" w14:textId="77777777" w:rsidR="00142F7D" w:rsidRPr="003520D7" w:rsidRDefault="00142F7D" w:rsidP="00E03A07">
            <w:pPr>
              <w:widowControl w:val="0"/>
              <w:pBdr>
                <w:top w:val="nil"/>
                <w:left w:val="nil"/>
                <w:bottom w:val="nil"/>
                <w:right w:val="nil"/>
                <w:between w:val="nil"/>
              </w:pBdr>
              <w:rPr>
                <w:lang w:val="en-US"/>
              </w:rPr>
            </w:pPr>
            <w:r>
              <w:rPr>
                <w:lang w:val="en-US"/>
              </w:rPr>
              <w:t>4</w:t>
            </w:r>
          </w:p>
        </w:tc>
        <w:tc>
          <w:tcPr>
            <w:tcW w:w="1806" w:type="dxa"/>
            <w:shd w:val="clear" w:color="auto" w:fill="auto"/>
            <w:tcMar>
              <w:top w:w="100" w:type="dxa"/>
              <w:left w:w="100" w:type="dxa"/>
              <w:bottom w:w="100" w:type="dxa"/>
              <w:right w:w="100" w:type="dxa"/>
            </w:tcMar>
          </w:tcPr>
          <w:p w14:paraId="6DD59789" w14:textId="77777777" w:rsidR="00142F7D" w:rsidRPr="003520D7" w:rsidRDefault="00142F7D" w:rsidP="00E03A07">
            <w:pPr>
              <w:widowControl w:val="0"/>
              <w:pBdr>
                <w:top w:val="nil"/>
                <w:left w:val="nil"/>
                <w:bottom w:val="nil"/>
                <w:right w:val="nil"/>
                <w:between w:val="nil"/>
              </w:pBdr>
              <w:rPr>
                <w:lang w:val="en-US"/>
              </w:rPr>
            </w:pPr>
            <w:r>
              <w:rPr>
                <w:lang w:val="en-US"/>
              </w:rPr>
              <w:t>6</w:t>
            </w:r>
          </w:p>
        </w:tc>
        <w:tc>
          <w:tcPr>
            <w:tcW w:w="1806" w:type="dxa"/>
            <w:shd w:val="clear" w:color="auto" w:fill="auto"/>
            <w:tcMar>
              <w:top w:w="100" w:type="dxa"/>
              <w:left w:w="100" w:type="dxa"/>
              <w:bottom w:w="100" w:type="dxa"/>
              <w:right w:w="100" w:type="dxa"/>
            </w:tcMar>
          </w:tcPr>
          <w:p w14:paraId="36235AF5" w14:textId="77777777" w:rsidR="00142F7D" w:rsidRPr="003520D7" w:rsidRDefault="00142F7D" w:rsidP="00E03A07">
            <w:pPr>
              <w:widowControl w:val="0"/>
              <w:pBdr>
                <w:top w:val="nil"/>
                <w:left w:val="nil"/>
                <w:bottom w:val="nil"/>
                <w:right w:val="nil"/>
                <w:between w:val="nil"/>
              </w:pBdr>
              <w:rPr>
                <w:lang w:val="en-US"/>
              </w:rPr>
            </w:pPr>
            <w:r w:rsidRPr="003520D7">
              <w:rPr>
                <w:lang w:val="en-US"/>
              </w:rPr>
              <w:t xml:space="preserve">PPV </w:t>
            </w:r>
            <w:r>
              <w:rPr>
                <w:lang w:val="en-US"/>
              </w:rPr>
              <w:t>0.33</w:t>
            </w:r>
          </w:p>
        </w:tc>
      </w:tr>
      <w:tr w:rsidR="00142F7D" w:rsidRPr="003520D7" w14:paraId="3457BBEE" w14:textId="77777777" w:rsidTr="00E03A07">
        <w:tc>
          <w:tcPr>
            <w:tcW w:w="1833" w:type="dxa"/>
            <w:shd w:val="clear" w:color="auto" w:fill="auto"/>
            <w:tcMar>
              <w:top w:w="100" w:type="dxa"/>
              <w:left w:w="100" w:type="dxa"/>
              <w:bottom w:w="100" w:type="dxa"/>
              <w:right w:w="100" w:type="dxa"/>
            </w:tcMar>
          </w:tcPr>
          <w:p w14:paraId="1507D514" w14:textId="77777777" w:rsidR="00142F7D" w:rsidRPr="003520D7" w:rsidRDefault="00142F7D" w:rsidP="00E03A07">
            <w:pPr>
              <w:widowControl w:val="0"/>
              <w:pBdr>
                <w:top w:val="nil"/>
                <w:left w:val="nil"/>
                <w:bottom w:val="nil"/>
                <w:right w:val="nil"/>
                <w:between w:val="nil"/>
              </w:pBdr>
              <w:rPr>
                <w:lang w:val="en-US"/>
              </w:rPr>
            </w:pPr>
            <w:r>
              <w:rPr>
                <w:rFonts w:eastAsia="Arial Unicode MS"/>
                <w:lang w:val="en-US"/>
              </w:rPr>
              <w:t>No MFI halving</w:t>
            </w:r>
          </w:p>
        </w:tc>
        <w:tc>
          <w:tcPr>
            <w:tcW w:w="1778" w:type="dxa"/>
            <w:shd w:val="clear" w:color="auto" w:fill="auto"/>
            <w:tcMar>
              <w:top w:w="100" w:type="dxa"/>
              <w:left w:w="100" w:type="dxa"/>
              <w:bottom w:w="100" w:type="dxa"/>
              <w:right w:w="100" w:type="dxa"/>
            </w:tcMar>
          </w:tcPr>
          <w:p w14:paraId="68862CC4" w14:textId="77777777" w:rsidR="00142F7D" w:rsidRPr="003520D7" w:rsidRDefault="00142F7D" w:rsidP="00E03A07">
            <w:pPr>
              <w:widowControl w:val="0"/>
              <w:pBdr>
                <w:top w:val="nil"/>
                <w:left w:val="nil"/>
                <w:bottom w:val="nil"/>
                <w:right w:val="nil"/>
                <w:between w:val="nil"/>
              </w:pBdr>
              <w:rPr>
                <w:lang w:val="en-US"/>
              </w:rPr>
            </w:pPr>
            <w:r>
              <w:rPr>
                <w:lang w:val="en-US"/>
              </w:rPr>
              <w:t>10</w:t>
            </w:r>
          </w:p>
        </w:tc>
        <w:tc>
          <w:tcPr>
            <w:tcW w:w="1806" w:type="dxa"/>
            <w:shd w:val="clear" w:color="auto" w:fill="auto"/>
            <w:tcMar>
              <w:top w:w="100" w:type="dxa"/>
              <w:left w:w="100" w:type="dxa"/>
              <w:bottom w:w="100" w:type="dxa"/>
              <w:right w:w="100" w:type="dxa"/>
            </w:tcMar>
          </w:tcPr>
          <w:p w14:paraId="7E70467F" w14:textId="77777777" w:rsidR="00142F7D" w:rsidRPr="003520D7" w:rsidRDefault="00142F7D" w:rsidP="00E03A07">
            <w:pPr>
              <w:widowControl w:val="0"/>
              <w:pBdr>
                <w:top w:val="nil"/>
                <w:left w:val="nil"/>
                <w:bottom w:val="nil"/>
                <w:right w:val="nil"/>
                <w:between w:val="nil"/>
              </w:pBdr>
              <w:rPr>
                <w:lang w:val="en-US"/>
              </w:rPr>
            </w:pPr>
            <w:r>
              <w:rPr>
                <w:lang w:val="en-US"/>
              </w:rPr>
              <w:t>10</w:t>
            </w:r>
          </w:p>
        </w:tc>
        <w:tc>
          <w:tcPr>
            <w:tcW w:w="1806" w:type="dxa"/>
            <w:shd w:val="clear" w:color="auto" w:fill="auto"/>
            <w:tcMar>
              <w:top w:w="100" w:type="dxa"/>
              <w:left w:w="100" w:type="dxa"/>
              <w:bottom w:w="100" w:type="dxa"/>
              <w:right w:w="100" w:type="dxa"/>
            </w:tcMar>
          </w:tcPr>
          <w:p w14:paraId="344D7A89" w14:textId="77777777" w:rsidR="00142F7D" w:rsidRPr="003520D7" w:rsidRDefault="00142F7D" w:rsidP="00E03A07">
            <w:pPr>
              <w:widowControl w:val="0"/>
              <w:pBdr>
                <w:top w:val="nil"/>
                <w:left w:val="nil"/>
                <w:bottom w:val="nil"/>
                <w:right w:val="nil"/>
                <w:between w:val="nil"/>
              </w:pBdr>
              <w:rPr>
                <w:lang w:val="en-US"/>
              </w:rPr>
            </w:pPr>
            <w:r>
              <w:rPr>
                <w:lang w:val="en-US"/>
              </w:rPr>
              <w:t>20</w:t>
            </w:r>
          </w:p>
        </w:tc>
        <w:tc>
          <w:tcPr>
            <w:tcW w:w="1806" w:type="dxa"/>
            <w:shd w:val="clear" w:color="auto" w:fill="auto"/>
            <w:tcMar>
              <w:top w:w="100" w:type="dxa"/>
              <w:left w:w="100" w:type="dxa"/>
              <w:bottom w:w="100" w:type="dxa"/>
              <w:right w:w="100" w:type="dxa"/>
            </w:tcMar>
          </w:tcPr>
          <w:p w14:paraId="1B62B21D" w14:textId="77777777" w:rsidR="00142F7D" w:rsidRPr="003520D7" w:rsidRDefault="00142F7D" w:rsidP="00E03A07">
            <w:pPr>
              <w:widowControl w:val="0"/>
              <w:pBdr>
                <w:top w:val="nil"/>
                <w:left w:val="nil"/>
                <w:bottom w:val="nil"/>
                <w:right w:val="nil"/>
                <w:between w:val="nil"/>
              </w:pBdr>
              <w:rPr>
                <w:lang w:val="en-US"/>
              </w:rPr>
            </w:pPr>
            <w:r w:rsidRPr="003520D7">
              <w:rPr>
                <w:lang w:val="en-US"/>
              </w:rPr>
              <w:t>NPV 0.</w:t>
            </w:r>
            <w:r>
              <w:rPr>
                <w:lang w:val="en-US"/>
              </w:rPr>
              <w:t>50</w:t>
            </w:r>
          </w:p>
        </w:tc>
      </w:tr>
      <w:tr w:rsidR="00142F7D" w:rsidRPr="003520D7" w14:paraId="7B3C8ABD" w14:textId="77777777" w:rsidTr="00E03A07">
        <w:tc>
          <w:tcPr>
            <w:tcW w:w="1833" w:type="dxa"/>
            <w:shd w:val="clear" w:color="auto" w:fill="auto"/>
            <w:tcMar>
              <w:top w:w="100" w:type="dxa"/>
              <w:left w:w="100" w:type="dxa"/>
              <w:bottom w:w="100" w:type="dxa"/>
              <w:right w:w="100" w:type="dxa"/>
            </w:tcMar>
          </w:tcPr>
          <w:p w14:paraId="24D1788C" w14:textId="77777777" w:rsidR="00142F7D" w:rsidRPr="003520D7" w:rsidRDefault="00142F7D" w:rsidP="00E03A07">
            <w:pPr>
              <w:widowControl w:val="0"/>
              <w:pBdr>
                <w:top w:val="nil"/>
                <w:left w:val="nil"/>
                <w:bottom w:val="nil"/>
                <w:right w:val="nil"/>
                <w:between w:val="nil"/>
              </w:pBdr>
              <w:rPr>
                <w:lang w:val="en-US"/>
              </w:rPr>
            </w:pPr>
            <w:r w:rsidRPr="003520D7">
              <w:rPr>
                <w:lang w:val="en-US"/>
              </w:rPr>
              <w:t>Total</w:t>
            </w:r>
          </w:p>
        </w:tc>
        <w:tc>
          <w:tcPr>
            <w:tcW w:w="1778" w:type="dxa"/>
            <w:shd w:val="clear" w:color="auto" w:fill="auto"/>
            <w:tcMar>
              <w:top w:w="100" w:type="dxa"/>
              <w:left w:w="100" w:type="dxa"/>
              <w:bottom w:w="100" w:type="dxa"/>
              <w:right w:w="100" w:type="dxa"/>
            </w:tcMar>
          </w:tcPr>
          <w:p w14:paraId="130A5998" w14:textId="77777777" w:rsidR="00142F7D" w:rsidRPr="003520D7" w:rsidRDefault="00142F7D" w:rsidP="00E03A07">
            <w:pPr>
              <w:widowControl w:val="0"/>
              <w:pBdr>
                <w:top w:val="nil"/>
                <w:left w:val="nil"/>
                <w:bottom w:val="nil"/>
                <w:right w:val="nil"/>
                <w:between w:val="nil"/>
              </w:pBdr>
              <w:rPr>
                <w:lang w:val="en-US"/>
              </w:rPr>
            </w:pPr>
            <w:r w:rsidRPr="003520D7">
              <w:rPr>
                <w:lang w:val="en-US"/>
              </w:rPr>
              <w:t>12</w:t>
            </w:r>
          </w:p>
        </w:tc>
        <w:tc>
          <w:tcPr>
            <w:tcW w:w="1806" w:type="dxa"/>
            <w:shd w:val="clear" w:color="auto" w:fill="auto"/>
            <w:tcMar>
              <w:top w:w="100" w:type="dxa"/>
              <w:left w:w="100" w:type="dxa"/>
              <w:bottom w:w="100" w:type="dxa"/>
              <w:right w:w="100" w:type="dxa"/>
            </w:tcMar>
          </w:tcPr>
          <w:p w14:paraId="0F1BE1AE" w14:textId="77777777" w:rsidR="00142F7D" w:rsidRPr="003520D7" w:rsidRDefault="00142F7D" w:rsidP="00E03A07">
            <w:pPr>
              <w:widowControl w:val="0"/>
              <w:pBdr>
                <w:top w:val="nil"/>
                <w:left w:val="nil"/>
                <w:bottom w:val="nil"/>
                <w:right w:val="nil"/>
                <w:between w:val="nil"/>
              </w:pBdr>
              <w:rPr>
                <w:lang w:val="en-US"/>
              </w:rPr>
            </w:pPr>
            <w:r w:rsidRPr="003520D7">
              <w:rPr>
                <w:lang w:val="en-US"/>
              </w:rPr>
              <w:t>14</w:t>
            </w:r>
          </w:p>
        </w:tc>
        <w:tc>
          <w:tcPr>
            <w:tcW w:w="1806" w:type="dxa"/>
            <w:shd w:val="clear" w:color="auto" w:fill="auto"/>
            <w:tcMar>
              <w:top w:w="100" w:type="dxa"/>
              <w:left w:w="100" w:type="dxa"/>
              <w:bottom w:w="100" w:type="dxa"/>
              <w:right w:w="100" w:type="dxa"/>
            </w:tcMar>
          </w:tcPr>
          <w:p w14:paraId="3BAD924C" w14:textId="77777777" w:rsidR="00142F7D" w:rsidRPr="003520D7" w:rsidRDefault="00142F7D" w:rsidP="00E03A07">
            <w:pPr>
              <w:widowControl w:val="0"/>
              <w:pBdr>
                <w:top w:val="nil"/>
                <w:left w:val="nil"/>
                <w:bottom w:val="nil"/>
                <w:right w:val="nil"/>
                <w:between w:val="nil"/>
              </w:pBdr>
              <w:rPr>
                <w:lang w:val="en-US"/>
              </w:rPr>
            </w:pPr>
            <w:r w:rsidRPr="003520D7">
              <w:rPr>
                <w:lang w:val="en-US"/>
              </w:rPr>
              <w:t>26</w:t>
            </w:r>
          </w:p>
        </w:tc>
        <w:tc>
          <w:tcPr>
            <w:tcW w:w="1806" w:type="dxa"/>
            <w:shd w:val="clear" w:color="auto" w:fill="auto"/>
            <w:tcMar>
              <w:top w:w="100" w:type="dxa"/>
              <w:left w:w="100" w:type="dxa"/>
              <w:bottom w:w="100" w:type="dxa"/>
              <w:right w:w="100" w:type="dxa"/>
            </w:tcMar>
          </w:tcPr>
          <w:p w14:paraId="0CD24F65" w14:textId="77777777" w:rsidR="00142F7D" w:rsidRPr="003520D7" w:rsidRDefault="00142F7D" w:rsidP="00E03A07">
            <w:pPr>
              <w:widowControl w:val="0"/>
              <w:pBdr>
                <w:top w:val="nil"/>
                <w:left w:val="nil"/>
                <w:bottom w:val="nil"/>
                <w:right w:val="nil"/>
                <w:between w:val="nil"/>
              </w:pBdr>
              <w:rPr>
                <w:lang w:val="en-US"/>
              </w:rPr>
            </w:pPr>
            <w:proofErr w:type="spellStart"/>
            <w:r w:rsidRPr="003520D7">
              <w:rPr>
                <w:lang w:val="en-US"/>
              </w:rPr>
              <w:t>Prev</w:t>
            </w:r>
            <w:proofErr w:type="spellEnd"/>
            <w:r w:rsidRPr="003520D7">
              <w:rPr>
                <w:lang w:val="en-US"/>
              </w:rPr>
              <w:t xml:space="preserve"> 0.46</w:t>
            </w:r>
          </w:p>
        </w:tc>
      </w:tr>
      <w:tr w:rsidR="00142F7D" w:rsidRPr="003520D7" w14:paraId="0ADAF810" w14:textId="77777777" w:rsidTr="00E03A07">
        <w:tc>
          <w:tcPr>
            <w:tcW w:w="1833" w:type="dxa"/>
            <w:shd w:val="clear" w:color="auto" w:fill="auto"/>
            <w:tcMar>
              <w:top w:w="100" w:type="dxa"/>
              <w:left w:w="100" w:type="dxa"/>
              <w:bottom w:w="100" w:type="dxa"/>
              <w:right w:w="100" w:type="dxa"/>
            </w:tcMar>
          </w:tcPr>
          <w:p w14:paraId="5CA36593" w14:textId="77777777" w:rsidR="00142F7D" w:rsidRPr="003520D7" w:rsidRDefault="00142F7D" w:rsidP="00E03A07">
            <w:pPr>
              <w:widowControl w:val="0"/>
              <w:pBdr>
                <w:top w:val="nil"/>
                <w:left w:val="nil"/>
                <w:bottom w:val="nil"/>
                <w:right w:val="nil"/>
                <w:between w:val="nil"/>
              </w:pBdr>
              <w:rPr>
                <w:lang w:val="en-US"/>
              </w:rPr>
            </w:pPr>
          </w:p>
        </w:tc>
        <w:tc>
          <w:tcPr>
            <w:tcW w:w="1778" w:type="dxa"/>
            <w:shd w:val="clear" w:color="auto" w:fill="auto"/>
            <w:tcMar>
              <w:top w:w="100" w:type="dxa"/>
              <w:left w:w="100" w:type="dxa"/>
              <w:bottom w:w="100" w:type="dxa"/>
              <w:right w:w="100" w:type="dxa"/>
            </w:tcMar>
          </w:tcPr>
          <w:p w14:paraId="037CAE6B" w14:textId="77777777" w:rsidR="00142F7D" w:rsidRPr="003520D7" w:rsidRDefault="00142F7D" w:rsidP="00E03A07">
            <w:pPr>
              <w:widowControl w:val="0"/>
              <w:pBdr>
                <w:top w:val="nil"/>
                <w:left w:val="nil"/>
                <w:bottom w:val="nil"/>
                <w:right w:val="nil"/>
                <w:between w:val="nil"/>
              </w:pBdr>
              <w:rPr>
                <w:lang w:val="en-US"/>
              </w:rPr>
            </w:pPr>
            <w:r w:rsidRPr="003520D7">
              <w:rPr>
                <w:lang w:val="en-US"/>
              </w:rPr>
              <w:t xml:space="preserve">Sens </w:t>
            </w:r>
            <w:r>
              <w:rPr>
                <w:lang w:val="en-US"/>
              </w:rPr>
              <w:t>0.17</w:t>
            </w:r>
          </w:p>
        </w:tc>
        <w:tc>
          <w:tcPr>
            <w:tcW w:w="1806" w:type="dxa"/>
            <w:shd w:val="clear" w:color="auto" w:fill="auto"/>
            <w:tcMar>
              <w:top w:w="100" w:type="dxa"/>
              <w:left w:w="100" w:type="dxa"/>
              <w:bottom w:w="100" w:type="dxa"/>
              <w:right w:w="100" w:type="dxa"/>
            </w:tcMar>
          </w:tcPr>
          <w:p w14:paraId="613BF591" w14:textId="77777777" w:rsidR="00142F7D" w:rsidRPr="003520D7" w:rsidRDefault="00142F7D" w:rsidP="00E03A07">
            <w:pPr>
              <w:widowControl w:val="0"/>
              <w:pBdr>
                <w:top w:val="nil"/>
                <w:left w:val="nil"/>
                <w:bottom w:val="nil"/>
                <w:right w:val="nil"/>
                <w:between w:val="nil"/>
              </w:pBdr>
              <w:rPr>
                <w:lang w:val="en-US"/>
              </w:rPr>
            </w:pPr>
            <w:r w:rsidRPr="003520D7">
              <w:rPr>
                <w:lang w:val="en-US"/>
              </w:rPr>
              <w:t>Spec 0.</w:t>
            </w:r>
            <w:r>
              <w:rPr>
                <w:lang w:val="en-US"/>
              </w:rPr>
              <w:t>71</w:t>
            </w:r>
          </w:p>
        </w:tc>
        <w:tc>
          <w:tcPr>
            <w:tcW w:w="1806" w:type="dxa"/>
            <w:shd w:val="clear" w:color="auto" w:fill="auto"/>
            <w:tcMar>
              <w:top w:w="100" w:type="dxa"/>
              <w:left w:w="100" w:type="dxa"/>
              <w:bottom w:w="100" w:type="dxa"/>
              <w:right w:w="100" w:type="dxa"/>
            </w:tcMar>
          </w:tcPr>
          <w:p w14:paraId="5448AC71" w14:textId="77777777" w:rsidR="00142F7D" w:rsidRPr="003520D7" w:rsidRDefault="00142F7D" w:rsidP="00E03A07">
            <w:pPr>
              <w:widowControl w:val="0"/>
              <w:pBdr>
                <w:top w:val="nil"/>
                <w:left w:val="nil"/>
                <w:bottom w:val="nil"/>
                <w:right w:val="nil"/>
                <w:between w:val="nil"/>
              </w:pBdr>
              <w:rPr>
                <w:lang w:val="en-US"/>
              </w:rPr>
            </w:pPr>
          </w:p>
        </w:tc>
        <w:tc>
          <w:tcPr>
            <w:tcW w:w="1806" w:type="dxa"/>
            <w:shd w:val="clear" w:color="auto" w:fill="auto"/>
            <w:tcMar>
              <w:top w:w="100" w:type="dxa"/>
              <w:left w:w="100" w:type="dxa"/>
              <w:bottom w:w="100" w:type="dxa"/>
              <w:right w:w="100" w:type="dxa"/>
            </w:tcMar>
          </w:tcPr>
          <w:p w14:paraId="030C530E" w14:textId="77777777" w:rsidR="00142F7D" w:rsidRPr="003520D7" w:rsidRDefault="00142F7D" w:rsidP="00E03A07">
            <w:pPr>
              <w:widowControl w:val="0"/>
              <w:pBdr>
                <w:top w:val="nil"/>
                <w:left w:val="nil"/>
                <w:bottom w:val="nil"/>
                <w:right w:val="nil"/>
                <w:between w:val="nil"/>
              </w:pBdr>
              <w:rPr>
                <w:lang w:val="en-US"/>
              </w:rPr>
            </w:pPr>
            <w:r w:rsidRPr="003520D7">
              <w:rPr>
                <w:lang w:val="en-US"/>
              </w:rPr>
              <w:t>Acc 0.</w:t>
            </w:r>
            <w:r>
              <w:rPr>
                <w:lang w:val="en-US"/>
              </w:rPr>
              <w:t>46</w:t>
            </w:r>
          </w:p>
        </w:tc>
      </w:tr>
    </w:tbl>
    <w:p w14:paraId="0D6B253B" w14:textId="77777777" w:rsidR="00142F7D" w:rsidRPr="003520D7" w:rsidRDefault="00142F7D" w:rsidP="00142F7D">
      <w:pPr>
        <w:spacing w:line="480" w:lineRule="auto"/>
        <w:rPr>
          <w:rFonts w:eastAsia="Roboto"/>
          <w:color w:val="333333"/>
          <w:highlight w:val="white"/>
          <w:lang w:val="en-US"/>
        </w:rPr>
      </w:pPr>
    </w:p>
    <w:p w14:paraId="6280015E" w14:textId="77777777" w:rsidR="00142F7D" w:rsidRPr="003520D7" w:rsidRDefault="00142F7D" w:rsidP="00142F7D">
      <w:pPr>
        <w:spacing w:line="480" w:lineRule="auto"/>
        <w:rPr>
          <w:lang w:val="en-US"/>
        </w:rPr>
      </w:pPr>
      <w:r>
        <w:rPr>
          <w:b/>
          <w:lang w:val="en-US"/>
        </w:rPr>
        <w:t xml:space="preserve">Supplemental </w:t>
      </w:r>
      <w:r w:rsidRPr="003520D7">
        <w:rPr>
          <w:b/>
          <w:lang w:val="en-US"/>
        </w:rPr>
        <w:t xml:space="preserve">Table </w:t>
      </w:r>
      <w:r>
        <w:rPr>
          <w:b/>
          <w:lang w:val="en-US"/>
        </w:rPr>
        <w:t>9</w:t>
      </w:r>
      <w:r w:rsidRPr="003520D7">
        <w:rPr>
          <w:b/>
          <w:lang w:val="en-US"/>
        </w:rPr>
        <w:t xml:space="preserve">. </w:t>
      </w:r>
      <w:bookmarkStart w:id="6" w:name="_Hlk176443130"/>
      <w:r w:rsidRPr="003520D7">
        <w:rPr>
          <w:lang w:val="en-US"/>
        </w:rPr>
        <w:t>Contingency table and diagnostic test metrics of longitudinal absolute dd-</w:t>
      </w:r>
      <w:proofErr w:type="spellStart"/>
      <w:r w:rsidRPr="003520D7">
        <w:rPr>
          <w:lang w:val="en-US"/>
        </w:rPr>
        <w:t>cfDNA</w:t>
      </w:r>
      <w:proofErr w:type="spellEnd"/>
      <w:r w:rsidRPr="003520D7">
        <w:rPr>
          <w:lang w:val="en-US"/>
        </w:rPr>
        <w:t xml:space="preserve"> monitoring with a cutoff of 50 copies/mL for </w:t>
      </w:r>
      <w:r>
        <w:rPr>
          <w:lang w:val="en-US"/>
        </w:rPr>
        <w:t>AMR</w:t>
      </w:r>
      <w:r w:rsidRPr="003520D7">
        <w:rPr>
          <w:lang w:val="en-US"/>
        </w:rPr>
        <w:t xml:space="preserve"> in DSA+ KTR</w:t>
      </w:r>
      <w:r>
        <w:rPr>
          <w:lang w:val="en-US"/>
        </w:rPr>
        <w:t xml:space="preserve"> according to Banff 2022 classification with probable AMR classified as AMR</w:t>
      </w:r>
      <w:r w:rsidRPr="003520D7">
        <w:rPr>
          <w:lang w:val="en-US"/>
        </w:rPr>
        <w:t xml:space="preserve">. </w:t>
      </w:r>
      <w:proofErr w:type="spellStart"/>
      <w:r w:rsidRPr="003520D7">
        <w:rPr>
          <w:lang w:val="en-US"/>
        </w:rPr>
        <w:t>Prev</w:t>
      </w:r>
      <w:proofErr w:type="spellEnd"/>
      <w:r w:rsidRPr="003520D7">
        <w:rPr>
          <w:lang w:val="en-US"/>
        </w:rPr>
        <w:t xml:space="preserve">, Prevalence of </w:t>
      </w:r>
      <w:r>
        <w:rPr>
          <w:lang w:val="en-US"/>
        </w:rPr>
        <w:t>AMR</w:t>
      </w:r>
      <w:r w:rsidRPr="003520D7">
        <w:rPr>
          <w:lang w:val="en-US"/>
        </w:rPr>
        <w:t>; Acc, accuracy; Sens, sensitivity; Spec, specificity; PPV, positive predictive value; NPV, negative predictive value.</w:t>
      </w:r>
    </w:p>
    <w:bookmarkEnd w:id="6"/>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42F7D" w:rsidRPr="003520D7" w14:paraId="425741C0" w14:textId="77777777" w:rsidTr="00E03A07">
        <w:tc>
          <w:tcPr>
            <w:tcW w:w="1805" w:type="dxa"/>
            <w:shd w:val="clear" w:color="auto" w:fill="auto"/>
            <w:tcMar>
              <w:top w:w="100" w:type="dxa"/>
              <w:left w:w="100" w:type="dxa"/>
              <w:bottom w:w="100" w:type="dxa"/>
              <w:right w:w="100" w:type="dxa"/>
            </w:tcMar>
          </w:tcPr>
          <w:p w14:paraId="63C165E6" w14:textId="77777777" w:rsidR="00142F7D" w:rsidRPr="003520D7" w:rsidRDefault="00142F7D" w:rsidP="00E03A07">
            <w:pPr>
              <w:widowControl w:val="0"/>
              <w:pBdr>
                <w:top w:val="nil"/>
                <w:left w:val="nil"/>
                <w:bottom w:val="nil"/>
                <w:right w:val="nil"/>
                <w:between w:val="nil"/>
              </w:pBdr>
              <w:rPr>
                <w:lang w:val="en-US"/>
              </w:rPr>
            </w:pPr>
          </w:p>
        </w:tc>
        <w:tc>
          <w:tcPr>
            <w:tcW w:w="1805" w:type="dxa"/>
            <w:shd w:val="clear" w:color="auto" w:fill="auto"/>
            <w:tcMar>
              <w:top w:w="100" w:type="dxa"/>
              <w:left w:w="100" w:type="dxa"/>
              <w:bottom w:w="100" w:type="dxa"/>
              <w:right w:w="100" w:type="dxa"/>
            </w:tcMar>
          </w:tcPr>
          <w:p w14:paraId="0D6F1C8C" w14:textId="77777777" w:rsidR="00142F7D" w:rsidRPr="003520D7" w:rsidRDefault="00142F7D" w:rsidP="00E03A07">
            <w:pPr>
              <w:widowControl w:val="0"/>
              <w:pBdr>
                <w:top w:val="nil"/>
                <w:left w:val="nil"/>
                <w:bottom w:val="nil"/>
                <w:right w:val="nil"/>
                <w:between w:val="nil"/>
              </w:pBdr>
              <w:rPr>
                <w:lang w:val="en-US"/>
              </w:rPr>
            </w:pPr>
            <w:r>
              <w:rPr>
                <w:lang w:val="en-US"/>
              </w:rPr>
              <w:t>AMR</w:t>
            </w:r>
          </w:p>
        </w:tc>
        <w:tc>
          <w:tcPr>
            <w:tcW w:w="1805" w:type="dxa"/>
            <w:shd w:val="clear" w:color="auto" w:fill="auto"/>
            <w:tcMar>
              <w:top w:w="100" w:type="dxa"/>
              <w:left w:w="100" w:type="dxa"/>
              <w:bottom w:w="100" w:type="dxa"/>
              <w:right w:w="100" w:type="dxa"/>
            </w:tcMar>
          </w:tcPr>
          <w:p w14:paraId="7AA6E13A" w14:textId="77777777" w:rsidR="00142F7D" w:rsidRPr="003520D7" w:rsidRDefault="00142F7D" w:rsidP="00E03A07">
            <w:pPr>
              <w:widowControl w:val="0"/>
              <w:pBdr>
                <w:top w:val="nil"/>
                <w:left w:val="nil"/>
                <w:bottom w:val="nil"/>
                <w:right w:val="nil"/>
                <w:between w:val="nil"/>
              </w:pBdr>
              <w:rPr>
                <w:lang w:val="en-US"/>
              </w:rPr>
            </w:pPr>
            <w:r w:rsidRPr="003520D7">
              <w:rPr>
                <w:lang w:val="en-US"/>
              </w:rPr>
              <w:t xml:space="preserve">no </w:t>
            </w:r>
            <w:r>
              <w:rPr>
                <w:lang w:val="en-US"/>
              </w:rPr>
              <w:t>AMR</w:t>
            </w:r>
          </w:p>
        </w:tc>
        <w:tc>
          <w:tcPr>
            <w:tcW w:w="1805" w:type="dxa"/>
            <w:shd w:val="clear" w:color="auto" w:fill="auto"/>
            <w:tcMar>
              <w:top w:w="100" w:type="dxa"/>
              <w:left w:w="100" w:type="dxa"/>
              <w:bottom w:w="100" w:type="dxa"/>
              <w:right w:w="100" w:type="dxa"/>
            </w:tcMar>
          </w:tcPr>
          <w:p w14:paraId="6F1B5B03" w14:textId="77777777" w:rsidR="00142F7D" w:rsidRPr="003520D7" w:rsidRDefault="00142F7D" w:rsidP="00E03A07">
            <w:pPr>
              <w:widowControl w:val="0"/>
              <w:pBdr>
                <w:top w:val="nil"/>
                <w:left w:val="nil"/>
                <w:bottom w:val="nil"/>
                <w:right w:val="nil"/>
                <w:between w:val="nil"/>
              </w:pBdr>
              <w:rPr>
                <w:lang w:val="en-US"/>
              </w:rPr>
            </w:pPr>
            <w:r w:rsidRPr="003520D7">
              <w:rPr>
                <w:lang w:val="en-US"/>
              </w:rPr>
              <w:t>Total</w:t>
            </w:r>
          </w:p>
        </w:tc>
        <w:tc>
          <w:tcPr>
            <w:tcW w:w="1805" w:type="dxa"/>
            <w:shd w:val="clear" w:color="auto" w:fill="auto"/>
            <w:tcMar>
              <w:top w:w="100" w:type="dxa"/>
              <w:left w:w="100" w:type="dxa"/>
              <w:bottom w:w="100" w:type="dxa"/>
              <w:right w:w="100" w:type="dxa"/>
            </w:tcMar>
          </w:tcPr>
          <w:p w14:paraId="077F867E" w14:textId="77777777" w:rsidR="00142F7D" w:rsidRPr="003520D7" w:rsidRDefault="00142F7D" w:rsidP="00E03A07">
            <w:pPr>
              <w:widowControl w:val="0"/>
              <w:pBdr>
                <w:top w:val="nil"/>
                <w:left w:val="nil"/>
                <w:bottom w:val="nil"/>
                <w:right w:val="nil"/>
                <w:between w:val="nil"/>
              </w:pBdr>
              <w:rPr>
                <w:lang w:val="en-US"/>
              </w:rPr>
            </w:pPr>
          </w:p>
        </w:tc>
      </w:tr>
      <w:tr w:rsidR="00142F7D" w:rsidRPr="003520D7" w14:paraId="5FA07647" w14:textId="77777777" w:rsidTr="00E03A07">
        <w:tc>
          <w:tcPr>
            <w:tcW w:w="1805" w:type="dxa"/>
            <w:shd w:val="clear" w:color="auto" w:fill="auto"/>
            <w:tcMar>
              <w:top w:w="100" w:type="dxa"/>
              <w:left w:w="100" w:type="dxa"/>
              <w:bottom w:w="100" w:type="dxa"/>
              <w:right w:w="100" w:type="dxa"/>
            </w:tcMar>
          </w:tcPr>
          <w:p w14:paraId="28824283" w14:textId="77777777" w:rsidR="00142F7D" w:rsidRPr="003520D7" w:rsidRDefault="00142F7D" w:rsidP="00E03A07">
            <w:pPr>
              <w:widowControl w:val="0"/>
              <w:pBdr>
                <w:top w:val="nil"/>
                <w:left w:val="nil"/>
                <w:bottom w:val="nil"/>
                <w:right w:val="nil"/>
                <w:between w:val="nil"/>
              </w:pBdr>
              <w:rPr>
                <w:lang w:val="en-US"/>
              </w:rPr>
            </w:pPr>
            <w:r w:rsidRPr="003520D7">
              <w:rPr>
                <w:lang w:val="en-US"/>
              </w:rPr>
              <w:t>&gt;50 cp/mL</w:t>
            </w:r>
          </w:p>
        </w:tc>
        <w:tc>
          <w:tcPr>
            <w:tcW w:w="1805" w:type="dxa"/>
            <w:shd w:val="clear" w:color="auto" w:fill="auto"/>
            <w:tcMar>
              <w:top w:w="100" w:type="dxa"/>
              <w:left w:w="100" w:type="dxa"/>
              <w:bottom w:w="100" w:type="dxa"/>
              <w:right w:w="100" w:type="dxa"/>
            </w:tcMar>
          </w:tcPr>
          <w:p w14:paraId="283E5450" w14:textId="77777777" w:rsidR="00142F7D" w:rsidRPr="003520D7" w:rsidRDefault="00142F7D" w:rsidP="00E03A07">
            <w:pPr>
              <w:widowControl w:val="0"/>
              <w:pBdr>
                <w:top w:val="nil"/>
                <w:left w:val="nil"/>
                <w:bottom w:val="nil"/>
                <w:right w:val="nil"/>
                <w:between w:val="nil"/>
              </w:pBdr>
              <w:rPr>
                <w:lang w:val="en-US"/>
              </w:rPr>
            </w:pPr>
            <w:r w:rsidRPr="003520D7">
              <w:rPr>
                <w:lang w:val="en-US"/>
              </w:rPr>
              <w:t>1</w:t>
            </w:r>
            <w:r>
              <w:rPr>
                <w:lang w:val="en-US"/>
              </w:rPr>
              <w:t>2</w:t>
            </w:r>
          </w:p>
        </w:tc>
        <w:tc>
          <w:tcPr>
            <w:tcW w:w="1805" w:type="dxa"/>
            <w:shd w:val="clear" w:color="auto" w:fill="auto"/>
            <w:tcMar>
              <w:top w:w="100" w:type="dxa"/>
              <w:left w:w="100" w:type="dxa"/>
              <w:bottom w:w="100" w:type="dxa"/>
              <w:right w:w="100" w:type="dxa"/>
            </w:tcMar>
          </w:tcPr>
          <w:p w14:paraId="7A3547CB" w14:textId="77777777" w:rsidR="00142F7D" w:rsidRPr="003520D7" w:rsidRDefault="00142F7D" w:rsidP="00E03A07">
            <w:pPr>
              <w:widowControl w:val="0"/>
              <w:pBdr>
                <w:top w:val="nil"/>
                <w:left w:val="nil"/>
                <w:bottom w:val="nil"/>
                <w:right w:val="nil"/>
                <w:between w:val="nil"/>
              </w:pBdr>
              <w:rPr>
                <w:lang w:val="en-US"/>
              </w:rPr>
            </w:pPr>
            <w:r>
              <w:rPr>
                <w:lang w:val="en-US"/>
              </w:rPr>
              <w:t>1</w:t>
            </w:r>
          </w:p>
        </w:tc>
        <w:tc>
          <w:tcPr>
            <w:tcW w:w="1805" w:type="dxa"/>
            <w:shd w:val="clear" w:color="auto" w:fill="auto"/>
            <w:tcMar>
              <w:top w:w="100" w:type="dxa"/>
              <w:left w:w="100" w:type="dxa"/>
              <w:bottom w:w="100" w:type="dxa"/>
              <w:right w:w="100" w:type="dxa"/>
            </w:tcMar>
          </w:tcPr>
          <w:p w14:paraId="69102291" w14:textId="77777777" w:rsidR="00142F7D" w:rsidRPr="003520D7" w:rsidRDefault="00142F7D" w:rsidP="00E03A07">
            <w:pPr>
              <w:widowControl w:val="0"/>
              <w:pBdr>
                <w:top w:val="nil"/>
                <w:left w:val="nil"/>
                <w:bottom w:val="nil"/>
                <w:right w:val="nil"/>
                <w:between w:val="nil"/>
              </w:pBdr>
              <w:rPr>
                <w:lang w:val="en-US"/>
              </w:rPr>
            </w:pPr>
            <w:r w:rsidRPr="003520D7">
              <w:rPr>
                <w:lang w:val="en-US"/>
              </w:rPr>
              <w:t>13</w:t>
            </w:r>
          </w:p>
        </w:tc>
        <w:tc>
          <w:tcPr>
            <w:tcW w:w="1805" w:type="dxa"/>
            <w:shd w:val="clear" w:color="auto" w:fill="auto"/>
            <w:tcMar>
              <w:top w:w="100" w:type="dxa"/>
              <w:left w:w="100" w:type="dxa"/>
              <w:bottom w:w="100" w:type="dxa"/>
              <w:right w:w="100" w:type="dxa"/>
            </w:tcMar>
          </w:tcPr>
          <w:p w14:paraId="2B0AFD34" w14:textId="77777777" w:rsidR="00142F7D" w:rsidRPr="003520D7" w:rsidRDefault="00142F7D" w:rsidP="00E03A07">
            <w:pPr>
              <w:widowControl w:val="0"/>
              <w:pBdr>
                <w:top w:val="nil"/>
                <w:left w:val="nil"/>
                <w:bottom w:val="nil"/>
                <w:right w:val="nil"/>
                <w:between w:val="nil"/>
              </w:pBdr>
              <w:rPr>
                <w:lang w:val="en-US"/>
              </w:rPr>
            </w:pPr>
            <w:r w:rsidRPr="003520D7">
              <w:rPr>
                <w:lang w:val="en-US"/>
              </w:rPr>
              <w:t>PPV 0.</w:t>
            </w:r>
            <w:r>
              <w:rPr>
                <w:lang w:val="en-US"/>
              </w:rPr>
              <w:t>92</w:t>
            </w:r>
          </w:p>
        </w:tc>
      </w:tr>
      <w:tr w:rsidR="00142F7D" w:rsidRPr="003520D7" w14:paraId="1F70DF2A" w14:textId="77777777" w:rsidTr="00E03A07">
        <w:tc>
          <w:tcPr>
            <w:tcW w:w="1805" w:type="dxa"/>
            <w:shd w:val="clear" w:color="auto" w:fill="auto"/>
            <w:tcMar>
              <w:top w:w="100" w:type="dxa"/>
              <w:left w:w="100" w:type="dxa"/>
              <w:bottom w:w="100" w:type="dxa"/>
              <w:right w:w="100" w:type="dxa"/>
            </w:tcMar>
          </w:tcPr>
          <w:p w14:paraId="29E65916" w14:textId="77777777" w:rsidR="00142F7D" w:rsidRPr="003520D7" w:rsidRDefault="00142F7D" w:rsidP="00E03A07">
            <w:pPr>
              <w:widowControl w:val="0"/>
              <w:pBdr>
                <w:top w:val="nil"/>
                <w:left w:val="nil"/>
                <w:bottom w:val="nil"/>
                <w:right w:val="nil"/>
                <w:between w:val="nil"/>
              </w:pBdr>
              <w:rPr>
                <w:lang w:val="en-US"/>
              </w:rPr>
            </w:pPr>
            <w:r w:rsidRPr="003520D7">
              <w:rPr>
                <w:rFonts w:eastAsia="Arial Unicode MS"/>
                <w:lang w:val="en-US"/>
              </w:rPr>
              <w:t>≤50 cp/mL</w:t>
            </w:r>
          </w:p>
        </w:tc>
        <w:tc>
          <w:tcPr>
            <w:tcW w:w="1805" w:type="dxa"/>
            <w:shd w:val="clear" w:color="auto" w:fill="auto"/>
            <w:tcMar>
              <w:top w:w="100" w:type="dxa"/>
              <w:left w:w="100" w:type="dxa"/>
              <w:bottom w:w="100" w:type="dxa"/>
              <w:right w:w="100" w:type="dxa"/>
            </w:tcMar>
          </w:tcPr>
          <w:p w14:paraId="04F46BED" w14:textId="77777777" w:rsidR="00142F7D" w:rsidRPr="003520D7" w:rsidRDefault="00142F7D" w:rsidP="00E03A07">
            <w:pPr>
              <w:widowControl w:val="0"/>
              <w:pBdr>
                <w:top w:val="nil"/>
                <w:left w:val="nil"/>
                <w:bottom w:val="nil"/>
                <w:right w:val="nil"/>
                <w:between w:val="nil"/>
              </w:pBdr>
              <w:rPr>
                <w:lang w:val="en-US"/>
              </w:rPr>
            </w:pPr>
            <w:r>
              <w:rPr>
                <w:lang w:val="en-US"/>
              </w:rPr>
              <w:t>2</w:t>
            </w:r>
          </w:p>
        </w:tc>
        <w:tc>
          <w:tcPr>
            <w:tcW w:w="1805" w:type="dxa"/>
            <w:shd w:val="clear" w:color="auto" w:fill="auto"/>
            <w:tcMar>
              <w:top w:w="100" w:type="dxa"/>
              <w:left w:w="100" w:type="dxa"/>
              <w:bottom w:w="100" w:type="dxa"/>
              <w:right w:w="100" w:type="dxa"/>
            </w:tcMar>
          </w:tcPr>
          <w:p w14:paraId="2FDD08CA" w14:textId="77777777" w:rsidR="00142F7D" w:rsidRPr="003520D7" w:rsidRDefault="00142F7D" w:rsidP="00E03A07">
            <w:pPr>
              <w:widowControl w:val="0"/>
              <w:pBdr>
                <w:top w:val="nil"/>
                <w:left w:val="nil"/>
                <w:bottom w:val="nil"/>
                <w:right w:val="nil"/>
                <w:between w:val="nil"/>
              </w:pBdr>
              <w:rPr>
                <w:lang w:val="en-US"/>
              </w:rPr>
            </w:pPr>
            <w:r w:rsidRPr="003520D7">
              <w:rPr>
                <w:lang w:val="en-US"/>
              </w:rPr>
              <w:t>11</w:t>
            </w:r>
          </w:p>
        </w:tc>
        <w:tc>
          <w:tcPr>
            <w:tcW w:w="1805" w:type="dxa"/>
            <w:shd w:val="clear" w:color="auto" w:fill="auto"/>
            <w:tcMar>
              <w:top w:w="100" w:type="dxa"/>
              <w:left w:w="100" w:type="dxa"/>
              <w:bottom w:w="100" w:type="dxa"/>
              <w:right w:w="100" w:type="dxa"/>
            </w:tcMar>
          </w:tcPr>
          <w:p w14:paraId="4DA6EEDF" w14:textId="77777777" w:rsidR="00142F7D" w:rsidRPr="003520D7" w:rsidRDefault="00142F7D" w:rsidP="00E03A07">
            <w:pPr>
              <w:widowControl w:val="0"/>
              <w:pBdr>
                <w:top w:val="nil"/>
                <w:left w:val="nil"/>
                <w:bottom w:val="nil"/>
                <w:right w:val="nil"/>
                <w:between w:val="nil"/>
              </w:pBdr>
              <w:rPr>
                <w:lang w:val="en-US"/>
              </w:rPr>
            </w:pPr>
            <w:r w:rsidRPr="003520D7">
              <w:rPr>
                <w:lang w:val="en-US"/>
              </w:rPr>
              <w:t>13</w:t>
            </w:r>
          </w:p>
        </w:tc>
        <w:tc>
          <w:tcPr>
            <w:tcW w:w="1805" w:type="dxa"/>
            <w:shd w:val="clear" w:color="auto" w:fill="auto"/>
            <w:tcMar>
              <w:top w:w="100" w:type="dxa"/>
              <w:left w:w="100" w:type="dxa"/>
              <w:bottom w:w="100" w:type="dxa"/>
              <w:right w:w="100" w:type="dxa"/>
            </w:tcMar>
          </w:tcPr>
          <w:p w14:paraId="1826B16A" w14:textId="77777777" w:rsidR="00142F7D" w:rsidRPr="003520D7" w:rsidRDefault="00142F7D" w:rsidP="00E03A07">
            <w:pPr>
              <w:widowControl w:val="0"/>
              <w:pBdr>
                <w:top w:val="nil"/>
                <w:left w:val="nil"/>
                <w:bottom w:val="nil"/>
                <w:right w:val="nil"/>
                <w:between w:val="nil"/>
              </w:pBdr>
              <w:rPr>
                <w:lang w:val="en-US"/>
              </w:rPr>
            </w:pPr>
            <w:r w:rsidRPr="003520D7">
              <w:rPr>
                <w:lang w:val="en-US"/>
              </w:rPr>
              <w:t>NPV 0.8</w:t>
            </w:r>
            <w:r>
              <w:rPr>
                <w:lang w:val="en-US"/>
              </w:rPr>
              <w:t>5</w:t>
            </w:r>
          </w:p>
        </w:tc>
      </w:tr>
      <w:tr w:rsidR="00142F7D" w:rsidRPr="003520D7" w14:paraId="2E0FAAFB" w14:textId="77777777" w:rsidTr="00E03A07">
        <w:tc>
          <w:tcPr>
            <w:tcW w:w="1805" w:type="dxa"/>
            <w:shd w:val="clear" w:color="auto" w:fill="auto"/>
            <w:tcMar>
              <w:top w:w="100" w:type="dxa"/>
              <w:left w:w="100" w:type="dxa"/>
              <w:bottom w:w="100" w:type="dxa"/>
              <w:right w:w="100" w:type="dxa"/>
            </w:tcMar>
          </w:tcPr>
          <w:p w14:paraId="482E15D0" w14:textId="77777777" w:rsidR="00142F7D" w:rsidRPr="003520D7" w:rsidRDefault="00142F7D" w:rsidP="00E03A07">
            <w:pPr>
              <w:widowControl w:val="0"/>
              <w:pBdr>
                <w:top w:val="nil"/>
                <w:left w:val="nil"/>
                <w:bottom w:val="nil"/>
                <w:right w:val="nil"/>
                <w:between w:val="nil"/>
              </w:pBdr>
              <w:rPr>
                <w:lang w:val="en-US"/>
              </w:rPr>
            </w:pPr>
            <w:r w:rsidRPr="003520D7">
              <w:rPr>
                <w:lang w:val="en-US"/>
              </w:rPr>
              <w:t>Total</w:t>
            </w:r>
          </w:p>
        </w:tc>
        <w:tc>
          <w:tcPr>
            <w:tcW w:w="1805" w:type="dxa"/>
            <w:shd w:val="clear" w:color="auto" w:fill="auto"/>
            <w:tcMar>
              <w:top w:w="100" w:type="dxa"/>
              <w:left w:w="100" w:type="dxa"/>
              <w:bottom w:w="100" w:type="dxa"/>
              <w:right w:w="100" w:type="dxa"/>
            </w:tcMar>
          </w:tcPr>
          <w:p w14:paraId="2B07B850" w14:textId="77777777" w:rsidR="00142F7D" w:rsidRPr="003520D7" w:rsidRDefault="00142F7D" w:rsidP="00E03A07">
            <w:pPr>
              <w:widowControl w:val="0"/>
              <w:pBdr>
                <w:top w:val="nil"/>
                <w:left w:val="nil"/>
                <w:bottom w:val="nil"/>
                <w:right w:val="nil"/>
                <w:between w:val="nil"/>
              </w:pBdr>
              <w:rPr>
                <w:lang w:val="en-US"/>
              </w:rPr>
            </w:pPr>
            <w:r w:rsidRPr="003520D7">
              <w:rPr>
                <w:lang w:val="en-US"/>
              </w:rPr>
              <w:t>12</w:t>
            </w:r>
          </w:p>
        </w:tc>
        <w:tc>
          <w:tcPr>
            <w:tcW w:w="1805" w:type="dxa"/>
            <w:shd w:val="clear" w:color="auto" w:fill="auto"/>
            <w:tcMar>
              <w:top w:w="100" w:type="dxa"/>
              <w:left w:w="100" w:type="dxa"/>
              <w:bottom w:w="100" w:type="dxa"/>
              <w:right w:w="100" w:type="dxa"/>
            </w:tcMar>
          </w:tcPr>
          <w:p w14:paraId="6236902E" w14:textId="77777777" w:rsidR="00142F7D" w:rsidRPr="003520D7" w:rsidRDefault="00142F7D" w:rsidP="00E03A07">
            <w:pPr>
              <w:widowControl w:val="0"/>
              <w:pBdr>
                <w:top w:val="nil"/>
                <w:left w:val="nil"/>
                <w:bottom w:val="nil"/>
                <w:right w:val="nil"/>
                <w:between w:val="nil"/>
              </w:pBdr>
              <w:rPr>
                <w:lang w:val="en-US"/>
              </w:rPr>
            </w:pPr>
            <w:r w:rsidRPr="003520D7">
              <w:rPr>
                <w:lang w:val="en-US"/>
              </w:rPr>
              <w:t>14</w:t>
            </w:r>
          </w:p>
        </w:tc>
        <w:tc>
          <w:tcPr>
            <w:tcW w:w="1805" w:type="dxa"/>
            <w:shd w:val="clear" w:color="auto" w:fill="auto"/>
            <w:tcMar>
              <w:top w:w="100" w:type="dxa"/>
              <w:left w:w="100" w:type="dxa"/>
              <w:bottom w:w="100" w:type="dxa"/>
              <w:right w:w="100" w:type="dxa"/>
            </w:tcMar>
          </w:tcPr>
          <w:p w14:paraId="62461A9D" w14:textId="77777777" w:rsidR="00142F7D" w:rsidRPr="003520D7" w:rsidRDefault="00142F7D" w:rsidP="00E03A07">
            <w:pPr>
              <w:widowControl w:val="0"/>
              <w:pBdr>
                <w:top w:val="nil"/>
                <w:left w:val="nil"/>
                <w:bottom w:val="nil"/>
                <w:right w:val="nil"/>
                <w:between w:val="nil"/>
              </w:pBdr>
              <w:rPr>
                <w:lang w:val="en-US"/>
              </w:rPr>
            </w:pPr>
            <w:r w:rsidRPr="003520D7">
              <w:rPr>
                <w:lang w:val="en-US"/>
              </w:rPr>
              <w:t>26</w:t>
            </w:r>
          </w:p>
        </w:tc>
        <w:tc>
          <w:tcPr>
            <w:tcW w:w="1805" w:type="dxa"/>
            <w:shd w:val="clear" w:color="auto" w:fill="auto"/>
            <w:tcMar>
              <w:top w:w="100" w:type="dxa"/>
              <w:left w:w="100" w:type="dxa"/>
              <w:bottom w:w="100" w:type="dxa"/>
              <w:right w:w="100" w:type="dxa"/>
            </w:tcMar>
          </w:tcPr>
          <w:p w14:paraId="3677D413" w14:textId="77777777" w:rsidR="00142F7D" w:rsidRPr="003520D7" w:rsidRDefault="00142F7D" w:rsidP="00E03A07">
            <w:pPr>
              <w:widowControl w:val="0"/>
              <w:pBdr>
                <w:top w:val="nil"/>
                <w:left w:val="nil"/>
                <w:bottom w:val="nil"/>
                <w:right w:val="nil"/>
                <w:between w:val="nil"/>
              </w:pBdr>
              <w:rPr>
                <w:lang w:val="en-US"/>
              </w:rPr>
            </w:pPr>
            <w:proofErr w:type="spellStart"/>
            <w:r w:rsidRPr="003520D7">
              <w:rPr>
                <w:lang w:val="en-US"/>
              </w:rPr>
              <w:t>Prev</w:t>
            </w:r>
            <w:proofErr w:type="spellEnd"/>
            <w:r w:rsidRPr="003520D7">
              <w:rPr>
                <w:lang w:val="en-US"/>
              </w:rPr>
              <w:t xml:space="preserve"> 0.46</w:t>
            </w:r>
          </w:p>
        </w:tc>
      </w:tr>
      <w:tr w:rsidR="00142F7D" w:rsidRPr="003520D7" w14:paraId="4CD2688D" w14:textId="77777777" w:rsidTr="00E03A07">
        <w:tc>
          <w:tcPr>
            <w:tcW w:w="1805" w:type="dxa"/>
            <w:shd w:val="clear" w:color="auto" w:fill="auto"/>
            <w:tcMar>
              <w:top w:w="100" w:type="dxa"/>
              <w:left w:w="100" w:type="dxa"/>
              <w:bottom w:w="100" w:type="dxa"/>
              <w:right w:w="100" w:type="dxa"/>
            </w:tcMar>
          </w:tcPr>
          <w:p w14:paraId="2A1F1D00" w14:textId="77777777" w:rsidR="00142F7D" w:rsidRPr="003520D7" w:rsidRDefault="00142F7D" w:rsidP="00E03A07">
            <w:pPr>
              <w:widowControl w:val="0"/>
              <w:pBdr>
                <w:top w:val="nil"/>
                <w:left w:val="nil"/>
                <w:bottom w:val="nil"/>
                <w:right w:val="nil"/>
                <w:between w:val="nil"/>
              </w:pBdr>
              <w:rPr>
                <w:lang w:val="en-US"/>
              </w:rPr>
            </w:pPr>
          </w:p>
        </w:tc>
        <w:tc>
          <w:tcPr>
            <w:tcW w:w="1805" w:type="dxa"/>
            <w:shd w:val="clear" w:color="auto" w:fill="auto"/>
            <w:tcMar>
              <w:top w:w="100" w:type="dxa"/>
              <w:left w:w="100" w:type="dxa"/>
              <w:bottom w:w="100" w:type="dxa"/>
              <w:right w:w="100" w:type="dxa"/>
            </w:tcMar>
          </w:tcPr>
          <w:p w14:paraId="06A85D39" w14:textId="77777777" w:rsidR="00142F7D" w:rsidRPr="003520D7" w:rsidRDefault="00142F7D" w:rsidP="00E03A07">
            <w:pPr>
              <w:widowControl w:val="0"/>
              <w:pBdr>
                <w:top w:val="nil"/>
                <w:left w:val="nil"/>
                <w:bottom w:val="nil"/>
                <w:right w:val="nil"/>
                <w:between w:val="nil"/>
              </w:pBdr>
              <w:rPr>
                <w:lang w:val="en-US"/>
              </w:rPr>
            </w:pPr>
            <w:r w:rsidRPr="003520D7">
              <w:rPr>
                <w:lang w:val="en-US"/>
              </w:rPr>
              <w:t>Sens 0.8</w:t>
            </w:r>
            <w:r>
              <w:rPr>
                <w:lang w:val="en-US"/>
              </w:rPr>
              <w:t>6</w:t>
            </w:r>
          </w:p>
        </w:tc>
        <w:tc>
          <w:tcPr>
            <w:tcW w:w="1805" w:type="dxa"/>
            <w:shd w:val="clear" w:color="auto" w:fill="auto"/>
            <w:tcMar>
              <w:top w:w="100" w:type="dxa"/>
              <w:left w:w="100" w:type="dxa"/>
              <w:bottom w:w="100" w:type="dxa"/>
              <w:right w:w="100" w:type="dxa"/>
            </w:tcMar>
          </w:tcPr>
          <w:p w14:paraId="040D0D7B" w14:textId="77777777" w:rsidR="00142F7D" w:rsidRPr="003520D7" w:rsidRDefault="00142F7D" w:rsidP="00E03A07">
            <w:pPr>
              <w:widowControl w:val="0"/>
              <w:pBdr>
                <w:top w:val="nil"/>
                <w:left w:val="nil"/>
                <w:bottom w:val="nil"/>
                <w:right w:val="nil"/>
                <w:between w:val="nil"/>
              </w:pBdr>
              <w:rPr>
                <w:lang w:val="en-US"/>
              </w:rPr>
            </w:pPr>
            <w:r w:rsidRPr="003520D7">
              <w:rPr>
                <w:lang w:val="en-US"/>
              </w:rPr>
              <w:t>Spec 0.</w:t>
            </w:r>
            <w:r>
              <w:rPr>
                <w:lang w:val="en-US"/>
              </w:rPr>
              <w:t>92</w:t>
            </w:r>
          </w:p>
        </w:tc>
        <w:tc>
          <w:tcPr>
            <w:tcW w:w="1805" w:type="dxa"/>
            <w:shd w:val="clear" w:color="auto" w:fill="auto"/>
            <w:tcMar>
              <w:top w:w="100" w:type="dxa"/>
              <w:left w:w="100" w:type="dxa"/>
              <w:bottom w:w="100" w:type="dxa"/>
              <w:right w:w="100" w:type="dxa"/>
            </w:tcMar>
          </w:tcPr>
          <w:p w14:paraId="03CADCE3" w14:textId="77777777" w:rsidR="00142F7D" w:rsidRPr="003520D7" w:rsidRDefault="00142F7D" w:rsidP="00E03A07">
            <w:pPr>
              <w:widowControl w:val="0"/>
              <w:pBdr>
                <w:top w:val="nil"/>
                <w:left w:val="nil"/>
                <w:bottom w:val="nil"/>
                <w:right w:val="nil"/>
                <w:between w:val="nil"/>
              </w:pBdr>
              <w:rPr>
                <w:lang w:val="en-US"/>
              </w:rPr>
            </w:pPr>
          </w:p>
        </w:tc>
        <w:tc>
          <w:tcPr>
            <w:tcW w:w="1805" w:type="dxa"/>
            <w:shd w:val="clear" w:color="auto" w:fill="auto"/>
            <w:tcMar>
              <w:top w:w="100" w:type="dxa"/>
              <w:left w:w="100" w:type="dxa"/>
              <w:bottom w:w="100" w:type="dxa"/>
              <w:right w:w="100" w:type="dxa"/>
            </w:tcMar>
          </w:tcPr>
          <w:p w14:paraId="1888A298" w14:textId="77777777" w:rsidR="00142F7D" w:rsidRPr="003520D7" w:rsidRDefault="00142F7D" w:rsidP="00E03A07">
            <w:pPr>
              <w:widowControl w:val="0"/>
              <w:pBdr>
                <w:top w:val="nil"/>
                <w:left w:val="nil"/>
                <w:bottom w:val="nil"/>
                <w:right w:val="nil"/>
                <w:between w:val="nil"/>
              </w:pBdr>
              <w:rPr>
                <w:lang w:val="en-US"/>
              </w:rPr>
            </w:pPr>
            <w:r w:rsidRPr="003520D7">
              <w:rPr>
                <w:lang w:val="en-US"/>
              </w:rPr>
              <w:t>Acc 0.8</w:t>
            </w:r>
            <w:r>
              <w:rPr>
                <w:lang w:val="en-US"/>
              </w:rPr>
              <w:t>8</w:t>
            </w:r>
          </w:p>
        </w:tc>
      </w:tr>
    </w:tbl>
    <w:p w14:paraId="2B1E6976" w14:textId="77777777" w:rsidR="00AB491A" w:rsidRDefault="00AB491A" w:rsidP="00852C6D">
      <w:pPr>
        <w:spacing w:line="480" w:lineRule="auto"/>
        <w:rPr>
          <w:b/>
          <w:lang w:val="en-US"/>
        </w:rPr>
      </w:pPr>
    </w:p>
    <w:p w14:paraId="0DA72D95" w14:textId="0CA82EF7" w:rsidR="00014B33" w:rsidRPr="00014B33" w:rsidRDefault="00014B33" w:rsidP="00852C6D">
      <w:pPr>
        <w:spacing w:line="480" w:lineRule="auto"/>
        <w:rPr>
          <w:b/>
          <w:lang w:val="en-US"/>
        </w:rPr>
      </w:pPr>
      <w:r w:rsidRPr="00014B33">
        <w:rPr>
          <w:b/>
          <w:lang w:val="en-US"/>
        </w:rPr>
        <w:t>Supplemental References</w:t>
      </w:r>
    </w:p>
    <w:p w14:paraId="39492798" w14:textId="199B4DC4" w:rsidR="004E72C6" w:rsidRDefault="004E72C6" w:rsidP="008A1D38">
      <w:pPr>
        <w:spacing w:line="480" w:lineRule="auto"/>
        <w:jc w:val="both"/>
        <w:rPr>
          <w:lang w:val="en-US"/>
        </w:rPr>
      </w:pPr>
      <w:r>
        <w:rPr>
          <w:b/>
          <w:lang w:val="en-US"/>
        </w:rPr>
        <w:t>1</w:t>
      </w:r>
      <w:r>
        <w:rPr>
          <w:lang w:val="en-US"/>
        </w:rPr>
        <w:t xml:space="preserve"> </w:t>
      </w:r>
      <w:r w:rsidRPr="004E72C6">
        <w:rPr>
          <w:lang w:val="en-US"/>
        </w:rPr>
        <w:t xml:space="preserve">Tait BD, </w:t>
      </w:r>
      <w:proofErr w:type="spellStart"/>
      <w:r w:rsidRPr="004E72C6">
        <w:rPr>
          <w:lang w:val="en-US"/>
        </w:rPr>
        <w:t>Süsal</w:t>
      </w:r>
      <w:proofErr w:type="spellEnd"/>
      <w:r w:rsidRPr="004E72C6">
        <w:rPr>
          <w:lang w:val="en-US"/>
        </w:rPr>
        <w:t xml:space="preserve"> C, Gebel HM, Nickerson PW, Zachary AA, </w:t>
      </w:r>
      <w:proofErr w:type="spellStart"/>
      <w:r w:rsidRPr="004E72C6">
        <w:rPr>
          <w:lang w:val="en-US"/>
        </w:rPr>
        <w:t>Claas</w:t>
      </w:r>
      <w:proofErr w:type="spellEnd"/>
      <w:r w:rsidRPr="004E72C6">
        <w:rPr>
          <w:lang w:val="en-US"/>
        </w:rPr>
        <w:t xml:space="preserve"> FH, Reed EF, Bray RA, Campbell P, Chapman JR, Coates PT, Colvin RB, </w:t>
      </w:r>
      <w:proofErr w:type="spellStart"/>
      <w:r w:rsidRPr="004E72C6">
        <w:rPr>
          <w:lang w:val="en-US"/>
        </w:rPr>
        <w:t>Cozzi</w:t>
      </w:r>
      <w:proofErr w:type="spellEnd"/>
      <w:r w:rsidRPr="004E72C6">
        <w:rPr>
          <w:lang w:val="en-US"/>
        </w:rPr>
        <w:t xml:space="preserve"> E, </w:t>
      </w:r>
      <w:proofErr w:type="spellStart"/>
      <w:r w:rsidRPr="004E72C6">
        <w:rPr>
          <w:lang w:val="en-US"/>
        </w:rPr>
        <w:t>Doxiadis</w:t>
      </w:r>
      <w:proofErr w:type="spellEnd"/>
      <w:r w:rsidRPr="004E72C6">
        <w:rPr>
          <w:lang w:val="en-US"/>
        </w:rPr>
        <w:t xml:space="preserve"> II, </w:t>
      </w:r>
      <w:proofErr w:type="spellStart"/>
      <w:r w:rsidRPr="004E72C6">
        <w:rPr>
          <w:lang w:val="en-US"/>
        </w:rPr>
        <w:t>Fuggle</w:t>
      </w:r>
      <w:proofErr w:type="spellEnd"/>
      <w:r w:rsidRPr="004E72C6">
        <w:rPr>
          <w:lang w:val="en-US"/>
        </w:rPr>
        <w:t xml:space="preserve"> SV, Gill J, </w:t>
      </w:r>
      <w:proofErr w:type="spellStart"/>
      <w:r w:rsidRPr="004E72C6">
        <w:rPr>
          <w:lang w:val="en-US"/>
        </w:rPr>
        <w:t>Glotz</w:t>
      </w:r>
      <w:proofErr w:type="spellEnd"/>
      <w:r w:rsidRPr="004E72C6">
        <w:rPr>
          <w:lang w:val="en-US"/>
        </w:rPr>
        <w:t xml:space="preserve"> D, Lachmann N, </w:t>
      </w:r>
      <w:proofErr w:type="spellStart"/>
      <w:r w:rsidRPr="004E72C6">
        <w:rPr>
          <w:lang w:val="en-US"/>
        </w:rPr>
        <w:t>Mohanakumar</w:t>
      </w:r>
      <w:proofErr w:type="spellEnd"/>
      <w:r w:rsidRPr="004E72C6">
        <w:rPr>
          <w:lang w:val="en-US"/>
        </w:rPr>
        <w:t xml:space="preserve"> T, Suciu-</w:t>
      </w:r>
      <w:proofErr w:type="spellStart"/>
      <w:r w:rsidRPr="004E72C6">
        <w:rPr>
          <w:lang w:val="en-US"/>
        </w:rPr>
        <w:t>Foca</w:t>
      </w:r>
      <w:proofErr w:type="spellEnd"/>
      <w:r w:rsidRPr="004E72C6">
        <w:rPr>
          <w:lang w:val="en-US"/>
        </w:rPr>
        <w:t xml:space="preserve"> N, </w:t>
      </w:r>
      <w:proofErr w:type="spellStart"/>
      <w:r w:rsidRPr="004E72C6">
        <w:rPr>
          <w:lang w:val="en-US"/>
        </w:rPr>
        <w:t>Sumitran-Holgersson</w:t>
      </w:r>
      <w:proofErr w:type="spellEnd"/>
      <w:r w:rsidRPr="004E72C6">
        <w:rPr>
          <w:lang w:val="en-US"/>
        </w:rPr>
        <w:t xml:space="preserve"> S, Tanabe K, Taylor CJ, Tyan DB, Webster A, </w:t>
      </w:r>
      <w:proofErr w:type="spellStart"/>
      <w:r w:rsidRPr="004E72C6">
        <w:rPr>
          <w:lang w:val="en-US"/>
        </w:rPr>
        <w:t>Zeevi</w:t>
      </w:r>
      <w:proofErr w:type="spellEnd"/>
      <w:r w:rsidRPr="004E72C6">
        <w:rPr>
          <w:lang w:val="en-US"/>
        </w:rPr>
        <w:t xml:space="preserve"> A, </w:t>
      </w:r>
      <w:proofErr w:type="spellStart"/>
      <w:r w:rsidRPr="004E72C6">
        <w:rPr>
          <w:lang w:val="en-US"/>
        </w:rPr>
        <w:t>Opelz</w:t>
      </w:r>
      <w:proofErr w:type="spellEnd"/>
      <w:r w:rsidRPr="004E72C6">
        <w:rPr>
          <w:lang w:val="en-US"/>
        </w:rPr>
        <w:t xml:space="preserve"> G. Consensus guidelines on the testing and clinical </w:t>
      </w:r>
      <w:r w:rsidRPr="004E72C6">
        <w:rPr>
          <w:lang w:val="en-US"/>
        </w:rPr>
        <w:lastRenderedPageBreak/>
        <w:t xml:space="preserve">management issues associated with HLA and non-HLA antibodies in transplantation. Transplantation. 2013 Jan 15;95(1):19-47. </w:t>
      </w:r>
      <w:proofErr w:type="spellStart"/>
      <w:r w:rsidRPr="004E72C6">
        <w:rPr>
          <w:lang w:val="en-US"/>
        </w:rPr>
        <w:t>doi</w:t>
      </w:r>
      <w:proofErr w:type="spellEnd"/>
      <w:r w:rsidRPr="004E72C6">
        <w:rPr>
          <w:lang w:val="en-US"/>
        </w:rPr>
        <w:t>: 10.1097/TP.0b013e31827a19cc.</w:t>
      </w:r>
    </w:p>
    <w:p w14:paraId="76032095" w14:textId="77777777" w:rsidR="00142F7D" w:rsidRDefault="00142F7D" w:rsidP="008A1D38">
      <w:pPr>
        <w:spacing w:line="480" w:lineRule="auto"/>
        <w:jc w:val="both"/>
        <w:rPr>
          <w:lang w:val="en-US"/>
        </w:rPr>
      </w:pPr>
    </w:p>
    <w:p w14:paraId="2431B27C" w14:textId="7105DFCC" w:rsidR="004E72C6" w:rsidRDefault="004E72C6" w:rsidP="008A1D38">
      <w:pPr>
        <w:spacing w:line="480" w:lineRule="auto"/>
        <w:jc w:val="both"/>
        <w:rPr>
          <w:lang w:val="en-US"/>
        </w:rPr>
      </w:pPr>
      <w:r>
        <w:rPr>
          <w:b/>
          <w:lang w:val="de-DE"/>
        </w:rPr>
        <w:t>2</w:t>
      </w:r>
      <w:r w:rsidRPr="008A1D38">
        <w:rPr>
          <w:b/>
          <w:lang w:val="de-DE"/>
        </w:rPr>
        <w:t xml:space="preserve"> </w:t>
      </w:r>
      <w:proofErr w:type="spellStart"/>
      <w:r w:rsidRPr="008A1D38">
        <w:rPr>
          <w:lang w:val="de-DE"/>
        </w:rPr>
        <w:t>Oellerich</w:t>
      </w:r>
      <w:proofErr w:type="spellEnd"/>
      <w:r w:rsidRPr="008A1D38">
        <w:rPr>
          <w:lang w:val="de-DE"/>
        </w:rPr>
        <w:t xml:space="preserve"> M, </w:t>
      </w:r>
      <w:proofErr w:type="spellStart"/>
      <w:r w:rsidRPr="008A1D38">
        <w:rPr>
          <w:lang w:val="de-DE"/>
        </w:rPr>
        <w:t>Shipkova</w:t>
      </w:r>
      <w:proofErr w:type="spellEnd"/>
      <w:r w:rsidRPr="008A1D38">
        <w:rPr>
          <w:lang w:val="de-DE"/>
        </w:rPr>
        <w:t xml:space="preserve"> M, Asendorf T, et al. </w:t>
      </w:r>
      <w:r w:rsidRPr="008A1D38">
        <w:rPr>
          <w:lang w:val="en-US"/>
        </w:rPr>
        <w:t xml:space="preserve">Absolute quantification of donor-derived cell-free DNA as a marker of rejection and graft injury in kidney transplantation: results from a prospective observational study. Am J Transplant. </w:t>
      </w:r>
      <w:proofErr w:type="gramStart"/>
      <w:r w:rsidRPr="008A1D38">
        <w:rPr>
          <w:lang w:val="en-US"/>
        </w:rPr>
        <w:t>2019;19:3087</w:t>
      </w:r>
      <w:proofErr w:type="gramEnd"/>
      <w:r w:rsidRPr="008A1D38">
        <w:rPr>
          <w:lang w:val="en-US"/>
        </w:rPr>
        <w:t>–3099.</w:t>
      </w:r>
    </w:p>
    <w:p w14:paraId="09679611" w14:textId="77777777" w:rsidR="00142F7D" w:rsidRPr="004E72C6" w:rsidRDefault="00142F7D" w:rsidP="008A1D38">
      <w:pPr>
        <w:spacing w:line="480" w:lineRule="auto"/>
        <w:jc w:val="both"/>
        <w:rPr>
          <w:lang w:val="en-US"/>
        </w:rPr>
      </w:pPr>
    </w:p>
    <w:p w14:paraId="76D7DB76" w14:textId="6BB673BF" w:rsidR="00142F7D" w:rsidRDefault="004E72C6" w:rsidP="008A1D38">
      <w:pPr>
        <w:spacing w:line="480" w:lineRule="auto"/>
        <w:jc w:val="both"/>
        <w:rPr>
          <w:highlight w:val="white"/>
          <w:lang w:val="en-US"/>
        </w:rPr>
      </w:pPr>
      <w:r>
        <w:rPr>
          <w:b/>
          <w:highlight w:val="white"/>
          <w:lang w:val="en-US"/>
        </w:rPr>
        <w:t>3</w:t>
      </w:r>
      <w:r w:rsidR="00014B33" w:rsidRPr="008A1D38">
        <w:rPr>
          <w:b/>
          <w:highlight w:val="white"/>
          <w:lang w:val="en-US"/>
        </w:rPr>
        <w:t xml:space="preserve"> </w:t>
      </w:r>
      <w:r w:rsidR="00855CA9" w:rsidRPr="003520D7">
        <w:rPr>
          <w:highlight w:val="white"/>
          <w:lang w:val="en-US"/>
        </w:rPr>
        <w:t xml:space="preserve">Inker LA, </w:t>
      </w:r>
      <w:proofErr w:type="spellStart"/>
      <w:r w:rsidR="00855CA9" w:rsidRPr="003520D7">
        <w:rPr>
          <w:highlight w:val="white"/>
          <w:lang w:val="en-US"/>
        </w:rPr>
        <w:t>Eneanya</w:t>
      </w:r>
      <w:proofErr w:type="spellEnd"/>
      <w:r w:rsidR="00855CA9" w:rsidRPr="003520D7">
        <w:rPr>
          <w:highlight w:val="white"/>
          <w:lang w:val="en-US"/>
        </w:rPr>
        <w:t xml:space="preserve"> ND, Coresh J, </w:t>
      </w:r>
      <w:proofErr w:type="spellStart"/>
      <w:r w:rsidR="00855CA9" w:rsidRPr="003520D7">
        <w:rPr>
          <w:highlight w:val="white"/>
          <w:lang w:val="en-US"/>
        </w:rPr>
        <w:t>Tighiouart</w:t>
      </w:r>
      <w:proofErr w:type="spellEnd"/>
      <w:r w:rsidR="00855CA9" w:rsidRPr="003520D7">
        <w:rPr>
          <w:highlight w:val="white"/>
          <w:lang w:val="en-US"/>
        </w:rPr>
        <w:t xml:space="preserve"> H, Wang D, Sang Y, Crews DC, </w:t>
      </w:r>
      <w:proofErr w:type="spellStart"/>
      <w:r w:rsidR="00855CA9" w:rsidRPr="003520D7">
        <w:rPr>
          <w:highlight w:val="white"/>
          <w:lang w:val="en-US"/>
        </w:rPr>
        <w:t>Doria</w:t>
      </w:r>
      <w:proofErr w:type="spellEnd"/>
      <w:r w:rsidR="00855CA9" w:rsidRPr="003520D7">
        <w:rPr>
          <w:highlight w:val="white"/>
          <w:lang w:val="en-US"/>
        </w:rPr>
        <w:t xml:space="preserve"> A, Estrella MM, Froissart M, Grams ME, Greene T, Grubb A, </w:t>
      </w:r>
      <w:proofErr w:type="spellStart"/>
      <w:r w:rsidR="00855CA9" w:rsidRPr="003520D7">
        <w:rPr>
          <w:highlight w:val="white"/>
          <w:lang w:val="en-US"/>
        </w:rPr>
        <w:t>Gudnason</w:t>
      </w:r>
      <w:proofErr w:type="spellEnd"/>
      <w:r w:rsidR="00855CA9" w:rsidRPr="003520D7">
        <w:rPr>
          <w:highlight w:val="white"/>
          <w:lang w:val="en-US"/>
        </w:rPr>
        <w:t xml:space="preserve"> V, Gutiérrez OM, </w:t>
      </w:r>
      <w:proofErr w:type="spellStart"/>
      <w:r w:rsidR="00855CA9" w:rsidRPr="003520D7">
        <w:rPr>
          <w:highlight w:val="white"/>
          <w:lang w:val="en-US"/>
        </w:rPr>
        <w:t>Kalil</w:t>
      </w:r>
      <w:proofErr w:type="spellEnd"/>
      <w:r w:rsidR="00855CA9" w:rsidRPr="003520D7">
        <w:rPr>
          <w:highlight w:val="white"/>
          <w:lang w:val="en-US"/>
        </w:rPr>
        <w:t xml:space="preserve"> R, Karger AB, Mauer M, Navis G, Nelson RG, </w:t>
      </w:r>
      <w:proofErr w:type="spellStart"/>
      <w:r w:rsidR="00855CA9" w:rsidRPr="003520D7">
        <w:rPr>
          <w:highlight w:val="white"/>
          <w:lang w:val="en-US"/>
        </w:rPr>
        <w:t>Poggio</w:t>
      </w:r>
      <w:proofErr w:type="spellEnd"/>
      <w:r w:rsidR="00855CA9" w:rsidRPr="003520D7">
        <w:rPr>
          <w:highlight w:val="white"/>
          <w:lang w:val="en-US"/>
        </w:rPr>
        <w:t xml:space="preserve"> ED, </w:t>
      </w:r>
      <w:proofErr w:type="spellStart"/>
      <w:r w:rsidR="00855CA9" w:rsidRPr="003520D7">
        <w:rPr>
          <w:highlight w:val="white"/>
          <w:lang w:val="en-US"/>
        </w:rPr>
        <w:t>Rodby</w:t>
      </w:r>
      <w:proofErr w:type="spellEnd"/>
      <w:r w:rsidR="00855CA9" w:rsidRPr="003520D7">
        <w:rPr>
          <w:highlight w:val="white"/>
          <w:lang w:val="en-US"/>
        </w:rPr>
        <w:t xml:space="preserve"> R, </w:t>
      </w:r>
      <w:proofErr w:type="spellStart"/>
      <w:r w:rsidR="00855CA9" w:rsidRPr="003520D7">
        <w:rPr>
          <w:highlight w:val="white"/>
          <w:lang w:val="en-US"/>
        </w:rPr>
        <w:t>Rossing</w:t>
      </w:r>
      <w:proofErr w:type="spellEnd"/>
      <w:r w:rsidR="00855CA9" w:rsidRPr="003520D7">
        <w:rPr>
          <w:highlight w:val="white"/>
          <w:lang w:val="en-US"/>
        </w:rPr>
        <w:t xml:space="preserve"> P, Rule AD, Selvin E, </w:t>
      </w:r>
      <w:proofErr w:type="spellStart"/>
      <w:r w:rsidR="00855CA9" w:rsidRPr="003520D7">
        <w:rPr>
          <w:highlight w:val="white"/>
          <w:lang w:val="en-US"/>
        </w:rPr>
        <w:t>Seegmiller</w:t>
      </w:r>
      <w:proofErr w:type="spellEnd"/>
      <w:r w:rsidR="00855CA9" w:rsidRPr="003520D7">
        <w:rPr>
          <w:highlight w:val="white"/>
          <w:lang w:val="en-US"/>
        </w:rPr>
        <w:t xml:space="preserve"> JC, </w:t>
      </w:r>
      <w:proofErr w:type="spellStart"/>
      <w:r w:rsidR="00855CA9" w:rsidRPr="003520D7">
        <w:rPr>
          <w:highlight w:val="white"/>
          <w:lang w:val="en-US"/>
        </w:rPr>
        <w:t>Shlipak</w:t>
      </w:r>
      <w:proofErr w:type="spellEnd"/>
      <w:r w:rsidR="00855CA9" w:rsidRPr="003520D7">
        <w:rPr>
          <w:highlight w:val="white"/>
          <w:lang w:val="en-US"/>
        </w:rPr>
        <w:t xml:space="preserve"> MG, Torres VE, Yang W, Ballew SH, Couture SJ, </w:t>
      </w:r>
      <w:proofErr w:type="spellStart"/>
      <w:r w:rsidR="00855CA9" w:rsidRPr="003520D7">
        <w:rPr>
          <w:highlight w:val="white"/>
          <w:lang w:val="en-US"/>
        </w:rPr>
        <w:t>Powe</w:t>
      </w:r>
      <w:proofErr w:type="spellEnd"/>
      <w:r w:rsidR="00855CA9" w:rsidRPr="003520D7">
        <w:rPr>
          <w:highlight w:val="white"/>
          <w:lang w:val="en-US"/>
        </w:rPr>
        <w:t xml:space="preserve"> NR, Levey AS; Chronic Kidney Disease Epidemiology Collaboration. New Creatinine- and Cystatin C-Based Equations to Estimate GFR without Race. N </w:t>
      </w:r>
      <w:proofErr w:type="spellStart"/>
      <w:r w:rsidR="00855CA9" w:rsidRPr="003520D7">
        <w:rPr>
          <w:highlight w:val="white"/>
          <w:lang w:val="en-US"/>
        </w:rPr>
        <w:t>Engl</w:t>
      </w:r>
      <w:proofErr w:type="spellEnd"/>
      <w:r w:rsidR="00855CA9" w:rsidRPr="003520D7">
        <w:rPr>
          <w:highlight w:val="white"/>
          <w:lang w:val="en-US"/>
        </w:rPr>
        <w:t xml:space="preserve"> J Med. 2021 Nov 4;385(19):1737-1749. </w:t>
      </w:r>
      <w:proofErr w:type="spellStart"/>
      <w:r w:rsidR="00855CA9" w:rsidRPr="003520D7">
        <w:rPr>
          <w:highlight w:val="white"/>
          <w:lang w:val="en-US"/>
        </w:rPr>
        <w:t>doi</w:t>
      </w:r>
      <w:proofErr w:type="spellEnd"/>
      <w:r w:rsidR="00855CA9" w:rsidRPr="003520D7">
        <w:rPr>
          <w:highlight w:val="white"/>
          <w:lang w:val="en-US"/>
        </w:rPr>
        <w:t xml:space="preserve">: 10.1056/NEJMoa2102953. </w:t>
      </w:r>
      <w:proofErr w:type="spellStart"/>
      <w:r w:rsidR="00855CA9" w:rsidRPr="003520D7">
        <w:rPr>
          <w:highlight w:val="white"/>
          <w:lang w:val="en-US"/>
        </w:rPr>
        <w:t>Epub</w:t>
      </w:r>
      <w:proofErr w:type="spellEnd"/>
      <w:r w:rsidR="00855CA9" w:rsidRPr="003520D7">
        <w:rPr>
          <w:highlight w:val="white"/>
          <w:lang w:val="en-US"/>
        </w:rPr>
        <w:t xml:space="preserve"> 2021 Sep 23. PMID: 34554658; PMCID: PMC8822996.</w:t>
      </w:r>
      <w:r w:rsidR="00855CA9" w:rsidRPr="003520D7">
        <w:rPr>
          <w:highlight w:val="white"/>
          <w:lang w:val="en-US"/>
        </w:rPr>
        <w:t xml:space="preserve"> </w:t>
      </w:r>
    </w:p>
    <w:p w14:paraId="51834911" w14:textId="77777777" w:rsidR="00855CA9" w:rsidRPr="003520D7" w:rsidRDefault="00855CA9" w:rsidP="008A1D38">
      <w:pPr>
        <w:spacing w:line="480" w:lineRule="auto"/>
        <w:jc w:val="both"/>
        <w:rPr>
          <w:highlight w:val="white"/>
          <w:lang w:val="en-US"/>
        </w:rPr>
      </w:pPr>
    </w:p>
    <w:p w14:paraId="128D1EFB" w14:textId="1E0A7B62" w:rsidR="00142F7D" w:rsidRDefault="004E72C6" w:rsidP="00855CA9">
      <w:pPr>
        <w:spacing w:line="480" w:lineRule="auto"/>
        <w:jc w:val="both"/>
        <w:rPr>
          <w:highlight w:val="white"/>
          <w:lang w:val="en-US"/>
        </w:rPr>
      </w:pPr>
      <w:r>
        <w:rPr>
          <w:b/>
          <w:highlight w:val="white"/>
          <w:lang w:val="en-US"/>
        </w:rPr>
        <w:t>4</w:t>
      </w:r>
      <w:r w:rsidR="00164751" w:rsidRPr="00A00474">
        <w:rPr>
          <w:b/>
          <w:highlight w:val="white"/>
          <w:lang w:val="en-US"/>
        </w:rPr>
        <w:t xml:space="preserve"> </w:t>
      </w:r>
      <w:r w:rsidR="00855CA9" w:rsidRPr="008A1D38">
        <w:rPr>
          <w:highlight w:val="white"/>
          <w:lang w:val="en-US"/>
        </w:rPr>
        <w:t xml:space="preserve">Lachmann N, Niemann M, Reinke P, Budde K, Schmidt D, Halleck F, </w:t>
      </w:r>
      <w:proofErr w:type="spellStart"/>
      <w:r w:rsidR="00855CA9" w:rsidRPr="008A1D38">
        <w:rPr>
          <w:highlight w:val="white"/>
          <w:lang w:val="en-US"/>
        </w:rPr>
        <w:t>Pruß</w:t>
      </w:r>
      <w:proofErr w:type="spellEnd"/>
      <w:r w:rsidR="00855CA9" w:rsidRPr="008A1D38">
        <w:rPr>
          <w:highlight w:val="white"/>
          <w:lang w:val="en-US"/>
        </w:rPr>
        <w:t xml:space="preserve"> A, </w:t>
      </w:r>
      <w:proofErr w:type="spellStart"/>
      <w:r w:rsidR="00855CA9" w:rsidRPr="008A1D38">
        <w:rPr>
          <w:highlight w:val="white"/>
          <w:lang w:val="en-US"/>
        </w:rPr>
        <w:t>Schönemann</w:t>
      </w:r>
      <w:proofErr w:type="spellEnd"/>
      <w:r w:rsidR="00855CA9" w:rsidRPr="008A1D38">
        <w:rPr>
          <w:highlight w:val="white"/>
          <w:lang w:val="en-US"/>
        </w:rPr>
        <w:t xml:space="preserve"> </w:t>
      </w:r>
      <w:r w:rsidR="00855CA9" w:rsidRPr="003520D7">
        <w:rPr>
          <w:highlight w:val="white"/>
          <w:lang w:val="en-US"/>
        </w:rPr>
        <w:t xml:space="preserve">C, </w:t>
      </w:r>
      <w:proofErr w:type="spellStart"/>
      <w:r w:rsidR="00855CA9" w:rsidRPr="003520D7">
        <w:rPr>
          <w:highlight w:val="white"/>
          <w:lang w:val="en-US"/>
        </w:rPr>
        <w:t>Spierings</w:t>
      </w:r>
      <w:proofErr w:type="spellEnd"/>
      <w:r w:rsidR="00855CA9" w:rsidRPr="003520D7">
        <w:rPr>
          <w:highlight w:val="white"/>
          <w:lang w:val="en-US"/>
        </w:rPr>
        <w:t xml:space="preserve"> E, </w:t>
      </w:r>
      <w:proofErr w:type="spellStart"/>
      <w:r w:rsidR="00855CA9" w:rsidRPr="003520D7">
        <w:rPr>
          <w:highlight w:val="white"/>
          <w:lang w:val="en-US"/>
        </w:rPr>
        <w:t>Staeck</w:t>
      </w:r>
      <w:proofErr w:type="spellEnd"/>
      <w:r w:rsidR="00855CA9" w:rsidRPr="003520D7">
        <w:rPr>
          <w:highlight w:val="white"/>
          <w:lang w:val="en-US"/>
        </w:rPr>
        <w:t xml:space="preserve"> O. Donor-Recipient Matching Based on Predicted Indirectly Recognizable HLA Epitopes Independently Predicts the Incidence of De Novo Donor-Specific HLA Antibodies Following Renal Transplantation. Am J Transplant. 2017 Dec;17(12):3076-3086. </w:t>
      </w:r>
      <w:proofErr w:type="spellStart"/>
      <w:r w:rsidR="00855CA9" w:rsidRPr="003520D7">
        <w:rPr>
          <w:highlight w:val="white"/>
          <w:lang w:val="en-US"/>
        </w:rPr>
        <w:t>doi</w:t>
      </w:r>
      <w:proofErr w:type="spellEnd"/>
      <w:r w:rsidR="00855CA9" w:rsidRPr="003520D7">
        <w:rPr>
          <w:highlight w:val="white"/>
          <w:lang w:val="en-US"/>
        </w:rPr>
        <w:t xml:space="preserve">: 10.1111/ajt.14393. </w:t>
      </w:r>
      <w:proofErr w:type="spellStart"/>
      <w:r w:rsidR="00855CA9" w:rsidRPr="003520D7">
        <w:rPr>
          <w:highlight w:val="white"/>
          <w:lang w:val="en-US"/>
        </w:rPr>
        <w:t>Epub</w:t>
      </w:r>
      <w:proofErr w:type="spellEnd"/>
      <w:r w:rsidR="00855CA9" w:rsidRPr="003520D7">
        <w:rPr>
          <w:highlight w:val="white"/>
          <w:lang w:val="en-US"/>
        </w:rPr>
        <w:t xml:space="preserve"> 2017 Jul 28. PMID: 28613392.</w:t>
      </w:r>
    </w:p>
    <w:p w14:paraId="132C2E8E" w14:textId="77777777" w:rsidR="00855CA9" w:rsidRPr="00855CA9" w:rsidRDefault="00855CA9" w:rsidP="00855CA9">
      <w:pPr>
        <w:spacing w:line="480" w:lineRule="auto"/>
        <w:jc w:val="both"/>
        <w:rPr>
          <w:highlight w:val="white"/>
          <w:lang w:val="en-US"/>
        </w:rPr>
      </w:pPr>
    </w:p>
    <w:p w14:paraId="682C3DB8" w14:textId="4FD2B1F8" w:rsidR="002D498F" w:rsidRDefault="004E72C6" w:rsidP="008A1D38">
      <w:pPr>
        <w:spacing w:line="480" w:lineRule="auto"/>
        <w:jc w:val="both"/>
        <w:rPr>
          <w:highlight w:val="white"/>
          <w:lang w:val="en-US"/>
        </w:rPr>
      </w:pPr>
      <w:r>
        <w:rPr>
          <w:b/>
          <w:highlight w:val="white"/>
          <w:lang w:val="en-US"/>
        </w:rPr>
        <w:t>5</w:t>
      </w:r>
      <w:r w:rsidR="002D498F" w:rsidRPr="00A00474">
        <w:rPr>
          <w:b/>
          <w:highlight w:val="white"/>
          <w:lang w:val="en-US"/>
        </w:rPr>
        <w:t xml:space="preserve"> </w:t>
      </w:r>
      <w:proofErr w:type="spellStart"/>
      <w:r w:rsidR="002D498F" w:rsidRPr="003520D7">
        <w:rPr>
          <w:highlight w:val="white"/>
          <w:lang w:val="en-US"/>
        </w:rPr>
        <w:t>Schinstock</w:t>
      </w:r>
      <w:proofErr w:type="spellEnd"/>
      <w:r w:rsidR="002D498F" w:rsidRPr="003520D7">
        <w:rPr>
          <w:highlight w:val="white"/>
          <w:lang w:val="en-US"/>
        </w:rPr>
        <w:t xml:space="preserve"> CA, </w:t>
      </w:r>
      <w:proofErr w:type="spellStart"/>
      <w:r w:rsidR="002D498F" w:rsidRPr="003520D7">
        <w:rPr>
          <w:highlight w:val="white"/>
          <w:lang w:val="en-US"/>
        </w:rPr>
        <w:t>Cosio</w:t>
      </w:r>
      <w:proofErr w:type="spellEnd"/>
      <w:r w:rsidR="002D498F" w:rsidRPr="003520D7">
        <w:rPr>
          <w:highlight w:val="white"/>
          <w:lang w:val="en-US"/>
        </w:rPr>
        <w:t xml:space="preserve"> F, </w:t>
      </w:r>
      <w:proofErr w:type="spellStart"/>
      <w:r w:rsidR="002D498F" w:rsidRPr="003520D7">
        <w:rPr>
          <w:highlight w:val="white"/>
          <w:lang w:val="en-US"/>
        </w:rPr>
        <w:t>Cheungpasitporn</w:t>
      </w:r>
      <w:proofErr w:type="spellEnd"/>
      <w:r w:rsidR="002D498F" w:rsidRPr="003520D7">
        <w:rPr>
          <w:highlight w:val="white"/>
          <w:lang w:val="en-US"/>
        </w:rPr>
        <w:t xml:space="preserve"> W, </w:t>
      </w:r>
      <w:proofErr w:type="spellStart"/>
      <w:r w:rsidR="002D498F" w:rsidRPr="003520D7">
        <w:rPr>
          <w:highlight w:val="white"/>
          <w:lang w:val="en-US"/>
        </w:rPr>
        <w:t>Dadhania</w:t>
      </w:r>
      <w:proofErr w:type="spellEnd"/>
      <w:r w:rsidR="002D498F" w:rsidRPr="003520D7">
        <w:rPr>
          <w:highlight w:val="white"/>
          <w:lang w:val="en-US"/>
        </w:rPr>
        <w:t xml:space="preserve"> DM, Everly MJ, Samaniego-</w:t>
      </w:r>
      <w:proofErr w:type="spellStart"/>
      <w:r w:rsidR="002D498F" w:rsidRPr="003520D7">
        <w:rPr>
          <w:highlight w:val="white"/>
          <w:lang w:val="en-US"/>
        </w:rPr>
        <w:t>Picota</w:t>
      </w:r>
      <w:proofErr w:type="spellEnd"/>
      <w:r w:rsidR="002D498F" w:rsidRPr="003520D7">
        <w:rPr>
          <w:highlight w:val="white"/>
          <w:lang w:val="en-US"/>
        </w:rPr>
        <w:t xml:space="preserve"> MD, Cornell L, Stegall MD. The Value of Protocol Biopsies to Identify Patients With De Novo Donor-Specific Antibody at High Risk for Allograft Loss. Am J Transplant. 2017 Jun;17(6):1574-1584. </w:t>
      </w:r>
      <w:proofErr w:type="spellStart"/>
      <w:r w:rsidR="002D498F" w:rsidRPr="003520D7">
        <w:rPr>
          <w:highlight w:val="white"/>
          <w:lang w:val="en-US"/>
        </w:rPr>
        <w:t>doi</w:t>
      </w:r>
      <w:proofErr w:type="spellEnd"/>
      <w:r w:rsidR="002D498F" w:rsidRPr="003520D7">
        <w:rPr>
          <w:highlight w:val="white"/>
          <w:lang w:val="en-US"/>
        </w:rPr>
        <w:t xml:space="preserve">: 10.1111/ajt.14161. </w:t>
      </w:r>
      <w:proofErr w:type="spellStart"/>
      <w:r w:rsidR="002D498F" w:rsidRPr="003520D7">
        <w:rPr>
          <w:highlight w:val="white"/>
          <w:lang w:val="en-US"/>
        </w:rPr>
        <w:t>Epub</w:t>
      </w:r>
      <w:proofErr w:type="spellEnd"/>
      <w:r w:rsidR="002D498F" w:rsidRPr="003520D7">
        <w:rPr>
          <w:highlight w:val="white"/>
          <w:lang w:val="en-US"/>
        </w:rPr>
        <w:t xml:space="preserve"> 2017 Jan 25. PMID: 27977905; PMCID: PMC5445019.</w:t>
      </w:r>
    </w:p>
    <w:p w14:paraId="610246E4" w14:textId="77777777" w:rsidR="00855CA9" w:rsidRPr="003520D7" w:rsidRDefault="00855CA9" w:rsidP="008A1D38">
      <w:pPr>
        <w:spacing w:line="480" w:lineRule="auto"/>
        <w:jc w:val="both"/>
        <w:rPr>
          <w:highlight w:val="white"/>
          <w:lang w:val="en-US"/>
        </w:rPr>
      </w:pPr>
    </w:p>
    <w:p w14:paraId="47000E2A" w14:textId="4AEA445F" w:rsidR="002D498F" w:rsidRDefault="004E72C6" w:rsidP="008A1D38">
      <w:pPr>
        <w:spacing w:line="480" w:lineRule="auto"/>
        <w:rPr>
          <w:lang w:val="en-US"/>
        </w:rPr>
      </w:pPr>
      <w:r>
        <w:rPr>
          <w:b/>
          <w:lang w:val="en-US"/>
        </w:rPr>
        <w:lastRenderedPageBreak/>
        <w:t xml:space="preserve">6 </w:t>
      </w:r>
      <w:r w:rsidR="00A00474" w:rsidRPr="00A00474">
        <w:rPr>
          <w:lang w:val="en-US"/>
        </w:rPr>
        <w:t xml:space="preserve">Huang E, </w:t>
      </w:r>
      <w:proofErr w:type="spellStart"/>
      <w:r w:rsidR="00A00474" w:rsidRPr="00A00474">
        <w:rPr>
          <w:lang w:val="en-US"/>
        </w:rPr>
        <w:t>Sethi</w:t>
      </w:r>
      <w:proofErr w:type="spellEnd"/>
      <w:r w:rsidR="00A00474" w:rsidRPr="00A00474">
        <w:rPr>
          <w:lang w:val="en-US"/>
        </w:rPr>
        <w:t xml:space="preserve"> S, Peng A, Najjar R, Mirocha J, Haas M, Vo A, Jordan SC. Early clinical experience using donor-derived cell-free DNA to detect rejection in kidney transplant recipients. Am J Transplant. 2019 Jun;19(6):16</w:t>
      </w:r>
      <w:r w:rsidR="00A00474" w:rsidRPr="00295B0F">
        <w:rPr>
          <w:vertAlign w:val="superscript"/>
          <w:lang w:val="en-US"/>
        </w:rPr>
        <w:t>6</w:t>
      </w:r>
      <w:r w:rsidR="00A00474" w:rsidRPr="00A00474">
        <w:rPr>
          <w:lang w:val="en-US"/>
        </w:rPr>
        <w:t xml:space="preserve">3-1670. </w:t>
      </w:r>
      <w:proofErr w:type="spellStart"/>
      <w:r w:rsidR="00A00474" w:rsidRPr="00A00474">
        <w:rPr>
          <w:lang w:val="en-US"/>
        </w:rPr>
        <w:t>doi</w:t>
      </w:r>
      <w:proofErr w:type="spellEnd"/>
      <w:r w:rsidR="00A00474" w:rsidRPr="00A00474">
        <w:rPr>
          <w:lang w:val="en-US"/>
        </w:rPr>
        <w:t xml:space="preserve">: 10.1111/ajt.15289. </w:t>
      </w:r>
      <w:proofErr w:type="spellStart"/>
      <w:r w:rsidR="00A00474" w:rsidRPr="00A00474">
        <w:rPr>
          <w:lang w:val="en-US"/>
        </w:rPr>
        <w:t>Epub</w:t>
      </w:r>
      <w:proofErr w:type="spellEnd"/>
      <w:r w:rsidR="00A00474" w:rsidRPr="00A00474">
        <w:rPr>
          <w:lang w:val="en-US"/>
        </w:rPr>
        <w:t xml:space="preserve"> 2019 Mar 29. PMID: 30725531.</w:t>
      </w:r>
    </w:p>
    <w:p w14:paraId="184DCB67" w14:textId="77777777" w:rsidR="00142F7D" w:rsidRDefault="00142F7D" w:rsidP="008A1D38">
      <w:pPr>
        <w:spacing w:line="480" w:lineRule="auto"/>
        <w:rPr>
          <w:lang w:val="en-US"/>
        </w:rPr>
      </w:pPr>
    </w:p>
    <w:p w14:paraId="5298DC37" w14:textId="148FCD71" w:rsidR="00A00474" w:rsidRDefault="004E72C6" w:rsidP="00164751">
      <w:pPr>
        <w:spacing w:line="480" w:lineRule="auto"/>
        <w:rPr>
          <w:lang w:val="en-US"/>
        </w:rPr>
      </w:pPr>
      <w:r>
        <w:rPr>
          <w:b/>
          <w:lang w:val="en-US"/>
        </w:rPr>
        <w:t>7</w:t>
      </w:r>
      <w:r w:rsidR="00A00474" w:rsidRPr="00A00474">
        <w:rPr>
          <w:b/>
          <w:lang w:val="en-US"/>
        </w:rPr>
        <w:t xml:space="preserve"> </w:t>
      </w:r>
      <w:r w:rsidR="00A00474" w:rsidRPr="00A00474">
        <w:rPr>
          <w:lang w:val="en-US"/>
        </w:rPr>
        <w:t xml:space="preserve">Jordan SC, </w:t>
      </w:r>
      <w:proofErr w:type="spellStart"/>
      <w:r w:rsidR="00A00474" w:rsidRPr="00A00474">
        <w:rPr>
          <w:lang w:val="en-US"/>
        </w:rPr>
        <w:t>Bunnapradist</w:t>
      </w:r>
      <w:proofErr w:type="spellEnd"/>
      <w:r w:rsidR="00A00474" w:rsidRPr="00A00474">
        <w:rPr>
          <w:lang w:val="en-US"/>
        </w:rPr>
        <w:t xml:space="preserve"> S, Bromberg JS, Langone AJ, Hiller D, Yee JP, </w:t>
      </w:r>
      <w:proofErr w:type="spellStart"/>
      <w:r w:rsidR="00A00474" w:rsidRPr="00A00474">
        <w:rPr>
          <w:lang w:val="en-US"/>
        </w:rPr>
        <w:t>Sninsky</w:t>
      </w:r>
      <w:proofErr w:type="spellEnd"/>
      <w:r w:rsidR="00A00474" w:rsidRPr="00A00474">
        <w:rPr>
          <w:lang w:val="en-US"/>
        </w:rPr>
        <w:t xml:space="preserve"> JJ, Woodward RN, Matas AJ. Donor-derived Cell-free DNA Identifies Antibody-mediated Rejection in Donor Specific Antibody Positive Kidney Transplant Recipients. </w:t>
      </w:r>
      <w:r w:rsidR="00A00474" w:rsidRPr="00A00474">
        <w:rPr>
          <w:lang w:val="de-DE"/>
        </w:rPr>
        <w:t xml:space="preserve">Transplant </w:t>
      </w:r>
      <w:proofErr w:type="spellStart"/>
      <w:r w:rsidR="00A00474" w:rsidRPr="00A00474">
        <w:rPr>
          <w:lang w:val="de-DE"/>
        </w:rPr>
        <w:t>Direct</w:t>
      </w:r>
      <w:proofErr w:type="spellEnd"/>
      <w:r w:rsidR="00A00474" w:rsidRPr="00A00474">
        <w:rPr>
          <w:lang w:val="de-DE"/>
        </w:rPr>
        <w:t>. 2018 Aug 20;4(9</w:t>
      </w:r>
      <w:proofErr w:type="gramStart"/>
      <w:r w:rsidR="00A00474" w:rsidRPr="00A00474">
        <w:rPr>
          <w:lang w:val="de-DE"/>
        </w:rPr>
        <w:t>):e</w:t>
      </w:r>
      <w:proofErr w:type="gramEnd"/>
      <w:r w:rsidR="00A00474" w:rsidRPr="00A00474">
        <w:rPr>
          <w:lang w:val="de-DE"/>
        </w:rPr>
        <w:t xml:space="preserve">379. </w:t>
      </w:r>
      <w:proofErr w:type="spellStart"/>
      <w:r w:rsidR="00A00474" w:rsidRPr="00A00474">
        <w:rPr>
          <w:lang w:val="de-DE"/>
        </w:rPr>
        <w:t>do</w:t>
      </w:r>
      <w:r w:rsidR="005D5BDE">
        <w:rPr>
          <w:lang w:val="de-DE"/>
        </w:rPr>
        <w:t>i</w:t>
      </w:r>
      <w:proofErr w:type="spellEnd"/>
      <w:r w:rsidR="005D5BDE">
        <w:rPr>
          <w:lang w:val="de-DE"/>
        </w:rPr>
        <w:t>: 10.1097/TXD.0000000000000821</w:t>
      </w:r>
    </w:p>
    <w:p w14:paraId="23C35C99" w14:textId="77777777" w:rsidR="00A00474" w:rsidRPr="00014B33" w:rsidRDefault="00A00474" w:rsidP="00164751">
      <w:pPr>
        <w:spacing w:line="480" w:lineRule="auto"/>
        <w:rPr>
          <w:lang w:val="en-US"/>
        </w:rPr>
      </w:pPr>
    </w:p>
    <w:sectPr w:rsidR="00A00474" w:rsidRPr="00014B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326FD"/>
    <w:multiLevelType w:val="multilevel"/>
    <w:tmpl w:val="DC040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F7797A"/>
    <w:multiLevelType w:val="multilevel"/>
    <w:tmpl w:val="FA005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F8303E"/>
    <w:multiLevelType w:val="multilevel"/>
    <w:tmpl w:val="F2F2C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C32A02"/>
    <w:multiLevelType w:val="multilevel"/>
    <w:tmpl w:val="A0F68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A62E9C"/>
    <w:multiLevelType w:val="multilevel"/>
    <w:tmpl w:val="7FDE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activeWritingStyle w:appName="MSWord" w:lang="it-IT"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6D"/>
    <w:rsid w:val="00014B33"/>
    <w:rsid w:val="00042DED"/>
    <w:rsid w:val="00097ADB"/>
    <w:rsid w:val="000A3A9B"/>
    <w:rsid w:val="000D3B71"/>
    <w:rsid w:val="000F43E2"/>
    <w:rsid w:val="000F4C91"/>
    <w:rsid w:val="00110E00"/>
    <w:rsid w:val="001122DC"/>
    <w:rsid w:val="00120D3F"/>
    <w:rsid w:val="00142F7D"/>
    <w:rsid w:val="00144A4D"/>
    <w:rsid w:val="0014765D"/>
    <w:rsid w:val="00164751"/>
    <w:rsid w:val="00177B71"/>
    <w:rsid w:val="001A7F06"/>
    <w:rsid w:val="001B4BB3"/>
    <w:rsid w:val="001E1A15"/>
    <w:rsid w:val="0022050F"/>
    <w:rsid w:val="0022094F"/>
    <w:rsid w:val="0023529B"/>
    <w:rsid w:val="00295B0F"/>
    <w:rsid w:val="002D498F"/>
    <w:rsid w:val="00367C51"/>
    <w:rsid w:val="0039160A"/>
    <w:rsid w:val="00391F8A"/>
    <w:rsid w:val="003A20C3"/>
    <w:rsid w:val="003C2E73"/>
    <w:rsid w:val="00413626"/>
    <w:rsid w:val="00473C54"/>
    <w:rsid w:val="004A37ED"/>
    <w:rsid w:val="004E72C6"/>
    <w:rsid w:val="0051129A"/>
    <w:rsid w:val="0057096F"/>
    <w:rsid w:val="00583978"/>
    <w:rsid w:val="005D3DDE"/>
    <w:rsid w:val="005D5BDE"/>
    <w:rsid w:val="00621416"/>
    <w:rsid w:val="00622A71"/>
    <w:rsid w:val="0065383F"/>
    <w:rsid w:val="006562B6"/>
    <w:rsid w:val="006A2EAC"/>
    <w:rsid w:val="006A3DD5"/>
    <w:rsid w:val="006D0D94"/>
    <w:rsid w:val="007053DB"/>
    <w:rsid w:val="00722B17"/>
    <w:rsid w:val="00767F73"/>
    <w:rsid w:val="007B1BB9"/>
    <w:rsid w:val="00852C6D"/>
    <w:rsid w:val="00855CA9"/>
    <w:rsid w:val="008A1D38"/>
    <w:rsid w:val="009641DC"/>
    <w:rsid w:val="009B3F7F"/>
    <w:rsid w:val="009E45A3"/>
    <w:rsid w:val="009E7F9B"/>
    <w:rsid w:val="00A00474"/>
    <w:rsid w:val="00A76F24"/>
    <w:rsid w:val="00A9465B"/>
    <w:rsid w:val="00AA0ADD"/>
    <w:rsid w:val="00AB491A"/>
    <w:rsid w:val="00B05F81"/>
    <w:rsid w:val="00B136F0"/>
    <w:rsid w:val="00B211D3"/>
    <w:rsid w:val="00B45F1B"/>
    <w:rsid w:val="00B524A4"/>
    <w:rsid w:val="00BC111B"/>
    <w:rsid w:val="00D13718"/>
    <w:rsid w:val="00D65EC5"/>
    <w:rsid w:val="00DC09D4"/>
    <w:rsid w:val="00DC68C0"/>
    <w:rsid w:val="00E54E0D"/>
    <w:rsid w:val="00E57EE6"/>
    <w:rsid w:val="00E96EE3"/>
    <w:rsid w:val="00EE3765"/>
    <w:rsid w:val="00EE62C2"/>
    <w:rsid w:val="00EE6788"/>
    <w:rsid w:val="00EF2217"/>
    <w:rsid w:val="00F47B3A"/>
    <w:rsid w:val="00F63ECE"/>
    <w:rsid w:val="00F90951"/>
    <w:rsid w:val="00FA28CF"/>
    <w:rsid w:val="00FB09E2"/>
    <w:rsid w:val="00FB0A72"/>
    <w:rsid w:val="00FB4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FB24"/>
  <w15:chartTrackingRefBased/>
  <w15:docId w15:val="{5964A6E4-002D-4BE2-A3D6-B127C468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52C6D"/>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C09D4"/>
    <w:rPr>
      <w:sz w:val="16"/>
      <w:szCs w:val="16"/>
    </w:rPr>
  </w:style>
  <w:style w:type="paragraph" w:styleId="Kommentartext">
    <w:name w:val="annotation text"/>
    <w:basedOn w:val="Standard"/>
    <w:link w:val="KommentartextZchn"/>
    <w:uiPriority w:val="99"/>
    <w:unhideWhenUsed/>
    <w:rsid w:val="00DC09D4"/>
    <w:pPr>
      <w:spacing w:line="240" w:lineRule="auto"/>
    </w:pPr>
    <w:rPr>
      <w:sz w:val="20"/>
      <w:szCs w:val="20"/>
    </w:rPr>
  </w:style>
  <w:style w:type="character" w:customStyle="1" w:styleId="KommentartextZchn">
    <w:name w:val="Kommentartext Zchn"/>
    <w:basedOn w:val="Absatz-Standardschriftart"/>
    <w:link w:val="Kommentartext"/>
    <w:uiPriority w:val="99"/>
    <w:rsid w:val="00DC09D4"/>
    <w:rPr>
      <w:rFonts w:ascii="Arial" w:eastAsia="Arial" w:hAnsi="Arial" w:cs="Arial"/>
      <w:sz w:val="20"/>
      <w:szCs w:val="20"/>
      <w:lang w:val="de" w:eastAsia="de-DE"/>
    </w:rPr>
  </w:style>
  <w:style w:type="paragraph" w:styleId="Kommentarthema">
    <w:name w:val="annotation subject"/>
    <w:basedOn w:val="Kommentartext"/>
    <w:next w:val="Kommentartext"/>
    <w:link w:val="KommentarthemaZchn"/>
    <w:uiPriority w:val="99"/>
    <w:semiHidden/>
    <w:unhideWhenUsed/>
    <w:rsid w:val="00DC09D4"/>
    <w:rPr>
      <w:b/>
      <w:bCs/>
    </w:rPr>
  </w:style>
  <w:style w:type="character" w:customStyle="1" w:styleId="KommentarthemaZchn">
    <w:name w:val="Kommentarthema Zchn"/>
    <w:basedOn w:val="KommentartextZchn"/>
    <w:link w:val="Kommentarthema"/>
    <w:uiPriority w:val="99"/>
    <w:semiHidden/>
    <w:rsid w:val="00DC09D4"/>
    <w:rPr>
      <w:rFonts w:ascii="Arial" w:eastAsia="Arial" w:hAnsi="Arial" w:cs="Arial"/>
      <w:b/>
      <w:bCs/>
      <w:sz w:val="20"/>
      <w:szCs w:val="20"/>
      <w:lang w:val="de" w:eastAsia="de-DE"/>
    </w:rPr>
  </w:style>
  <w:style w:type="paragraph" w:styleId="Sprechblasentext">
    <w:name w:val="Balloon Text"/>
    <w:basedOn w:val="Standard"/>
    <w:link w:val="SprechblasentextZchn"/>
    <w:uiPriority w:val="99"/>
    <w:semiHidden/>
    <w:unhideWhenUsed/>
    <w:rsid w:val="00DC09D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09D4"/>
    <w:rPr>
      <w:rFonts w:ascii="Segoe UI" w:eastAsia="Arial" w:hAnsi="Segoe UI" w:cs="Segoe UI"/>
      <w:sz w:val="18"/>
      <w:szCs w:val="18"/>
      <w:lang w:val="de" w:eastAsia="de-DE"/>
    </w:rPr>
  </w:style>
  <w:style w:type="paragraph" w:styleId="NurText">
    <w:name w:val="Plain Text"/>
    <w:basedOn w:val="Standard"/>
    <w:link w:val="NurTextZchn"/>
    <w:uiPriority w:val="99"/>
    <w:semiHidden/>
    <w:unhideWhenUsed/>
    <w:rsid w:val="00473C54"/>
    <w:pPr>
      <w:spacing w:line="240" w:lineRule="auto"/>
    </w:pPr>
    <w:rPr>
      <w:rFonts w:ascii="Calibri" w:eastAsiaTheme="minorHAnsi" w:hAnsi="Calibri" w:cstheme="minorBidi"/>
      <w:szCs w:val="21"/>
      <w:lang w:val="de-DE" w:eastAsia="en-US"/>
    </w:rPr>
  </w:style>
  <w:style w:type="character" w:customStyle="1" w:styleId="NurTextZchn">
    <w:name w:val="Nur Text Zchn"/>
    <w:basedOn w:val="Absatz-Standardschriftart"/>
    <w:link w:val="NurText"/>
    <w:uiPriority w:val="99"/>
    <w:semiHidden/>
    <w:rsid w:val="00473C54"/>
    <w:rPr>
      <w:rFonts w:ascii="Calibri" w:hAnsi="Calibri"/>
      <w:szCs w:val="21"/>
    </w:rPr>
  </w:style>
  <w:style w:type="paragraph" w:styleId="berarbeitung">
    <w:name w:val="Revision"/>
    <w:hidden/>
    <w:uiPriority w:val="99"/>
    <w:semiHidden/>
    <w:rsid w:val="00F63ECE"/>
    <w:pPr>
      <w:spacing w:after="0" w:line="240" w:lineRule="auto"/>
    </w:pPr>
    <w:rPr>
      <w:rFonts w:ascii="Arial" w:eastAsia="Arial" w:hAnsi="Arial" w:cs="Arial"/>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29577">
      <w:bodyDiv w:val="1"/>
      <w:marLeft w:val="0"/>
      <w:marRight w:val="0"/>
      <w:marTop w:val="0"/>
      <w:marBottom w:val="0"/>
      <w:divBdr>
        <w:top w:val="none" w:sz="0" w:space="0" w:color="auto"/>
        <w:left w:val="none" w:sz="0" w:space="0" w:color="auto"/>
        <w:bottom w:val="none" w:sz="0" w:space="0" w:color="auto"/>
        <w:right w:val="none" w:sz="0" w:space="0" w:color="auto"/>
      </w:divBdr>
    </w:div>
    <w:div w:id="14214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3718</Words>
  <Characters>23426</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Osmanodja, Bilgin</dc:creator>
  <cp:keywords/>
  <dc:description/>
  <cp:lastModifiedBy>Akifova, Aylin</cp:lastModifiedBy>
  <cp:revision>11</cp:revision>
  <dcterms:created xsi:type="dcterms:W3CDTF">2024-10-17T15:36:00Z</dcterms:created>
  <dcterms:modified xsi:type="dcterms:W3CDTF">2024-10-17T16:25:00Z</dcterms:modified>
</cp:coreProperties>
</file>