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FD" w:rsidRPr="00534A9F" w:rsidRDefault="006E40FD" w:rsidP="006E40FD">
      <w:pPr>
        <w:rPr>
          <w:rFonts w:ascii="Arial" w:hAnsi="Arial" w:cs="Arial"/>
          <w:b/>
          <w:lang w:val="en-GB"/>
        </w:rPr>
      </w:pPr>
      <w:r w:rsidRPr="00534A9F">
        <w:rPr>
          <w:rFonts w:ascii="Arial" w:hAnsi="Arial" w:cs="Arial"/>
          <w:b/>
          <w:lang w:val="en-GB"/>
        </w:rPr>
        <w:t xml:space="preserve">Supplementary Table 1: </w:t>
      </w:r>
      <w:proofErr w:type="spellStart"/>
      <w:r w:rsidRPr="00534A9F">
        <w:rPr>
          <w:rFonts w:ascii="Arial" w:hAnsi="Arial" w:cs="Arial"/>
          <w:b/>
          <w:lang w:val="en-GB"/>
        </w:rPr>
        <w:t>Tumor</w:t>
      </w:r>
      <w:proofErr w:type="spellEnd"/>
      <w:r w:rsidRPr="00534A9F">
        <w:rPr>
          <w:rFonts w:ascii="Arial" w:hAnsi="Arial" w:cs="Arial"/>
          <w:b/>
          <w:lang w:val="en-GB"/>
        </w:rPr>
        <w:t xml:space="preserve"> entities of all cancer patients</w:t>
      </w:r>
    </w:p>
    <w:tbl>
      <w:tblPr>
        <w:tblStyle w:val="Tabellenraster1"/>
        <w:tblpPr w:leftFromText="141" w:rightFromText="141" w:vertAnchor="page" w:horzAnchor="margin" w:tblpY="2041"/>
        <w:tblW w:w="12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3544"/>
        <w:gridCol w:w="3964"/>
      </w:tblGrid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b/>
                <w:bCs/>
                <w:lang w:val="en-GB"/>
              </w:rPr>
              <w:t>Solid/ hematologic cancer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color w:val="000000"/>
                <w:lang w:val="en-GB" w:eastAsia="zh-CN"/>
              </w:rPr>
            </w:pPr>
            <w:proofErr w:type="gramStart"/>
            <w:r w:rsidRPr="00534A9F">
              <w:rPr>
                <w:rFonts w:ascii="Arial" w:hAnsi="Arial" w:cs="Arial"/>
                <w:b/>
                <w:bCs/>
                <w:lang w:val="en-GB"/>
              </w:rPr>
              <w:t>n</w:t>
            </w:r>
            <w:proofErr w:type="gramEnd"/>
            <w:r w:rsidRPr="00534A9F">
              <w:rPr>
                <w:rFonts w:ascii="Arial" w:hAnsi="Arial" w:cs="Arial"/>
                <w:b/>
                <w:bCs/>
                <w:lang w:val="en-GB"/>
              </w:rPr>
              <w:t xml:space="preserve"> (%)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Breast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61 (14)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Lung and bronchus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36 (8)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 xml:space="preserve">Colorectal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40 (9)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Pancreas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17 (4)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Oesophagus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8 (2)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Liver and bile duct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6 (1)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Stomach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11 (2)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Oral cavity and pharynx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20 (5)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eastAsia="Times New Roman" w:hAnsi="Arial" w:cs="Arial"/>
                <w:color w:val="000000"/>
                <w:lang w:val="en-GB" w:eastAsia="de-DE"/>
              </w:rPr>
              <w:t>Choroid melanoma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34 (8)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Gynaecologic (vulva, cervix, fallopian tube, ovary, uterus)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12 (3)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Prostate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10 (2)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zh-CN"/>
              </w:rPr>
            </w:pPr>
            <w:r w:rsidRPr="00534A9F">
              <w:rPr>
                <w:rFonts w:ascii="Arial" w:eastAsia="Times New Roman" w:hAnsi="Arial" w:cs="Arial"/>
                <w:color w:val="000000"/>
                <w:lang w:val="en-GB" w:eastAsia="de-DE"/>
              </w:rPr>
              <w:t>Other cancers (major salivary glands, brain, thyroid gland, larynx, soft tissue sarcoma, kidney, urogenital, testicular, malignant melanoma of the skin, urothelial, thymus, peritoneal mesothelioma, cancer of unknown primary)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solid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47 (11)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Non-Hodgkin lymphoma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34A9F">
              <w:rPr>
                <w:rFonts w:ascii="Arial" w:hAnsi="Arial" w:cs="Arial"/>
                <w:lang w:val="en-GB"/>
              </w:rPr>
              <w:t>hematological</w:t>
            </w:r>
            <w:proofErr w:type="spellEnd"/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95 (21)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Classic Hodgkin-Lymphoma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34A9F">
              <w:rPr>
                <w:rFonts w:ascii="Arial" w:hAnsi="Arial" w:cs="Arial"/>
                <w:lang w:val="en-GB"/>
              </w:rPr>
              <w:t>hematological</w:t>
            </w:r>
            <w:proofErr w:type="spellEnd"/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29 (7)</w:t>
            </w:r>
          </w:p>
        </w:tc>
      </w:tr>
      <w:tr w:rsidR="006E40FD" w:rsidRPr="00534A9F" w:rsidTr="00BF152B">
        <w:trPr>
          <w:trHeight w:val="397"/>
        </w:trPr>
        <w:tc>
          <w:tcPr>
            <w:tcW w:w="5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color w:val="000000"/>
                <w:lang w:val="en-GB" w:eastAsia="zh-CN"/>
              </w:rPr>
            </w:pPr>
            <w:r w:rsidRPr="00534A9F">
              <w:rPr>
                <w:rFonts w:ascii="Arial" w:hAnsi="Arial" w:cs="Arial"/>
                <w:color w:val="000000"/>
                <w:lang w:val="en-GB" w:eastAsia="zh-CN"/>
              </w:rPr>
              <w:t>Multiple myeloma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34A9F">
              <w:rPr>
                <w:rFonts w:ascii="Arial" w:hAnsi="Arial" w:cs="Arial"/>
                <w:lang w:val="en-GB"/>
              </w:rPr>
              <w:t>hematological</w:t>
            </w:r>
            <w:proofErr w:type="spellEnd"/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0FD" w:rsidRPr="00534A9F" w:rsidRDefault="006E40FD" w:rsidP="00BF152B">
            <w:pPr>
              <w:widowControl w:val="0"/>
              <w:spacing w:line="260" w:lineRule="atLeast"/>
              <w:jc w:val="both"/>
              <w:rPr>
                <w:rFonts w:ascii="Arial" w:hAnsi="Arial" w:cs="Arial"/>
                <w:lang w:val="en-GB"/>
              </w:rPr>
            </w:pPr>
            <w:r w:rsidRPr="00534A9F">
              <w:rPr>
                <w:rFonts w:ascii="Arial" w:hAnsi="Arial" w:cs="Arial"/>
                <w:lang w:val="en-GB"/>
              </w:rPr>
              <w:t>16 (4)</w:t>
            </w:r>
          </w:p>
        </w:tc>
      </w:tr>
    </w:tbl>
    <w:p w:rsidR="006E40FD" w:rsidRPr="00534A9F" w:rsidRDefault="006E40FD" w:rsidP="006E40FD">
      <w:pPr>
        <w:rPr>
          <w:b/>
          <w:sz w:val="28"/>
          <w:lang w:val="en-GB"/>
        </w:rPr>
      </w:pPr>
    </w:p>
    <w:p w:rsidR="006E40FD" w:rsidRPr="00534A9F" w:rsidRDefault="006E40FD" w:rsidP="006E40FD">
      <w:pPr>
        <w:rPr>
          <w:b/>
          <w:sz w:val="28"/>
          <w:lang w:val="en-GB"/>
        </w:rPr>
      </w:pPr>
      <w:r w:rsidRPr="00534A9F">
        <w:rPr>
          <w:b/>
          <w:sz w:val="28"/>
          <w:lang w:val="en-GB"/>
        </w:rPr>
        <w:br w:type="page"/>
      </w:r>
    </w:p>
    <w:p w:rsidR="006E40FD" w:rsidRPr="00534A9F" w:rsidRDefault="006E40FD" w:rsidP="006E40FD">
      <w:pPr>
        <w:rPr>
          <w:b/>
          <w:sz w:val="28"/>
          <w:lang w:val="en-GB"/>
        </w:rPr>
      </w:pPr>
      <w:bookmarkStart w:id="0" w:name="_Hlk167274564"/>
      <w:bookmarkStart w:id="1" w:name="_Hlk151487845"/>
      <w:r w:rsidRPr="00534A9F">
        <w:rPr>
          <w:b/>
          <w:sz w:val="28"/>
          <w:lang w:val="en-GB"/>
        </w:rPr>
        <w:lastRenderedPageBreak/>
        <w:t>Supplementary Table 2</w:t>
      </w:r>
      <w:bookmarkEnd w:id="0"/>
      <w:r w:rsidRPr="00534A9F">
        <w:rPr>
          <w:b/>
          <w:sz w:val="28"/>
          <w:lang w:val="en-GB"/>
        </w:rPr>
        <w:t xml:space="preserve">: </w:t>
      </w:r>
      <w:bookmarkEnd w:id="1"/>
      <w:r w:rsidRPr="00534A9F">
        <w:rPr>
          <w:b/>
          <w:sz w:val="28"/>
          <w:lang w:val="en-GB"/>
        </w:rPr>
        <w:t xml:space="preserve">Univariate Cox-regression analyses and documentation of multivariable model creation </w:t>
      </w:r>
    </w:p>
    <w:tbl>
      <w:tblPr>
        <w:tblpPr w:leftFromText="142" w:rightFromText="142" w:topFromText="96" w:bottomFromText="96" w:vertAnchor="text" w:horzAnchor="margin" w:tblpY="147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990"/>
        <w:gridCol w:w="1260"/>
        <w:gridCol w:w="1350"/>
        <w:gridCol w:w="1440"/>
        <w:gridCol w:w="1260"/>
      </w:tblGrid>
      <w:tr w:rsidR="006E40FD" w:rsidRPr="00534A9F" w:rsidTr="00BF152B">
        <w:trPr>
          <w:trHeight w:hRule="exact" w:val="824"/>
        </w:trPr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480" w:lineRule="auto"/>
              <w:rPr>
                <w:b/>
                <w:bCs/>
                <w:lang w:val="en-GB"/>
              </w:rPr>
            </w:pPr>
            <w:bookmarkStart w:id="2" w:name="_Hlk151309773"/>
          </w:p>
          <w:p w:rsidR="006E40FD" w:rsidRPr="00534A9F" w:rsidRDefault="006E40FD" w:rsidP="00BF152B">
            <w:pPr>
              <w:spacing w:line="480" w:lineRule="auto"/>
              <w:rPr>
                <w:b/>
                <w:bCs/>
                <w:lang w:val="en-GB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276" w:lineRule="auto"/>
              <w:jc w:val="center"/>
              <w:rPr>
                <w:b/>
                <w:lang w:val="en-GB"/>
              </w:rPr>
            </w:pPr>
            <w:r w:rsidRPr="00534A9F">
              <w:rPr>
                <w:b/>
                <w:lang w:val="en-GB"/>
              </w:rPr>
              <w:t>Univariate analysis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276" w:lineRule="auto"/>
              <w:jc w:val="center"/>
              <w:rPr>
                <w:b/>
                <w:lang w:val="en-GB"/>
              </w:rPr>
            </w:pPr>
            <w:r w:rsidRPr="00534A9F">
              <w:rPr>
                <w:b/>
                <w:lang w:val="en-GB"/>
              </w:rPr>
              <w:t>Significant (p&lt;0.05) in the multivariable model</w:t>
            </w:r>
          </w:p>
        </w:tc>
      </w:tr>
      <w:tr w:rsidR="006E40FD" w:rsidRPr="00534A9F" w:rsidTr="00BF152B">
        <w:trPr>
          <w:trHeight w:hRule="exact" w:val="1095"/>
        </w:trPr>
        <w:tc>
          <w:tcPr>
            <w:tcW w:w="45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480" w:lineRule="auto"/>
              <w:rPr>
                <w:b/>
                <w:bCs/>
                <w:lang w:val="en-GB"/>
              </w:rPr>
            </w:pPr>
            <w:r w:rsidRPr="00534A9F">
              <w:rPr>
                <w:b/>
                <w:bCs/>
                <w:lang w:val="en-GB"/>
              </w:rPr>
              <w:t>Measurement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534A9F">
              <w:rPr>
                <w:b/>
                <w:bCs/>
                <w:lang w:val="en-GB"/>
              </w:rPr>
              <w:t>Hazard ratio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276" w:lineRule="auto"/>
              <w:jc w:val="center"/>
              <w:rPr>
                <w:b/>
                <w:lang w:val="en-GB"/>
              </w:rPr>
            </w:pPr>
            <w:r w:rsidRPr="00534A9F">
              <w:rPr>
                <w:b/>
                <w:lang w:val="en-GB"/>
              </w:rPr>
              <w:t xml:space="preserve"> 95% CI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276" w:lineRule="auto"/>
              <w:jc w:val="center"/>
              <w:rPr>
                <w:b/>
                <w:lang w:val="en-GB"/>
              </w:rPr>
            </w:pPr>
            <w:r w:rsidRPr="00534A9F">
              <w:rPr>
                <w:b/>
                <w:lang w:val="en-GB"/>
              </w:rPr>
              <w:t>p-value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276" w:lineRule="auto"/>
              <w:jc w:val="center"/>
              <w:rPr>
                <w:b/>
                <w:lang w:val="en-GB"/>
              </w:rPr>
            </w:pPr>
            <w:r w:rsidRPr="00534A9F">
              <w:rPr>
                <w:b/>
                <w:lang w:val="en-GB"/>
              </w:rPr>
              <w:t>after backward elimination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6E40FD" w:rsidRPr="00534A9F" w:rsidRDefault="006E40FD" w:rsidP="00BF152B">
            <w:pPr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534A9F">
              <w:rPr>
                <w:rFonts w:cstheme="minorHAnsi"/>
                <w:b/>
                <w:bCs/>
                <w:lang w:val="en-GB"/>
              </w:rPr>
              <w:t>after forward elimination</w:t>
            </w: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b/>
                <w:bCs/>
                <w:lang w:val="en-GB"/>
              </w:rPr>
            </w:pPr>
            <w:r w:rsidRPr="00534A9F">
              <w:rPr>
                <w:rFonts w:cstheme="minorHAnsi"/>
                <w:b/>
                <w:bCs/>
                <w:lang w:val="en-GB"/>
              </w:rPr>
              <w:t>Clinical characteristics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Age (per 1 year)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1.01-1.03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Sex (female vs male)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0.99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0.79-1.25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0.940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BMI (per 1 point increase)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0.95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0.93-0.98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Cancer stage (per 1 grade increase)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2.08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1.72-2.52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Cancer type (solid vs. haematological)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0.19-0.34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Anti-cancer therapy-naive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0.51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0.36-0.73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815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pStyle w:val="NoSpacing"/>
              <w:rPr>
                <w:lang w:val="en-US"/>
              </w:rPr>
            </w:pPr>
            <w:r w:rsidRPr="00534A9F">
              <w:rPr>
                <w:lang w:val="en-US"/>
              </w:rPr>
              <w:t>Reason for admission to the hospital (staging vs. anti-cancer therapy vs. worsening of the clinical condition)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2.00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1.69-2.35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Current smoker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1.04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0.92-1.18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0.518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ECOG (per 1 grade increase)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1.79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1.61-2.00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b/>
                <w:bCs/>
                <w:lang w:val="en-GB"/>
              </w:rPr>
            </w:pPr>
            <w:r w:rsidRPr="00534A9F">
              <w:rPr>
                <w:rFonts w:cstheme="minorHAnsi"/>
                <w:b/>
                <w:bCs/>
                <w:lang w:val="en-GB"/>
              </w:rPr>
              <w:t>Cardiovascular parameters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Systolic blood pressure (per 1 mmHg)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0.98-1.00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0.003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Diastolic blood pressure (per 1 mmHg)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0.98-1.00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0.109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b/>
                <w:bCs/>
                <w:lang w:val="en-GB"/>
              </w:rPr>
            </w:pPr>
            <w:r w:rsidRPr="00534A9F">
              <w:rPr>
                <w:rFonts w:cstheme="minorHAnsi"/>
                <w:b/>
                <w:bCs/>
                <w:lang w:val="en-GB"/>
              </w:rPr>
              <w:t>Laboratory parameters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Haemoglobin (per 1 g/</w:t>
            </w:r>
            <w:proofErr w:type="spellStart"/>
            <w:r w:rsidRPr="00534A9F">
              <w:rPr>
                <w:rFonts w:cstheme="minorHAnsi"/>
                <w:lang w:val="en-GB"/>
              </w:rPr>
              <w:t>dL</w:t>
            </w:r>
            <w:proofErr w:type="spellEnd"/>
            <w:r w:rsidRPr="00534A9F">
              <w:rPr>
                <w:rFonts w:cstheme="minorHAnsi"/>
                <w:lang w:val="en-GB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0.88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0.84-0.93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proofErr w:type="spellStart"/>
            <w:r w:rsidRPr="00534A9F">
              <w:rPr>
                <w:rFonts w:cstheme="minorHAnsi"/>
                <w:lang w:val="en-GB"/>
              </w:rPr>
              <w:t>eGFR</w:t>
            </w:r>
            <w:proofErr w:type="spellEnd"/>
            <w:r w:rsidRPr="00534A9F">
              <w:rPr>
                <w:rFonts w:cstheme="minorHAnsi"/>
                <w:lang w:val="en-GB"/>
              </w:rPr>
              <w:t xml:space="preserve"> (per 1 mL/min)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0.99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0.99-1.00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</w:tr>
      <w:tr w:rsidR="006E40FD" w:rsidRPr="00534A9F" w:rsidTr="00BF152B">
        <w:trPr>
          <w:trHeight w:hRule="exact" w:val="344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Creatinine</w:t>
            </w:r>
            <w:r w:rsidRPr="00534A9F">
              <w:rPr>
                <w:rFonts w:cstheme="minorHAnsi"/>
                <w:color w:val="FF0000"/>
                <w:lang w:val="en-GB"/>
              </w:rPr>
              <w:t xml:space="preserve"> </w:t>
            </w:r>
            <w:r w:rsidRPr="00534A9F">
              <w:rPr>
                <w:rFonts w:cstheme="minorHAnsi"/>
                <w:lang w:val="en-GB"/>
              </w:rPr>
              <w:t>(per 1mg/</w:t>
            </w:r>
            <w:proofErr w:type="spellStart"/>
            <w:r w:rsidRPr="00534A9F">
              <w:rPr>
                <w:rFonts w:cstheme="minorHAnsi"/>
                <w:lang w:val="en-GB"/>
              </w:rPr>
              <w:t>dL</w:t>
            </w:r>
            <w:proofErr w:type="spellEnd"/>
            <w:r w:rsidRPr="00534A9F">
              <w:rPr>
                <w:rFonts w:cstheme="minorHAnsi"/>
                <w:lang w:val="en-GB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0.86-1.69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0.277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34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pStyle w:val="NoSpacing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 xml:space="preserve">CRP </w:t>
            </w:r>
            <w:r w:rsidRPr="00534A9F">
              <w:rPr>
                <w:lang w:val="en-GB"/>
              </w:rPr>
              <w:t>(per 1 ln(</w:t>
            </w:r>
            <w:r w:rsidRPr="00534A9F">
              <w:rPr>
                <w:rFonts w:cstheme="minorHAnsi"/>
                <w:lang w:val="en-GB"/>
              </w:rPr>
              <w:t>CRP</w:t>
            </w:r>
            <w:r w:rsidRPr="00534A9F">
              <w:rPr>
                <w:lang w:val="en-GB"/>
              </w:rPr>
              <w:t xml:space="preserve"> in</w:t>
            </w:r>
            <w:r w:rsidRPr="00534A9F">
              <w:rPr>
                <w:rFonts w:cstheme="minorHAnsi"/>
                <w:lang w:val="en-GB"/>
              </w:rPr>
              <w:t xml:space="preserve"> mg/L</w:t>
            </w:r>
            <w:r w:rsidRPr="00534A9F">
              <w:rPr>
                <w:lang w:val="en-GB"/>
              </w:rPr>
              <w:t>) increase)</w:t>
            </w:r>
          </w:p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1.37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1.27-1.48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x</w:t>
            </w: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b/>
                <w:bCs/>
                <w:lang w:val="en-GB"/>
              </w:rPr>
            </w:pPr>
            <w:r w:rsidRPr="00534A9F">
              <w:rPr>
                <w:rFonts w:cstheme="minorHAnsi"/>
                <w:b/>
                <w:bCs/>
                <w:lang w:val="en-GB"/>
              </w:rPr>
              <w:t>Secondary diagnoses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Arterial hypertension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0.91-1.45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0.250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Diabetes mellitus type II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0.87-1.66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0.275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Hypercholesterolemia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1.03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0.80-1.33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0.801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Previous stroke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0.30-1.51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0.338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b/>
                <w:bCs/>
                <w:lang w:val="en-GB"/>
              </w:rPr>
            </w:pPr>
            <w:r w:rsidRPr="00534A9F">
              <w:rPr>
                <w:rFonts w:cstheme="minorHAnsi"/>
                <w:b/>
                <w:bCs/>
                <w:lang w:val="en-GB"/>
              </w:rPr>
              <w:t>Medications on examination 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ACE-I/ARBs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0.96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0.73-1.25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0.748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Beta-blockers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0.92-1.63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0.167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Diuretics (yes vs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1.46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1.10-1.94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0.009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lastRenderedPageBreak/>
              <w:t>Opioids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2.33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1.82-2.99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 xml:space="preserve"> &lt;0.001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Antidepressants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1.58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1.15-2.17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b/>
                <w:vertAlign w:val="superscript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0.005</w:t>
            </w:r>
            <w:r w:rsidRPr="00534A9F">
              <w:rPr>
                <w:rFonts w:cstheme="minorHAnsi"/>
                <w:lang w:val="en-GB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tr w:rsidR="006E40FD" w:rsidRPr="00534A9F" w:rsidTr="00BF152B">
        <w:trPr>
          <w:trHeight w:hRule="exact" w:val="340"/>
        </w:trPr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FD" w:rsidRPr="00534A9F" w:rsidRDefault="006E40FD" w:rsidP="00BF152B">
            <w:pPr>
              <w:spacing w:line="480" w:lineRule="auto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Steroids (yes vs. no)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0.93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lang w:val="en-GB"/>
              </w:rPr>
            </w:pPr>
            <w:r w:rsidRPr="00534A9F">
              <w:rPr>
                <w:rFonts w:cstheme="minorHAnsi"/>
                <w:lang w:val="en-GB"/>
              </w:rPr>
              <w:t>0.72-1.20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  <w:r w:rsidRPr="00534A9F">
              <w:rPr>
                <w:rFonts w:cstheme="minorHAnsi"/>
                <w:color w:val="000000"/>
                <w:lang w:val="en-GB"/>
              </w:rPr>
              <w:t>0.590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0FD" w:rsidRPr="00534A9F" w:rsidRDefault="006E40FD" w:rsidP="00BF152B">
            <w:pPr>
              <w:spacing w:line="480" w:lineRule="auto"/>
              <w:jc w:val="center"/>
              <w:rPr>
                <w:rFonts w:cstheme="minorHAnsi"/>
                <w:color w:val="000000"/>
                <w:lang w:val="en-GB"/>
              </w:rPr>
            </w:pPr>
          </w:p>
        </w:tc>
      </w:tr>
      <w:bookmarkEnd w:id="2"/>
    </w:tbl>
    <w:p w:rsidR="006E40FD" w:rsidRPr="00534A9F" w:rsidRDefault="006E40FD" w:rsidP="006E40FD">
      <w:pPr>
        <w:rPr>
          <w:rFonts w:eastAsia="Calibri"/>
          <w:sz w:val="18"/>
          <w:szCs w:val="18"/>
          <w:lang w:val="en-GB"/>
        </w:rPr>
      </w:pPr>
    </w:p>
    <w:p w:rsidR="006E40FD" w:rsidRPr="00534A9F" w:rsidRDefault="006E40FD" w:rsidP="006E40FD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E40FD" w:rsidRPr="00534A9F" w:rsidRDefault="006E40FD" w:rsidP="006E40FD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E40FD" w:rsidRPr="00534A9F" w:rsidRDefault="006E40FD" w:rsidP="006E40FD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E40FD" w:rsidRPr="00534A9F" w:rsidRDefault="006E40FD" w:rsidP="006E40FD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E40FD" w:rsidRPr="00534A9F" w:rsidRDefault="006E40FD" w:rsidP="006E40FD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E40FD" w:rsidRPr="00534A9F" w:rsidRDefault="006E40FD" w:rsidP="006E40FD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E40FD" w:rsidRPr="00534A9F" w:rsidRDefault="006E40FD" w:rsidP="006E40FD">
      <w:pPr>
        <w:pStyle w:val="NoSpacing"/>
        <w:rPr>
          <w:rFonts w:cstheme="minorHAnsi"/>
          <w:sz w:val="24"/>
          <w:szCs w:val="24"/>
          <w:lang w:val="en-GB"/>
        </w:rPr>
      </w:pPr>
    </w:p>
    <w:p w:rsidR="006E40FD" w:rsidRPr="00534A9F" w:rsidRDefault="006E40FD" w:rsidP="006E40FD">
      <w:pPr>
        <w:pStyle w:val="NoSpacing"/>
        <w:rPr>
          <w:rFonts w:cstheme="minorHAnsi"/>
          <w:sz w:val="24"/>
          <w:szCs w:val="24"/>
          <w:lang w:val="en-GB"/>
        </w:rPr>
      </w:pPr>
    </w:p>
    <w:p w:rsidR="006E40FD" w:rsidRPr="00534A9F" w:rsidRDefault="006E40FD" w:rsidP="006E40FD">
      <w:pPr>
        <w:pStyle w:val="NoSpacing"/>
        <w:rPr>
          <w:rFonts w:cstheme="minorHAnsi"/>
          <w:sz w:val="24"/>
          <w:szCs w:val="24"/>
          <w:lang w:val="en-GB"/>
        </w:rPr>
      </w:pPr>
    </w:p>
    <w:p w:rsidR="006E40FD" w:rsidRPr="00534A9F" w:rsidRDefault="006E40FD" w:rsidP="006E40FD">
      <w:pPr>
        <w:pStyle w:val="NoSpacing"/>
        <w:rPr>
          <w:rFonts w:eastAsia="Calibri" w:cstheme="minorHAnsi"/>
          <w:sz w:val="18"/>
          <w:szCs w:val="18"/>
          <w:lang w:val="en-GB"/>
        </w:rPr>
      </w:pPr>
      <w:r w:rsidRPr="00534A9F">
        <w:rPr>
          <w:rFonts w:cstheme="minorHAnsi"/>
          <w:sz w:val="24"/>
          <w:szCs w:val="24"/>
          <w:lang w:val="en-GB"/>
        </w:rPr>
        <w:t>*</w:t>
      </w:r>
      <w:r w:rsidRPr="00534A9F">
        <w:rPr>
          <w:rFonts w:cstheme="minorHAnsi"/>
          <w:sz w:val="18"/>
          <w:szCs w:val="18"/>
          <w:lang w:val="en-GB"/>
        </w:rPr>
        <w:t xml:space="preserve">Variables with p-value &lt; 0.2 are included in the baseline model within the framework of the survival-model building process with backward and forward elimination. </w:t>
      </w:r>
      <w:r w:rsidRPr="00534A9F">
        <w:rPr>
          <w:rFonts w:eastAsia="Calibri"/>
          <w:sz w:val="18"/>
          <w:szCs w:val="18"/>
          <w:lang w:val="en-GB"/>
        </w:rPr>
        <w:t xml:space="preserve">CRP, C-reactive protein; ECOG, Performance Status Scale of the Eastern Cooperative Oncology Group (ECOG); </w:t>
      </w:r>
      <w:proofErr w:type="spellStart"/>
      <w:r w:rsidRPr="00534A9F">
        <w:rPr>
          <w:rFonts w:eastAsia="Calibri"/>
          <w:sz w:val="18"/>
          <w:szCs w:val="18"/>
          <w:lang w:val="en-GB"/>
        </w:rPr>
        <w:t>eGFR</w:t>
      </w:r>
      <w:proofErr w:type="spellEnd"/>
      <w:r w:rsidRPr="00534A9F">
        <w:rPr>
          <w:rFonts w:eastAsia="Calibri"/>
          <w:sz w:val="18"/>
          <w:szCs w:val="18"/>
          <w:lang w:val="en-GB"/>
        </w:rPr>
        <w:t xml:space="preserve">, estimated glomerular filtration rate; </w:t>
      </w:r>
      <w:proofErr w:type="spellStart"/>
      <w:r w:rsidRPr="00534A9F">
        <w:rPr>
          <w:rFonts w:eastAsia="Calibri"/>
          <w:sz w:val="18"/>
          <w:szCs w:val="18"/>
          <w:lang w:val="en-GB"/>
        </w:rPr>
        <w:t>hs</w:t>
      </w:r>
      <w:proofErr w:type="spellEnd"/>
      <w:r w:rsidRPr="00534A9F">
        <w:rPr>
          <w:rFonts w:eastAsia="Calibri"/>
          <w:sz w:val="18"/>
          <w:szCs w:val="18"/>
          <w:lang w:val="en-GB"/>
        </w:rPr>
        <w:t xml:space="preserve"> Troponin T, high-sensitivity troponin T; MR-</w:t>
      </w:r>
      <w:proofErr w:type="spellStart"/>
      <w:r w:rsidRPr="00534A9F">
        <w:rPr>
          <w:rFonts w:eastAsia="Calibri"/>
          <w:sz w:val="18"/>
          <w:szCs w:val="18"/>
          <w:lang w:val="en-GB"/>
        </w:rPr>
        <w:t>proADM</w:t>
      </w:r>
      <w:proofErr w:type="spellEnd"/>
      <w:r w:rsidRPr="00534A9F">
        <w:rPr>
          <w:rFonts w:eastAsia="Calibri"/>
          <w:sz w:val="18"/>
          <w:szCs w:val="18"/>
          <w:lang w:val="en-GB"/>
        </w:rPr>
        <w:t>, Mid regional pro-</w:t>
      </w:r>
      <w:proofErr w:type="spellStart"/>
      <w:r w:rsidRPr="00534A9F">
        <w:rPr>
          <w:rFonts w:eastAsia="Calibri"/>
          <w:sz w:val="18"/>
          <w:szCs w:val="18"/>
          <w:lang w:val="en-GB"/>
        </w:rPr>
        <w:t>adrenomedullin</w:t>
      </w:r>
      <w:proofErr w:type="spellEnd"/>
      <w:r w:rsidRPr="00534A9F">
        <w:rPr>
          <w:rFonts w:eastAsia="Calibri"/>
          <w:sz w:val="18"/>
          <w:szCs w:val="18"/>
          <w:lang w:val="en-GB"/>
        </w:rPr>
        <w:t>; MR-</w:t>
      </w:r>
      <w:proofErr w:type="spellStart"/>
      <w:r w:rsidRPr="00534A9F">
        <w:rPr>
          <w:rFonts w:eastAsia="Calibri"/>
          <w:sz w:val="18"/>
          <w:szCs w:val="18"/>
          <w:lang w:val="en-GB"/>
        </w:rPr>
        <w:t>proANP</w:t>
      </w:r>
      <w:proofErr w:type="spellEnd"/>
      <w:r w:rsidRPr="00534A9F">
        <w:rPr>
          <w:rFonts w:eastAsia="Calibri"/>
          <w:sz w:val="18"/>
          <w:szCs w:val="18"/>
          <w:lang w:val="en-GB"/>
        </w:rPr>
        <w:t xml:space="preserve">, </w:t>
      </w:r>
      <w:proofErr w:type="spellStart"/>
      <w:r w:rsidRPr="00534A9F">
        <w:rPr>
          <w:rFonts w:eastAsia="Calibri"/>
          <w:sz w:val="18"/>
          <w:szCs w:val="18"/>
          <w:lang w:val="en-GB"/>
        </w:rPr>
        <w:t>Midregional</w:t>
      </w:r>
      <w:proofErr w:type="spellEnd"/>
      <w:r w:rsidRPr="00534A9F">
        <w:rPr>
          <w:rFonts w:eastAsia="Calibri"/>
          <w:sz w:val="18"/>
          <w:szCs w:val="18"/>
          <w:lang w:val="en-GB"/>
        </w:rPr>
        <w:t xml:space="preserve"> pro-atrial natriuretic peptide; NT-pro BNP, N-terminal prohormone of brain natriuretic peptide. </w:t>
      </w:r>
    </w:p>
    <w:p w:rsidR="006E40FD" w:rsidRPr="00534A9F" w:rsidRDefault="006E40FD" w:rsidP="006E40FD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E40FD" w:rsidRPr="00534A9F" w:rsidRDefault="006E40FD" w:rsidP="006E40FD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34A9F">
        <w:rPr>
          <w:rFonts w:ascii="Arial" w:hAnsi="Arial" w:cs="Arial"/>
          <w:b/>
          <w:bCs/>
          <w:sz w:val="24"/>
          <w:szCs w:val="24"/>
          <w:lang w:val="en-GB"/>
        </w:rPr>
        <w:br w:type="page"/>
      </w:r>
    </w:p>
    <w:p w:rsidR="006E40FD" w:rsidRPr="00534A9F" w:rsidRDefault="006E40FD" w:rsidP="006E40FD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34A9F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Supplementary Table 3: Echo characteristics of patients with cancer and MR-</w:t>
      </w:r>
      <w:proofErr w:type="spellStart"/>
      <w:r w:rsidRPr="00534A9F">
        <w:rPr>
          <w:rFonts w:ascii="Arial" w:hAnsi="Arial" w:cs="Arial"/>
          <w:b/>
          <w:bCs/>
          <w:sz w:val="24"/>
          <w:szCs w:val="24"/>
          <w:lang w:val="en-GB"/>
        </w:rPr>
        <w:t>proADM</w:t>
      </w:r>
      <w:proofErr w:type="spellEnd"/>
      <w:r w:rsidRPr="00534A9F">
        <w:rPr>
          <w:rFonts w:ascii="Arial" w:hAnsi="Arial" w:cs="Arial"/>
          <w:b/>
          <w:bCs/>
          <w:sz w:val="24"/>
          <w:szCs w:val="24"/>
          <w:lang w:val="en-GB"/>
        </w:rPr>
        <w:t xml:space="preserve"> &lt;0.94 </w:t>
      </w:r>
      <w:proofErr w:type="spellStart"/>
      <w:r w:rsidRPr="00534A9F">
        <w:rPr>
          <w:rFonts w:ascii="Arial" w:hAnsi="Arial" w:cs="Arial"/>
          <w:b/>
          <w:bCs/>
          <w:sz w:val="24"/>
          <w:szCs w:val="24"/>
          <w:lang w:val="en-GB"/>
        </w:rPr>
        <w:t>nmol</w:t>
      </w:r>
      <w:proofErr w:type="spellEnd"/>
      <w:r w:rsidRPr="00534A9F">
        <w:rPr>
          <w:rFonts w:ascii="Arial" w:hAnsi="Arial" w:cs="Arial"/>
          <w:b/>
          <w:bCs/>
          <w:sz w:val="24"/>
          <w:szCs w:val="24"/>
          <w:lang w:val="en-GB"/>
        </w:rPr>
        <w:t xml:space="preserve">/l and &gt;0.94 </w:t>
      </w:r>
      <w:proofErr w:type="spellStart"/>
      <w:r w:rsidRPr="00534A9F">
        <w:rPr>
          <w:rFonts w:ascii="Arial" w:hAnsi="Arial" w:cs="Arial"/>
          <w:b/>
          <w:bCs/>
          <w:sz w:val="24"/>
          <w:szCs w:val="24"/>
          <w:lang w:val="en-GB"/>
        </w:rPr>
        <w:t>nmol</w:t>
      </w:r>
      <w:proofErr w:type="spellEnd"/>
      <w:r w:rsidRPr="00534A9F">
        <w:rPr>
          <w:rFonts w:ascii="Arial" w:hAnsi="Arial" w:cs="Arial"/>
          <w:b/>
          <w:bCs/>
          <w:sz w:val="24"/>
          <w:szCs w:val="24"/>
          <w:lang w:val="en-GB"/>
        </w:rPr>
        <w:t>/l</w:t>
      </w:r>
    </w:p>
    <w:tbl>
      <w:tblPr>
        <w:tblStyle w:val="Tabellenraster2"/>
        <w:tblW w:w="13408" w:type="dxa"/>
        <w:tblLook w:val="04A0" w:firstRow="1" w:lastRow="0" w:firstColumn="1" w:lastColumn="0" w:noHBand="0" w:noVBand="1"/>
      </w:tblPr>
      <w:tblGrid>
        <w:gridCol w:w="6416"/>
        <w:gridCol w:w="2569"/>
        <w:gridCol w:w="2568"/>
        <w:gridCol w:w="1855"/>
      </w:tblGrid>
      <w:tr w:rsidR="006E40FD" w:rsidRPr="00534A9F" w:rsidTr="00BF152B">
        <w:trPr>
          <w:trHeight w:val="671"/>
        </w:trPr>
        <w:tc>
          <w:tcPr>
            <w:tcW w:w="6416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69" w:type="dxa"/>
            <w:shd w:val="clear" w:color="auto" w:fill="E7E6E6" w:themeFill="background2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Patients with cancer and MR-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proADM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&lt;0.94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nmol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/l</w:t>
            </w:r>
          </w:p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n=257</w:t>
            </w:r>
          </w:p>
        </w:tc>
        <w:tc>
          <w:tcPr>
            <w:tcW w:w="2568" w:type="dxa"/>
            <w:shd w:val="clear" w:color="auto" w:fill="E7E6E6" w:themeFill="background2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Patients with cancer and MR-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proADM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&gt;0.94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nmol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/l</w:t>
            </w:r>
          </w:p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n=185</w:t>
            </w:r>
          </w:p>
        </w:tc>
        <w:tc>
          <w:tcPr>
            <w:tcW w:w="1855" w:type="dxa"/>
            <w:shd w:val="clear" w:color="auto" w:fill="E7E6E6" w:themeFill="background2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p-value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Left Ventricular Ejection Fraction, LVEF (%)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63±5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64±5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0.549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Left Ventricular End Diastolic Volume (ml)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89±27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84±26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0.770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Interventricular Septal End Diastole,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IVSd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(mm)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10.5±1.7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10.7±1.8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0.220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Left Ventricular Internal Diameter End Diastole,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LVIDd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(mm)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45±5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45±5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0.617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Left Ventricular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Inferolateral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Wall End Diastole,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LVPWd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(mm)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9.4±1.3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9.7±1.4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0.270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Left Atrial Volume,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LAVol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(ml)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43±12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44±14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0.435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Mitral E/A Ratio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1.04±0.35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0.96±0.32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0.018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Mitral E/E’ septal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9.0±2.8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9.7±3.1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0.019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Mitral E/E’ lateral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7.0±2.6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7.9±3.0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0.003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Mitral E/E’ mean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7.7±2.5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8.6±2.6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0.001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Tricuspid Annulus Plane Systolic Excursion, TAPSE (mm)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25±3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24±4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0.422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RV S’ (cm/s)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13.0±4.1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11.7±6.2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0.035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Right atrial volume,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RAVol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(ml)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33±11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33±12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0.220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Tricuspid Regurgitation Velocity, TR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Vmax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(m/s)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2.37±0.31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2.53±0.92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0.011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TR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PGmax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(mmHg)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22.9±6.3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24.9±8.8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0.016</w:t>
            </w:r>
          </w:p>
        </w:tc>
      </w:tr>
      <w:tr w:rsidR="006E40FD" w:rsidRPr="00534A9F" w:rsidTr="00BF152B">
        <w:trPr>
          <w:trHeight w:val="397"/>
        </w:trPr>
        <w:tc>
          <w:tcPr>
            <w:tcW w:w="6416" w:type="dxa"/>
            <w:shd w:val="clear" w:color="auto" w:fill="auto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Systolic Pulmonary Artery Pressure, </w:t>
            </w:r>
            <w:proofErr w:type="spellStart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sPAP</w:t>
            </w:r>
            <w:proofErr w:type="spellEnd"/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 xml:space="preserve"> (mmHg)</w:t>
            </w:r>
          </w:p>
        </w:tc>
        <w:tc>
          <w:tcPr>
            <w:tcW w:w="2569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27.8±6.3</w:t>
            </w:r>
          </w:p>
        </w:tc>
        <w:tc>
          <w:tcPr>
            <w:tcW w:w="2568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sz w:val="20"/>
                <w:szCs w:val="20"/>
                <w:lang w:val="en-GB"/>
              </w:rPr>
              <w:t>29.5±8.9</w:t>
            </w:r>
          </w:p>
        </w:tc>
        <w:tc>
          <w:tcPr>
            <w:tcW w:w="1855" w:type="dxa"/>
            <w:vAlign w:val="center"/>
          </w:tcPr>
          <w:p w:rsidR="006E40FD" w:rsidRPr="00534A9F" w:rsidRDefault="006E40FD" w:rsidP="00BF15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4A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0.037</w:t>
            </w:r>
          </w:p>
        </w:tc>
      </w:tr>
    </w:tbl>
    <w:p w:rsidR="00B8670A" w:rsidRDefault="006E40FD">
      <w:r w:rsidRPr="00534A9F">
        <w:rPr>
          <w:rFonts w:ascii="Arial" w:hAnsi="Arial" w:cs="Arial"/>
          <w:sz w:val="16"/>
          <w:lang w:val="en-GB"/>
        </w:rPr>
        <w:t xml:space="preserve">Normal distributed variables </w:t>
      </w:r>
      <w:proofErr w:type="gramStart"/>
      <w:r w:rsidRPr="00534A9F">
        <w:rPr>
          <w:rFonts w:ascii="Arial" w:hAnsi="Arial" w:cs="Arial"/>
          <w:sz w:val="16"/>
          <w:lang w:val="en-GB"/>
        </w:rPr>
        <w:t>are presented</w:t>
      </w:r>
      <w:proofErr w:type="gramEnd"/>
      <w:r w:rsidRPr="00534A9F">
        <w:rPr>
          <w:rFonts w:ascii="Arial" w:hAnsi="Arial" w:cs="Arial"/>
          <w:sz w:val="16"/>
          <w:lang w:val="en-GB"/>
        </w:rPr>
        <w:t xml:space="preserve"> as means ± SD, non-normal distributed variables as median [interquartile range]. Bold p-values when p&lt;0.05.</w:t>
      </w:r>
      <w:bookmarkStart w:id="3" w:name="_GoBack"/>
      <w:bookmarkEnd w:id="3"/>
    </w:p>
    <w:sectPr w:rsidR="00B86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EA"/>
    <w:rsid w:val="00084C84"/>
    <w:rsid w:val="0034546F"/>
    <w:rsid w:val="003E64EA"/>
    <w:rsid w:val="006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D0E3-9B01-448A-8966-C9070A9E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FD"/>
    <w:rPr>
      <w:kern w:val="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0FD"/>
    <w:pPr>
      <w:spacing w:after="0" w:line="240" w:lineRule="auto"/>
    </w:pPr>
    <w:rPr>
      <w:kern w:val="2"/>
      <w:lang w:val="nb-NO"/>
      <w14:ligatures w14:val="standardContextual"/>
    </w:rPr>
  </w:style>
  <w:style w:type="table" w:customStyle="1" w:styleId="Tabellenraster1">
    <w:name w:val="Tabellenraster1"/>
    <w:basedOn w:val="TableNormal"/>
    <w:next w:val="TableGrid"/>
    <w:uiPriority w:val="39"/>
    <w:rsid w:val="006E40FD"/>
    <w:pPr>
      <w:spacing w:after="0" w:line="240" w:lineRule="auto"/>
    </w:pPr>
    <w:rPr>
      <w:rFonts w:eastAsia="SimSu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39"/>
    <w:rsid w:val="006E40FD"/>
    <w:pPr>
      <w:spacing w:after="0" w:line="240" w:lineRule="auto"/>
    </w:pPr>
    <w:rPr>
      <w:kern w:val="2"/>
      <w:lang w:val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Madhumitha Govindaraju</dc:creator>
  <cp:keywords/>
  <dc:description/>
  <cp:lastModifiedBy>Madhumitha Govindaraju</cp:lastModifiedBy>
  <cp:revision>2</cp:revision>
  <dcterms:created xsi:type="dcterms:W3CDTF">2024-10-08T04:44:00Z</dcterms:created>
  <dcterms:modified xsi:type="dcterms:W3CDTF">2024-10-08T04:44:00Z</dcterms:modified>
</cp:coreProperties>
</file>