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widowControl w:val="0"/>
        <w:spacing w:before="0" w:line="480" w:lineRule="auto"/>
        <w:rPr/>
      </w:pPr>
      <w:bookmarkStart w:colFirst="0" w:colLast="0" w:name="_mauzxedchkdx" w:id="0"/>
      <w:bookmarkEnd w:id="0"/>
      <w:r w:rsidDel="00000000" w:rsidR="00000000" w:rsidRPr="00000000">
        <w:rPr>
          <w:rtl w:val="0"/>
        </w:rPr>
        <w:t xml:space="preserve">Supplementary material</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jc w:val="center"/>
        <w:rPr/>
      </w:pPr>
      <w:r w:rsidDel="00000000" w:rsidR="00000000" w:rsidRPr="00000000">
        <w:rPr/>
        <w:drawing>
          <wp:inline distB="114300" distT="114300" distL="114300" distR="114300">
            <wp:extent cx="3883787" cy="582568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883787" cy="582568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rPr>
          <w:i w:val="1"/>
        </w:rPr>
      </w:pPr>
      <w:r w:rsidDel="00000000" w:rsidR="00000000" w:rsidRPr="00000000">
        <w:rPr>
          <w:b w:val="1"/>
          <w:i w:val="1"/>
          <w:rtl w:val="0"/>
        </w:rPr>
        <w:t xml:space="preserve">Supplementary Figure 1. </w:t>
      </w:r>
      <w:r w:rsidDel="00000000" w:rsidR="00000000" w:rsidRPr="00000000">
        <w:rPr>
          <w:rtl w:val="0"/>
        </w:rPr>
        <w:t xml:space="preserve">Histograms of the distributions of periventricul</w:t>
      </w:r>
      <w:r w:rsidDel="00000000" w:rsidR="00000000" w:rsidRPr="00000000">
        <w:rPr>
          <w:i w:val="1"/>
          <w:rtl w:val="0"/>
        </w:rPr>
        <w:t xml:space="preserve">ar white matter lesion volumes (A) and deep white matter lesion volumes (B) in multiple sclerosis patients and healthy participants.</w:t>
      </w:r>
      <w:r w:rsidDel="00000000" w:rsidR="00000000" w:rsidRPr="00000000">
        <w:br w:type="page"/>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jc w:val="center"/>
        <w:rPr>
          <w:i w:val="1"/>
        </w:rPr>
      </w:pPr>
      <w:r w:rsidDel="00000000" w:rsidR="00000000" w:rsidRPr="00000000">
        <w:rPr>
          <w:i w:val="1"/>
        </w:rPr>
        <w:drawing>
          <wp:inline distB="114300" distT="114300" distL="114300" distR="114300">
            <wp:extent cx="3886200" cy="583855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86200" cy="583855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rPr>
          <w:i w:val="1"/>
        </w:rPr>
      </w:pPr>
      <w:r w:rsidDel="00000000" w:rsidR="00000000" w:rsidRPr="00000000">
        <w:rPr>
          <w:b w:val="1"/>
          <w:i w:val="1"/>
          <w:rtl w:val="0"/>
        </w:rPr>
        <w:t xml:space="preserve">Supplementary Figure 2. </w:t>
      </w:r>
      <w:r w:rsidDel="00000000" w:rsidR="00000000" w:rsidRPr="00000000">
        <w:rPr>
          <w:rtl w:val="0"/>
        </w:rPr>
        <w:t xml:space="preserve">Histograms of the distributions of periventricul</w:t>
      </w:r>
      <w:r w:rsidDel="00000000" w:rsidR="00000000" w:rsidRPr="00000000">
        <w:rPr>
          <w:i w:val="1"/>
          <w:rtl w:val="0"/>
        </w:rPr>
        <w:t xml:space="preserve">ar white matter lesion counts (A) and deep white matter lesion counts (B) in multiple sclerosis patients and healthy participants. </w:t>
      </w:r>
      <w:r w:rsidDel="00000000" w:rsidR="00000000" w:rsidRPr="00000000">
        <w:br w:type="page"/>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rPr>
          <w:i w:val="1"/>
        </w:rPr>
      </w:pPr>
      <w:r w:rsidDel="00000000" w:rsidR="00000000" w:rsidRPr="00000000">
        <w:rPr>
          <w:i w:val="1"/>
        </w:rPr>
        <w:drawing>
          <wp:inline distB="114300" distT="114300" distL="114300" distR="114300">
            <wp:extent cx="6262463" cy="2338388"/>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262463" cy="23383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rPr>
          <w:i w:val="1"/>
        </w:rPr>
      </w:pPr>
      <w:r w:rsidDel="00000000" w:rsidR="00000000" w:rsidRPr="00000000">
        <w:rPr>
          <w:b w:val="1"/>
          <w:i w:val="1"/>
          <w:rtl w:val="0"/>
        </w:rPr>
        <w:t xml:space="preserve">Supplementary Figure 3. </w:t>
      </w:r>
      <w:r w:rsidDel="00000000" w:rsidR="00000000" w:rsidRPr="00000000">
        <w:rPr>
          <w:i w:val="1"/>
          <w:rtl w:val="0"/>
        </w:rPr>
        <w:t xml:space="preserve">Mean BOLD delay (in seconds; A and B) and coefficient of variation (CoV [unitless]; C and D) maps from the multiple sclerosis (A and C) and healthy participant (B and D) groups. </w:t>
      </w:r>
      <w:r w:rsidDel="00000000" w:rsidR="00000000" w:rsidRPr="00000000">
        <w:rPr>
          <w:i w:val="1"/>
          <w:rtl w:val="0"/>
        </w:rPr>
        <w:t xml:space="preserve">Maps from both study groups appear very similar, with longer BOLD delay in the periventricular regions and the infratentorial compartment and larger CoV in the grey matter than the white matter. </w:t>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rPr>
          <w:highlight w:val="green"/>
        </w:rPr>
      </w:pPr>
      <w:r w:rsidDel="00000000" w:rsidR="00000000" w:rsidRPr="00000000">
        <w:rPr>
          <w:b w:val="1"/>
          <w:i w:val="1"/>
          <w:rtl w:val="0"/>
        </w:rPr>
        <w:t xml:space="preserve">Supplementary Table 1.</w:t>
      </w:r>
      <w:r w:rsidDel="00000000" w:rsidR="00000000" w:rsidRPr="00000000">
        <w:rPr>
          <w:i w:val="1"/>
          <w:rtl w:val="0"/>
        </w:rPr>
        <w:t xml:space="preserve"> Pearson’s correlation between hemodynamic parameters in lesions and lesion volume.</w:t>
      </w:r>
      <w:r w:rsidDel="00000000" w:rsidR="00000000" w:rsidRPr="00000000">
        <w:rPr>
          <w:rtl w:val="0"/>
        </w:rPr>
      </w:r>
    </w:p>
    <w:tbl>
      <w:tblPr>
        <w:tblStyle w:val="Table1"/>
        <w:tblW w:w="8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0"/>
        <w:gridCol w:w="2325"/>
        <w:gridCol w:w="1245"/>
        <w:gridCol w:w="1500"/>
        <w:tblGridChange w:id="0">
          <w:tblGrid>
            <w:gridCol w:w="3420"/>
            <w:gridCol w:w="2325"/>
            <w:gridCol w:w="1245"/>
            <w:gridCol w:w="1500"/>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0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Hemodynamic metric</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0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Location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0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Coefficient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0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p-value</w:t>
            </w:r>
            <w:r w:rsidDel="00000000" w:rsidR="00000000" w:rsidRPr="00000000">
              <w:rPr>
                <w:rtl w:val="0"/>
              </w:rPr>
            </w:r>
          </w:p>
        </w:tc>
      </w:tr>
      <w:tr>
        <w:trPr>
          <w:cantSplit w:val="0"/>
          <w:trHeight w:val="315" w:hRule="atLeast"/>
          <w:tblHeader w:val="0"/>
        </w:trPr>
        <w:tc>
          <w:tcPr>
            <w:vMerge w:val="restart"/>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0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BOLD delay</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0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i w:val="1"/>
                <w:sz w:val="20"/>
                <w:szCs w:val="20"/>
              </w:rPr>
            </w:pPr>
            <w:r w:rsidDel="00000000" w:rsidR="00000000" w:rsidRPr="00000000">
              <w:rPr>
                <w:i w:val="1"/>
                <w:sz w:val="20"/>
                <w:szCs w:val="20"/>
                <w:rtl w:val="0"/>
              </w:rPr>
              <w:t xml:space="preserve">Deep NAWM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0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1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0.219</w:t>
            </w:r>
          </w:p>
        </w:tc>
      </w:tr>
      <w:tr>
        <w:trPr>
          <w:cantSplit w:val="0"/>
          <w:trHeight w:val="315" w:hRule="atLeast"/>
          <w:tblHeader w:val="0"/>
        </w:trPr>
        <w:tc>
          <w:tcPr>
            <w:vMerge w:val="continue"/>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i w:val="1"/>
                <w:sz w:val="20"/>
                <w:szCs w:val="20"/>
              </w:rPr>
            </w:pPr>
            <w:r w:rsidDel="00000000" w:rsidR="00000000" w:rsidRPr="00000000">
              <w:rPr>
                <w:i w:val="1"/>
                <w:sz w:val="20"/>
                <w:szCs w:val="20"/>
                <w:rtl w:val="0"/>
              </w:rPr>
              <w:t xml:space="preserve">Periventricular NAWM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1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0.10</w:t>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0.429</w:t>
            </w:r>
          </w:p>
        </w:tc>
      </w:tr>
      <w:tr>
        <w:trPr>
          <w:cantSplit w:val="0"/>
          <w:trHeight w:val="315" w:hRule="atLeast"/>
          <w:tblHeader w:val="0"/>
        </w:trPr>
        <w:tc>
          <w:tcPr>
            <w:vMerge w:val="restart"/>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5">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CoV</w:t>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6">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i w:val="1"/>
                <w:sz w:val="20"/>
                <w:szCs w:val="20"/>
              </w:rPr>
            </w:pPr>
            <w:r w:rsidDel="00000000" w:rsidR="00000000" w:rsidRPr="00000000">
              <w:rPr>
                <w:i w:val="1"/>
                <w:sz w:val="20"/>
                <w:szCs w:val="20"/>
                <w:rtl w:val="0"/>
              </w:rPr>
              <w:t xml:space="preserve">Deep NAWM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1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b w:val="1"/>
                <w:sz w:val="20"/>
                <w:szCs w:val="20"/>
              </w:rPr>
            </w:pPr>
            <w:r w:rsidDel="00000000" w:rsidR="00000000" w:rsidRPr="00000000">
              <w:rPr>
                <w:b w:val="1"/>
                <w:sz w:val="20"/>
                <w:szCs w:val="20"/>
                <w:rtl w:val="0"/>
              </w:rPr>
              <w:t xml:space="preserve">0.26</w:t>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b w:val="1"/>
                <w:sz w:val="20"/>
                <w:szCs w:val="20"/>
              </w:rPr>
            </w:pPr>
            <w:r w:rsidDel="00000000" w:rsidR="00000000" w:rsidRPr="00000000">
              <w:rPr>
                <w:b w:val="1"/>
                <w:sz w:val="20"/>
                <w:szCs w:val="20"/>
                <w:rtl w:val="0"/>
              </w:rPr>
              <w:t xml:space="preserve">0.025</w:t>
            </w:r>
          </w:p>
        </w:tc>
      </w:tr>
      <w:tr>
        <w:trPr>
          <w:cantSplit w:val="0"/>
          <w:trHeight w:val="315" w:hRule="atLeast"/>
          <w:tblHeader w:val="0"/>
        </w:trPr>
        <w:tc>
          <w:tcPr>
            <w:vMerge w:val="continue"/>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i w:val="1"/>
                <w:sz w:val="20"/>
                <w:szCs w:val="20"/>
              </w:rPr>
            </w:pPr>
            <w:r w:rsidDel="00000000" w:rsidR="00000000" w:rsidRPr="00000000">
              <w:rPr>
                <w:i w:val="1"/>
                <w:sz w:val="20"/>
                <w:szCs w:val="20"/>
                <w:rtl w:val="0"/>
              </w:rPr>
              <w:t xml:space="preserve">Periventricular NAWM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1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0.14</w:t>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0.274</w:t>
            </w:r>
          </w:p>
        </w:tc>
      </w:tr>
      <w:tr>
        <w:trPr>
          <w:cantSplit w:val="0"/>
          <w:trHeight w:val="315" w:hRule="atLeast"/>
          <w:tblHeader w:val="0"/>
        </w:trPr>
        <w:tc>
          <w:tcPr>
            <w:vMerge w:val="restart"/>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OLE</w:t>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1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i w:val="1"/>
                <w:sz w:val="20"/>
                <w:szCs w:val="20"/>
              </w:rPr>
            </w:pPr>
            <w:r w:rsidDel="00000000" w:rsidR="00000000" w:rsidRPr="00000000">
              <w:rPr>
                <w:i w:val="1"/>
                <w:sz w:val="20"/>
                <w:szCs w:val="20"/>
                <w:rtl w:val="0"/>
              </w:rPr>
              <w:t xml:space="preserve">Deep NAWM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1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-0.10</w:t>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2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0.387</w:t>
            </w:r>
          </w:p>
        </w:tc>
      </w:tr>
      <w:tr>
        <w:trPr>
          <w:cantSplit w:val="0"/>
          <w:trHeight w:val="315" w:hRule="atLeast"/>
          <w:tblHeader w:val="0"/>
        </w:trPr>
        <w:tc>
          <w:tcPr>
            <w:vMerge w:val="continue"/>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2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i w:val="1"/>
                <w:sz w:val="20"/>
                <w:szCs w:val="20"/>
              </w:rPr>
            </w:pPr>
            <w:r w:rsidDel="00000000" w:rsidR="00000000" w:rsidRPr="00000000">
              <w:rPr>
                <w:i w:val="1"/>
                <w:sz w:val="20"/>
                <w:szCs w:val="20"/>
                <w:rtl w:val="0"/>
              </w:rPr>
              <w:t xml:space="preserve">Periventricular NAWM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-0.11</w:t>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2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0.374</w:t>
            </w:r>
          </w:p>
        </w:tc>
      </w:tr>
    </w:tbl>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rPr>
          <w:i w:val="1"/>
          <w:highlight w:val="green"/>
        </w:rPr>
      </w:pPr>
      <w:r w:rsidDel="00000000" w:rsidR="00000000" w:rsidRPr="00000000">
        <w:rPr>
          <w:i w:val="1"/>
          <w:rtl w:val="0"/>
        </w:rPr>
        <w:t xml:space="preserve">NAWM = normal-appearing white matter, CoV = coefficient of variation of the BOLD signal, OLE = oxygen level estimate.</w:t>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rPr>
          <w:i w:val="1"/>
        </w:rPr>
      </w:pPr>
      <w:r w:rsidDel="00000000" w:rsidR="00000000" w:rsidRPr="00000000">
        <w:rPr>
          <w:b w:val="1"/>
          <w:i w:val="1"/>
          <w:rtl w:val="0"/>
        </w:rPr>
        <w:t xml:space="preserve">Supplementary Table 2. </w:t>
      </w:r>
      <w:r w:rsidDel="00000000" w:rsidR="00000000" w:rsidRPr="00000000">
        <w:rPr>
          <w:i w:val="1"/>
          <w:rtl w:val="0"/>
        </w:rPr>
        <w:t xml:space="preserve">Multiple linear regression results of the association between hemodynamic metrics with disability and behavioral measures in the multiple sclerosis group.</w:t>
      </w:r>
    </w:p>
    <w:tbl>
      <w:tblPr>
        <w:tblStyle w:val="Table2"/>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470"/>
        <w:gridCol w:w="2175"/>
        <w:gridCol w:w="1290"/>
        <w:gridCol w:w="1470"/>
        <w:gridCol w:w="1470"/>
        <w:tblGridChange w:id="0">
          <w:tblGrid>
            <w:gridCol w:w="1470"/>
            <w:gridCol w:w="1470"/>
            <w:gridCol w:w="2175"/>
            <w:gridCol w:w="1290"/>
            <w:gridCol w:w="1470"/>
            <w:gridCol w:w="1470"/>
          </w:tblGrid>
        </w:tblGridChange>
      </w:tblGrid>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Hemodynamic metric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Measure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Location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Estimate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Standard error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b w:val="1"/>
                <w:sz w:val="20"/>
                <w:szCs w:val="20"/>
                <w:rtl w:val="0"/>
              </w:rPr>
              <w:t xml:space="preserve">p-value</w:t>
            </w:r>
            <w:r w:rsidDel="00000000" w:rsidR="00000000" w:rsidRPr="00000000">
              <w:rPr>
                <w:rtl w:val="0"/>
              </w:rPr>
            </w:r>
          </w:p>
        </w:tc>
      </w:tr>
      <w:tr>
        <w:trPr>
          <w:cantSplit w:val="0"/>
          <w:trHeight w:val="525" w:hRule="atLeast"/>
          <w:tblHeader w:val="0"/>
        </w:trPr>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CoV</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EDSS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Periventricular lesions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b w:val="1"/>
                <w:sz w:val="20"/>
                <w:szCs w:val="20"/>
              </w:rPr>
            </w:pPr>
            <w:r w:rsidDel="00000000" w:rsidR="00000000" w:rsidRPr="00000000">
              <w:rPr>
                <w:b w:val="1"/>
                <w:sz w:val="20"/>
                <w:szCs w:val="20"/>
                <w:rtl w:val="0"/>
              </w:rPr>
              <w:t xml:space="preserve">-250.07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b w:val="1"/>
                <w:sz w:val="20"/>
                <w:szCs w:val="20"/>
              </w:rPr>
            </w:pPr>
            <w:r w:rsidDel="00000000" w:rsidR="00000000" w:rsidRPr="00000000">
              <w:rPr>
                <w:b w:val="1"/>
                <w:sz w:val="20"/>
                <w:szCs w:val="20"/>
                <w:rtl w:val="0"/>
              </w:rPr>
              <w:t xml:space="preserve">87.47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b w:val="1"/>
                <w:sz w:val="20"/>
                <w:szCs w:val="20"/>
              </w:rPr>
            </w:pPr>
            <w:r w:rsidDel="00000000" w:rsidR="00000000" w:rsidRPr="00000000">
              <w:rPr>
                <w:b w:val="1"/>
                <w:sz w:val="20"/>
                <w:szCs w:val="20"/>
                <w:rtl w:val="0"/>
              </w:rPr>
              <w:t xml:space="preserve">0.0071</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5">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Deep WM lesions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21.53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190.38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0.9106</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NAWM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-13.54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112.94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0.9049</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Cortical grey matter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-93.49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58.59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0.1193</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Deep grey matter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-21.76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73.85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0.770</w:t>
            </w:r>
          </w:p>
        </w:tc>
      </w:tr>
      <w:tr>
        <w:trPr>
          <w:cantSplit w:val="0"/>
          <w:trHeight w:val="52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SDMT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Periventricular lesions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-2716.86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1356.18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0.0542</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WM lesions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-3791.06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1857.63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6">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0.0505</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NAWM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-1474.15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1066.68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0.1716</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Cortical grey matter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-404.24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944.18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0.6715</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5">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Deep grey matter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-1358.15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1206.91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0.2691</w:t>
            </w:r>
          </w:p>
        </w:tc>
      </w:tr>
      <w:tr>
        <w:trPr>
          <w:cantSplit w:val="0"/>
          <w:trHeight w:val="525" w:hRule="atLeast"/>
          <w:tblHeader w:val="0"/>
        </w:trPr>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BOLD delay</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EDSS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Periventricular lesions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0.6031</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Deep WM lesions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0.5445</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NAWM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-0.008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0.28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0.9789</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Cortical grey matter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0.34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0.4204</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Deep grey matter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0.62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0.9413</w:t>
            </w:r>
          </w:p>
        </w:tc>
      </w:tr>
      <w:tr>
        <w:trPr>
          <w:cantSplit w:val="0"/>
          <w:trHeight w:val="52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b w:val="1"/>
                <w:sz w:val="20"/>
                <w:szCs w:val="20"/>
              </w:rPr>
            </w:pPr>
            <w:r w:rsidDel="00000000" w:rsidR="00000000" w:rsidRPr="00000000">
              <w:rPr>
                <w:b w:val="1"/>
                <w:sz w:val="20"/>
                <w:szCs w:val="20"/>
                <w:rtl w:val="0"/>
              </w:rPr>
              <w:t xml:space="preserve">SDMT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Periventricular lesions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2.13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0.7001</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Deep WM lesions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2.66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0.9574</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5">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NAWM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3.75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8">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0.7901</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B">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Cortical grey matter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b w:val="1"/>
                <w:sz w:val="20"/>
                <w:szCs w:val="20"/>
              </w:rPr>
            </w:pPr>
            <w:r w:rsidDel="00000000" w:rsidR="00000000" w:rsidRPr="00000000">
              <w:rPr>
                <w:b w:val="1"/>
                <w:sz w:val="20"/>
                <w:szCs w:val="20"/>
                <w:rtl w:val="0"/>
              </w:rPr>
              <w:t xml:space="preserve">-11.48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b w:val="1"/>
                <w:sz w:val="20"/>
                <w:szCs w:val="20"/>
              </w:rPr>
            </w:pPr>
            <w:r w:rsidDel="00000000" w:rsidR="00000000" w:rsidRPr="00000000">
              <w:rPr>
                <w:b w:val="1"/>
                <w:sz w:val="20"/>
                <w:szCs w:val="20"/>
                <w:rtl w:val="0"/>
              </w:rPr>
              <w:t xml:space="preserve">4.06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E">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b w:val="1"/>
                <w:sz w:val="20"/>
                <w:szCs w:val="20"/>
              </w:rPr>
            </w:pPr>
            <w:r w:rsidDel="00000000" w:rsidR="00000000" w:rsidRPr="00000000">
              <w:rPr>
                <w:b w:val="1"/>
                <w:sz w:val="20"/>
                <w:szCs w:val="20"/>
                <w:rtl w:val="0"/>
              </w:rPr>
              <w:t xml:space="preserve">0.0082</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1">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rPr>
                <w:sz w:val="20"/>
                <w:szCs w:val="20"/>
              </w:rPr>
            </w:pPr>
            <w:r w:rsidDel="00000000" w:rsidR="00000000" w:rsidRPr="00000000">
              <w:rPr>
                <w:i w:val="1"/>
                <w:sz w:val="20"/>
                <w:szCs w:val="20"/>
                <w:rtl w:val="0"/>
              </w:rPr>
              <w:t xml:space="preserve">Deep grey matter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1.46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4.39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4">
            <w:pPr>
              <w:widowControl w:val="0"/>
              <w:pBdr>
                <w:top w:color="auto" w:space="0" w:sz="0" w:val="none"/>
                <w:left w:color="auto" w:space="0" w:sz="0" w:val="none"/>
                <w:bottom w:color="auto" w:space="0" w:sz="0" w:val="none"/>
                <w:right w:color="auto" w:space="0" w:sz="0" w:val="none"/>
                <w:between w:color="auto" w:space="0" w:sz="0" w:val="none"/>
              </w:pBdr>
              <w:shd w:fill="auto" w:val="clear"/>
              <w:spacing w:before="0" w:lineRule="auto"/>
              <w:jc w:val="right"/>
              <w:rPr>
                <w:sz w:val="20"/>
                <w:szCs w:val="20"/>
              </w:rPr>
            </w:pPr>
            <w:r w:rsidDel="00000000" w:rsidR="00000000" w:rsidRPr="00000000">
              <w:rPr>
                <w:sz w:val="20"/>
                <w:szCs w:val="20"/>
                <w:rtl w:val="0"/>
              </w:rPr>
              <w:t xml:space="preserve">0.7413</w:t>
            </w:r>
          </w:p>
        </w:tc>
      </w:tr>
    </w:tbl>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200" w:before="0" w:line="480" w:lineRule="auto"/>
        <w:rPr/>
      </w:pPr>
      <w:r w:rsidDel="00000000" w:rsidR="00000000" w:rsidRPr="00000000">
        <w:rPr>
          <w:i w:val="1"/>
          <w:rtl w:val="0"/>
        </w:rPr>
        <w:t xml:space="preserve">All linear regression models are adjusted for age, sex, and disease duration. Statistically significant results (p&lt;0.05) are in bold. CoV = coefficient of variation of the BOLD signal, EDSS = Expanded Disability Status Scale, SDMT = Symbol Digit Modalities Test, WM = white matter, NAWM = normal-appearing white matter</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Mul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uli" w:cs="Muli" w:eastAsia="Muli" w:hAnsi="Muli"/>
        <w:sz w:val="24"/>
        <w:szCs w:val="24"/>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uli" w:cs="Muli" w:eastAsia="Muli" w:hAnsi="Muli"/>
      <w:b w:val="1"/>
    </w:rPr>
  </w:style>
  <w:style w:type="paragraph" w:styleId="Heading2">
    <w:name w:val="heading 2"/>
    <w:basedOn w:val="Normal"/>
    <w:next w:val="Normal"/>
    <w:pPr>
      <w:keepNext w:val="1"/>
      <w:keepLines w:val="1"/>
      <w:pageBreakBefore w:val="0"/>
    </w:pPr>
    <w:rPr>
      <w:i w:val="1"/>
    </w:rPr>
  </w:style>
  <w:style w:type="paragraph" w:styleId="Heading3">
    <w:name w:val="heading 3"/>
    <w:basedOn w:val="Normal"/>
    <w:next w:val="Normal"/>
    <w:pPr>
      <w:keepNext w:val="1"/>
      <w:keepLines w:val="1"/>
      <w:pageBreakBefore w:val="0"/>
      <w:spacing w:after="0" w:before="40" w:lineRule="auto"/>
      <w:ind w:left="720" w:hanging="720"/>
    </w:pPr>
    <w:rPr>
      <w:color w:val="1e4d78"/>
    </w:rPr>
  </w:style>
  <w:style w:type="paragraph" w:styleId="Heading4">
    <w:name w:val="heading 4"/>
    <w:basedOn w:val="Normal"/>
    <w:next w:val="Normal"/>
    <w:pPr>
      <w:keepNext w:val="1"/>
      <w:keepLines w:val="1"/>
      <w:pageBreakBefore w:val="0"/>
      <w:spacing w:after="0" w:before="40" w:lineRule="auto"/>
      <w:ind w:left="864" w:hanging="864"/>
    </w:pPr>
    <w:rPr>
      <w:i w:val="1"/>
      <w:color w:val="2e75b5"/>
    </w:rPr>
  </w:style>
  <w:style w:type="paragraph" w:styleId="Heading5">
    <w:name w:val="heading 5"/>
    <w:basedOn w:val="Normal"/>
    <w:next w:val="Normal"/>
    <w:pPr>
      <w:keepNext w:val="1"/>
      <w:keepLines w:val="1"/>
      <w:pageBreakBefore w:val="0"/>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pageBreakBefore w:val="0"/>
      <w:spacing w:after="0" w:before="40" w:lineRule="auto"/>
      <w:ind w:left="1152" w:hanging="1152"/>
    </w:pPr>
    <w:rPr>
      <w:rFonts w:ascii="Calibri" w:cs="Calibri" w:eastAsia="Calibri" w:hAnsi="Calibri"/>
      <w:color w:val="1e4d78"/>
    </w:rPr>
  </w:style>
  <w:style w:type="paragraph" w:styleId="Title">
    <w:name w:val="Title"/>
    <w:basedOn w:val="Normal"/>
    <w:next w:val="Normal"/>
    <w:pPr>
      <w:jc w:val="center"/>
    </w:pPr>
    <w:rPr>
      <w:b w:val="1"/>
      <w:sz w:val="36"/>
      <w:szCs w:val="36"/>
    </w:rPr>
  </w:style>
  <w:style w:type="paragraph" w:styleId="Subtitle">
    <w:name w:val="Subtitle"/>
    <w:basedOn w:val="Normal"/>
    <w:next w:val="Normal"/>
    <w:pPr>
      <w:keepNext w:val="1"/>
      <w:keepLines w:val="1"/>
      <w:pageBreakBefore w:val="0"/>
    </w:pPr>
    <w:rPr>
      <w:rFonts w:ascii="Roboto" w:cs="Roboto" w:eastAsia="Roboto" w:hAnsi="Roboto"/>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