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3DAF5" w14:textId="2C47AF54" w:rsidR="000252E4" w:rsidRPr="00FD07E3" w:rsidRDefault="000252E4" w:rsidP="003417B2">
      <w:pPr>
        <w:pStyle w:val="paragraph"/>
        <w:spacing w:before="0" w:beforeAutospacing="0" w:after="240" w:afterAutospacing="0" w:line="360" w:lineRule="auto"/>
        <w:textAlignment w:val="baseline"/>
        <w:rPr>
          <w:b/>
          <w:bCs/>
        </w:rPr>
      </w:pPr>
      <w:r w:rsidRPr="00FD07E3">
        <w:rPr>
          <w:rFonts w:asciiTheme="minorHAnsi" w:hAnsiTheme="minorHAnsi" w:cstheme="minorHAnsi"/>
          <w:b/>
          <w:bCs/>
        </w:rPr>
        <w:t xml:space="preserve">Supplemental Figure 1. </w:t>
      </w:r>
      <w:r w:rsidRPr="00FD07E3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Analysis of T-Cell Enrichment.</w:t>
      </w:r>
      <w:r w:rsidR="00C10363" w:rsidRPr="00C10363">
        <w:rPr>
          <w:noProof/>
        </w:rPr>
        <w:t xml:space="preserve"> </w:t>
      </w:r>
      <w:r w:rsidR="00C10363">
        <w:rPr>
          <w:noProof/>
        </w:rPr>
        <w:drawing>
          <wp:inline distT="0" distB="0" distL="0" distR="0" wp14:anchorId="2BCB9E21" wp14:editId="2262594A">
            <wp:extent cx="6214970" cy="4610100"/>
            <wp:effectExtent l="0" t="0" r="0" b="0"/>
            <wp:docPr id="121599890" name="Picture 1" descr="A collage of graphs and ch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9890" name="Picture 1" descr="A collage of graphs and char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288" cy="46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C797" w14:textId="5EBBF43E" w:rsidR="000252E4" w:rsidRPr="00FD07E3" w:rsidRDefault="000252E4" w:rsidP="000252E4">
      <w:pPr>
        <w:pStyle w:val="paragraph"/>
        <w:spacing w:before="0" w:beforeAutospacing="0" w:after="240" w:afterAutospacing="0" w:line="360" w:lineRule="auto"/>
        <w:textAlignment w:val="baseline"/>
        <w:rPr>
          <w:rFonts w:ascii="Calibri" w:hAnsi="Calibri" w:cs="Calibri"/>
        </w:rPr>
      </w:pPr>
      <w:r w:rsidRPr="00FD07E3">
        <w:rPr>
          <w:rStyle w:val="normaltextrun"/>
          <w:rFonts w:ascii="Calibri" w:hAnsi="Calibri" w:cs="Calibri"/>
        </w:rPr>
        <w:t xml:space="preserve">TBNK panel and percent T-cell purity analysis following CD4+/CD8+ enrichment for </w:t>
      </w:r>
      <w:r w:rsidRPr="00FD07E3">
        <w:rPr>
          <w:rStyle w:val="normaltextrun"/>
          <w:rFonts w:ascii="Calibri" w:hAnsi="Calibri" w:cs="Calibri"/>
          <w:b/>
          <w:bCs/>
        </w:rPr>
        <w:t>(A)</w:t>
      </w:r>
      <w:r w:rsidRPr="00FD07E3">
        <w:rPr>
          <w:rStyle w:val="normaltextrun"/>
          <w:rFonts w:ascii="Calibri" w:hAnsi="Calibri" w:cs="Calibri"/>
        </w:rPr>
        <w:t xml:space="preserve"> all representative patient samples, </w:t>
      </w:r>
      <w:r w:rsidRPr="00FD07E3">
        <w:rPr>
          <w:rStyle w:val="normaltextrun"/>
          <w:rFonts w:ascii="Calibri" w:hAnsi="Calibri" w:cs="Calibri"/>
          <w:b/>
          <w:bCs/>
        </w:rPr>
        <w:t>(B)</w:t>
      </w:r>
      <w:r w:rsidRPr="00FD07E3">
        <w:rPr>
          <w:rStyle w:val="normaltextrun"/>
          <w:rFonts w:ascii="Calibri" w:hAnsi="Calibri" w:cs="Calibri"/>
        </w:rPr>
        <w:t xml:space="preserve"> samples from patients with myasthenia gravis, </w:t>
      </w:r>
      <w:r w:rsidRPr="00FD07E3">
        <w:rPr>
          <w:rStyle w:val="normaltextrun"/>
          <w:rFonts w:ascii="Calibri" w:hAnsi="Calibri" w:cs="Calibri"/>
          <w:b/>
          <w:bCs/>
        </w:rPr>
        <w:t>(C)</w:t>
      </w:r>
      <w:r w:rsidRPr="00FD07E3">
        <w:rPr>
          <w:rStyle w:val="normaltextrun"/>
          <w:rFonts w:ascii="Calibri" w:hAnsi="Calibri" w:cs="Calibri"/>
        </w:rPr>
        <w:t xml:space="preserve"> samples from patients with other neurolog</w:t>
      </w:r>
      <w:r w:rsidR="00B65707">
        <w:rPr>
          <w:rStyle w:val="normaltextrun"/>
          <w:rFonts w:ascii="Calibri" w:hAnsi="Calibri" w:cs="Calibri"/>
        </w:rPr>
        <w:t>ical</w:t>
      </w:r>
      <w:r w:rsidRPr="00FD07E3">
        <w:rPr>
          <w:rStyle w:val="normaltextrun"/>
          <w:rFonts w:ascii="Calibri" w:hAnsi="Calibri" w:cs="Calibri"/>
        </w:rPr>
        <w:t xml:space="preserve"> indications, or </w:t>
      </w:r>
      <w:r w:rsidRPr="00FD07E3">
        <w:rPr>
          <w:rStyle w:val="normaltextrun"/>
          <w:rFonts w:ascii="Calibri" w:hAnsi="Calibri" w:cs="Calibri"/>
          <w:b/>
          <w:bCs/>
        </w:rPr>
        <w:t>(D)</w:t>
      </w:r>
      <w:r w:rsidRPr="00FD07E3">
        <w:rPr>
          <w:rStyle w:val="normaltextrun"/>
          <w:rFonts w:ascii="Calibri" w:hAnsi="Calibri" w:cs="Calibri"/>
        </w:rPr>
        <w:t xml:space="preserve"> samples from patients with rheumatolog</w:t>
      </w:r>
      <w:r w:rsidR="00B65707">
        <w:rPr>
          <w:rStyle w:val="normaltextrun"/>
          <w:rFonts w:ascii="Calibri" w:hAnsi="Calibri" w:cs="Calibri"/>
        </w:rPr>
        <w:t>ical</w:t>
      </w:r>
      <w:r w:rsidRPr="00FD07E3">
        <w:rPr>
          <w:rStyle w:val="normaltextrun"/>
          <w:rFonts w:ascii="Calibri" w:hAnsi="Calibri" w:cs="Calibri"/>
        </w:rPr>
        <w:t xml:space="preserve"> indications, each including healthy donor samples for comparison. Each symbol in the legend for panels B-D represents one patient or healthy donor, denoted by number. Data are shown as percentage of the total cell population. </w:t>
      </w:r>
      <w:r w:rsidRPr="00FD07E3">
        <w:rPr>
          <w:rStyle w:val="normaltextrun"/>
          <w:rFonts w:ascii="Calibri" w:hAnsi="Calibri" w:cs="Calibri"/>
          <w:color w:val="000000"/>
        </w:rPr>
        <w:t>Abbreviations: HD, healthy donor; MG, myasthenia gravis; neuro, neuro</w:t>
      </w:r>
      <w:r w:rsidR="002535E9" w:rsidRPr="00FD07E3">
        <w:rPr>
          <w:rStyle w:val="normaltextrun"/>
          <w:rFonts w:ascii="Calibri" w:hAnsi="Calibri" w:cs="Calibri"/>
          <w:color w:val="000000"/>
        </w:rPr>
        <w:t>logical</w:t>
      </w:r>
      <w:r w:rsidRPr="00FD07E3">
        <w:rPr>
          <w:rStyle w:val="normaltextrun"/>
          <w:rFonts w:ascii="Calibri" w:hAnsi="Calibri" w:cs="Calibri"/>
          <w:color w:val="000000"/>
        </w:rPr>
        <w:t xml:space="preserve"> indications; </w:t>
      </w:r>
      <w:r w:rsidRPr="00FD07E3">
        <w:rPr>
          <w:rFonts w:ascii="Calibri" w:hAnsi="Calibri" w:cs="Calibri"/>
        </w:rPr>
        <w:t xml:space="preserve">NK, natural killer; </w:t>
      </w:r>
      <w:r w:rsidRPr="00FD07E3">
        <w:rPr>
          <w:rStyle w:val="normaltextrun"/>
          <w:rFonts w:ascii="Calibri" w:hAnsi="Calibri" w:cs="Calibri"/>
          <w:color w:val="000000"/>
        </w:rPr>
        <w:t xml:space="preserve">NKT cells, </w:t>
      </w:r>
      <w:r w:rsidRPr="00FD07E3">
        <w:rPr>
          <w:rFonts w:ascii="Calibri" w:hAnsi="Calibri" w:cs="Calibri"/>
        </w:rPr>
        <w:t xml:space="preserve">natural killer T cells; </w:t>
      </w:r>
      <w:r w:rsidRPr="00FD07E3">
        <w:rPr>
          <w:rStyle w:val="normaltextrun"/>
          <w:rFonts w:ascii="Calibri" w:hAnsi="Calibri" w:cs="Calibri"/>
          <w:color w:val="000000"/>
        </w:rPr>
        <w:t>rheum, rheumato</w:t>
      </w:r>
      <w:r w:rsidR="002535E9" w:rsidRPr="00FD07E3">
        <w:rPr>
          <w:rStyle w:val="normaltextrun"/>
          <w:rFonts w:ascii="Calibri" w:hAnsi="Calibri" w:cs="Calibri"/>
          <w:color w:val="000000"/>
        </w:rPr>
        <w:t>logical</w:t>
      </w:r>
      <w:r w:rsidRPr="00FD07E3">
        <w:rPr>
          <w:rStyle w:val="normaltextrun"/>
          <w:rFonts w:ascii="Calibri" w:hAnsi="Calibri" w:cs="Calibri"/>
          <w:color w:val="000000"/>
        </w:rPr>
        <w:t xml:space="preserve"> indications; </w:t>
      </w:r>
      <w:r w:rsidRPr="00FD07E3">
        <w:rPr>
          <w:rStyle w:val="eop"/>
          <w:rFonts w:ascii="Calibri" w:hAnsi="Calibri" w:cs="Calibri"/>
          <w:color w:val="000000"/>
        </w:rPr>
        <w:t xml:space="preserve">TBNK, </w:t>
      </w:r>
      <w:r w:rsidRPr="00FD07E3">
        <w:rPr>
          <w:rFonts w:ascii="Calibri" w:hAnsi="Calibri" w:cs="Calibri"/>
        </w:rPr>
        <w:t>distribution of total T-cells, helper T-cells, cytotoxic T-cells, B-cells, eosinophils, monocytes, neutrophils, NKT cells, and CD56</w:t>
      </w:r>
      <w:r w:rsidRPr="00FD07E3">
        <w:rPr>
          <w:rFonts w:ascii="Calibri" w:hAnsi="Calibri" w:cs="Calibri"/>
          <w:vertAlign w:val="superscript"/>
        </w:rPr>
        <w:t>+</w:t>
      </w:r>
      <w:r w:rsidRPr="00FD07E3">
        <w:rPr>
          <w:rFonts w:ascii="Calibri" w:hAnsi="Calibri" w:cs="Calibri"/>
        </w:rPr>
        <w:t>CD16</w:t>
      </w:r>
      <w:r w:rsidRPr="00FD07E3">
        <w:rPr>
          <w:rFonts w:ascii="Calibri" w:hAnsi="Calibri" w:cs="Calibri"/>
          <w:vertAlign w:val="superscript"/>
        </w:rPr>
        <w:t>+</w:t>
      </w:r>
      <w:r w:rsidRPr="00FD07E3">
        <w:rPr>
          <w:rFonts w:ascii="Calibri" w:hAnsi="Calibri" w:cs="Calibri"/>
        </w:rPr>
        <w:t xml:space="preserve"> (NK) cells. </w:t>
      </w:r>
    </w:p>
    <w:p w14:paraId="63B245B8" w14:textId="77777777" w:rsidR="000252E4" w:rsidRPr="00FD07E3" w:rsidRDefault="000252E4">
      <w:pPr>
        <w:rPr>
          <w:b/>
          <w:bCs/>
        </w:rPr>
      </w:pPr>
    </w:p>
    <w:p w14:paraId="5955E194" w14:textId="05500BE1" w:rsidR="00F317B9" w:rsidRPr="00FD07E3" w:rsidRDefault="00E43BBA">
      <w:pPr>
        <w:rPr>
          <w:b/>
          <w:bCs/>
        </w:rPr>
      </w:pPr>
      <w:r w:rsidRPr="00FD07E3">
        <w:rPr>
          <w:b/>
          <w:bCs/>
        </w:rPr>
        <w:t xml:space="preserve">Supplemental Figure </w:t>
      </w:r>
      <w:r w:rsidR="000252E4" w:rsidRPr="00FD07E3">
        <w:rPr>
          <w:b/>
          <w:bCs/>
        </w:rPr>
        <w:t>2</w:t>
      </w:r>
      <w:r w:rsidRPr="00FD07E3">
        <w:rPr>
          <w:b/>
          <w:bCs/>
        </w:rPr>
        <w:t xml:space="preserve">. Representative </w:t>
      </w:r>
      <w:r w:rsidR="0048682B" w:rsidRPr="00FD07E3">
        <w:rPr>
          <w:b/>
          <w:bCs/>
        </w:rPr>
        <w:t xml:space="preserve">Flow </w:t>
      </w:r>
      <w:r w:rsidRPr="00FD07E3">
        <w:rPr>
          <w:b/>
          <w:bCs/>
        </w:rPr>
        <w:t>Plot</w:t>
      </w:r>
      <w:r w:rsidR="00677123" w:rsidRPr="00FD07E3">
        <w:rPr>
          <w:b/>
          <w:bCs/>
        </w:rPr>
        <w:t>s</w:t>
      </w:r>
      <w:r w:rsidRPr="00FD07E3">
        <w:rPr>
          <w:b/>
          <w:bCs/>
        </w:rPr>
        <w:t xml:space="preserve"> for CAR Transduction Efficiency Calculations.</w:t>
      </w:r>
    </w:p>
    <w:p w14:paraId="3B264A43" w14:textId="23C8DE34" w:rsidR="00E43BBA" w:rsidRPr="00FD07E3" w:rsidRDefault="00E43BBA">
      <w:pPr>
        <w:rPr>
          <w:b/>
          <w:bCs/>
        </w:rPr>
      </w:pPr>
      <w:r w:rsidRPr="00FD07E3">
        <w:rPr>
          <w:b/>
          <w:bCs/>
        </w:rPr>
        <w:t>A</w:t>
      </w:r>
    </w:p>
    <w:p w14:paraId="358EE45F" w14:textId="719F0AAF" w:rsidR="00E43BBA" w:rsidRPr="00FD07E3" w:rsidRDefault="00AB2C05">
      <w:pPr>
        <w:rPr>
          <w:b/>
          <w:bCs/>
        </w:rPr>
      </w:pPr>
      <w:r w:rsidRPr="00FD07E3">
        <w:rPr>
          <w:b/>
          <w:bCs/>
          <w:noProof/>
        </w:rPr>
        <w:drawing>
          <wp:inline distT="0" distB="0" distL="0" distR="0" wp14:anchorId="51F6E172" wp14:editId="65A31CEE">
            <wp:extent cx="5803900" cy="5181600"/>
            <wp:effectExtent l="0" t="0" r="0" b="0"/>
            <wp:docPr id="389545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45464" name="Picture 38954546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E1EE" w14:textId="29E842B5" w:rsidR="00AB2C05" w:rsidRPr="00FD07E3" w:rsidRDefault="00AB2C05">
      <w:pPr>
        <w:rPr>
          <w:b/>
          <w:bCs/>
        </w:rPr>
      </w:pPr>
      <w:r w:rsidRPr="00FD07E3">
        <w:rPr>
          <w:b/>
          <w:bCs/>
        </w:rPr>
        <w:br/>
      </w:r>
      <w:r w:rsidRPr="00FD07E3">
        <w:rPr>
          <w:b/>
          <w:bCs/>
        </w:rPr>
        <w:br w:type="page"/>
      </w:r>
    </w:p>
    <w:p w14:paraId="41D65F25" w14:textId="4938C809" w:rsidR="00416E2E" w:rsidRPr="00FD07E3" w:rsidRDefault="00E43BBA">
      <w:pPr>
        <w:rPr>
          <w:b/>
          <w:bCs/>
        </w:rPr>
      </w:pPr>
      <w:r w:rsidRPr="00FD07E3">
        <w:rPr>
          <w:b/>
          <w:bCs/>
        </w:rPr>
        <w:lastRenderedPageBreak/>
        <w:t>B</w:t>
      </w:r>
    </w:p>
    <w:p w14:paraId="077A66AC" w14:textId="769D29C7" w:rsidR="00E43BBA" w:rsidRPr="00FD07E3" w:rsidRDefault="00AB2C05">
      <w:r w:rsidRPr="00FD07E3">
        <w:rPr>
          <w:noProof/>
        </w:rPr>
        <w:drawing>
          <wp:inline distT="0" distB="0" distL="0" distR="0" wp14:anchorId="3B3E4242" wp14:editId="0A1BA9FB">
            <wp:extent cx="5842000" cy="5207000"/>
            <wp:effectExtent l="0" t="0" r="0" b="0"/>
            <wp:docPr id="1790481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81929" name="Picture 17904819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BA78" w14:textId="77777777" w:rsidR="00AB2C05" w:rsidRPr="00FD07E3" w:rsidRDefault="00AB2C05" w:rsidP="05F7F222"/>
    <w:p w14:paraId="36C24221" w14:textId="282DED1A" w:rsidR="00E43BBA" w:rsidRPr="00FD07E3" w:rsidRDefault="00E516F5" w:rsidP="05F7F222">
      <w:r w:rsidRPr="00FD07E3">
        <w:t xml:space="preserve">Representative flow cytometry plots for CAR transduction efficiency analyses showing </w:t>
      </w:r>
      <w:r w:rsidR="00E43BBA" w:rsidRPr="00FD07E3">
        <w:rPr>
          <w:b/>
          <w:bCs/>
        </w:rPr>
        <w:t>(A)</w:t>
      </w:r>
      <w:r w:rsidR="00F53659" w:rsidRPr="00FD07E3">
        <w:t xml:space="preserve"> unstained and </w:t>
      </w:r>
      <w:r w:rsidR="00F53659" w:rsidRPr="00FD07E3">
        <w:rPr>
          <w:b/>
          <w:bCs/>
        </w:rPr>
        <w:t>(B)</w:t>
      </w:r>
      <w:r w:rsidR="00F53659" w:rsidRPr="00FD07E3">
        <w:t xml:space="preserve"> stained cells. </w:t>
      </w:r>
      <w:r w:rsidR="2168701D" w:rsidRPr="00FD07E3">
        <w:t>Gated parent populations are indicated above each graph</w:t>
      </w:r>
      <w:r w:rsidR="00292EAF" w:rsidRPr="00FD07E3">
        <w:t>.</w:t>
      </w:r>
      <w:r w:rsidR="00F53659" w:rsidRPr="00FD07E3">
        <w:t xml:space="preserve"> </w:t>
      </w:r>
    </w:p>
    <w:p w14:paraId="5608A6C6" w14:textId="390EBA80" w:rsidR="00F53659" w:rsidRPr="00FD07E3" w:rsidRDefault="00F53659" w:rsidP="05F7F222">
      <w:r w:rsidRPr="00FD07E3">
        <w:t>Abbreviations: CAR, chimeric antigen receptor.</w:t>
      </w:r>
    </w:p>
    <w:p w14:paraId="3A282457" w14:textId="77777777" w:rsidR="009A04E6" w:rsidRPr="00FD07E3" w:rsidRDefault="009A04E6">
      <w:pPr>
        <w:rPr>
          <w:b/>
          <w:bCs/>
        </w:rPr>
      </w:pPr>
      <w:r w:rsidRPr="00FD07E3">
        <w:rPr>
          <w:b/>
          <w:bCs/>
        </w:rPr>
        <w:br w:type="page"/>
      </w:r>
    </w:p>
    <w:p w14:paraId="5FE7A732" w14:textId="1468D8A0" w:rsidR="00931455" w:rsidRPr="00FD07E3" w:rsidRDefault="00931455" w:rsidP="00931455">
      <w:pPr>
        <w:rPr>
          <w:b/>
          <w:bCs/>
        </w:rPr>
      </w:pPr>
      <w:r w:rsidRPr="00FD07E3">
        <w:rPr>
          <w:b/>
          <w:bCs/>
        </w:rPr>
        <w:lastRenderedPageBreak/>
        <w:t>Supplemental Figure 3. Representative TBNK Flow Plot and Gating Scheme for Final Drug Product.</w:t>
      </w:r>
    </w:p>
    <w:p w14:paraId="55061C67" w14:textId="77777777" w:rsidR="00931455" w:rsidRPr="00FD07E3" w:rsidRDefault="00931455" w:rsidP="00931455">
      <w:pPr>
        <w:rPr>
          <w:b/>
          <w:bCs/>
        </w:rPr>
      </w:pPr>
      <w:r w:rsidRPr="00FD07E3">
        <w:rPr>
          <w:b/>
          <w:bCs/>
        </w:rPr>
        <w:t>A</w:t>
      </w:r>
    </w:p>
    <w:p w14:paraId="667C8331" w14:textId="77777777" w:rsidR="00931455" w:rsidRPr="00FD07E3" w:rsidRDefault="00931455" w:rsidP="00931455">
      <w:r w:rsidRPr="00FD07E3">
        <w:rPr>
          <w:noProof/>
        </w:rPr>
        <w:drawing>
          <wp:inline distT="0" distB="0" distL="0" distR="0" wp14:anchorId="3D9DB86C" wp14:editId="66B8CD84">
            <wp:extent cx="5388828" cy="7537077"/>
            <wp:effectExtent l="0" t="0" r="0" b="0"/>
            <wp:docPr id="1411248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48728" name="Picture 14112487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249" cy="75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DE98" w14:textId="77777777" w:rsidR="00931455" w:rsidRPr="00FD07E3" w:rsidRDefault="00931455" w:rsidP="00931455">
      <w:pPr>
        <w:rPr>
          <w:b/>
          <w:bCs/>
        </w:rPr>
      </w:pPr>
      <w:r w:rsidRPr="00FD07E3">
        <w:rPr>
          <w:b/>
          <w:bCs/>
        </w:rPr>
        <w:lastRenderedPageBreak/>
        <w:t>B</w:t>
      </w:r>
    </w:p>
    <w:p w14:paraId="1585475C" w14:textId="77777777" w:rsidR="00931455" w:rsidRPr="00FD07E3" w:rsidRDefault="00931455" w:rsidP="00931455">
      <w:r w:rsidRPr="00FD07E3">
        <w:rPr>
          <w:noProof/>
          <w:color w:val="2B579A"/>
          <w:shd w:val="clear" w:color="auto" w:fill="E6E6E6"/>
        </w:rPr>
        <w:drawing>
          <wp:inline distT="0" distB="0" distL="0" distR="0" wp14:anchorId="5AB12954" wp14:editId="77D5D950">
            <wp:extent cx="5943600" cy="3003377"/>
            <wp:effectExtent l="0" t="0" r="0" b="0"/>
            <wp:docPr id="1257721068" name="Picture 1" descr="A black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21068" name="Picture 1" descr="A black and white document with tex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/>
                    <a:stretch/>
                  </pic:blipFill>
                  <pic:spPr bwMode="auto">
                    <a:xfrm>
                      <a:off x="0" y="0"/>
                      <a:ext cx="5943600" cy="300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F5B9B" w14:textId="77777777" w:rsidR="00931455" w:rsidRPr="00FD07E3" w:rsidRDefault="00931455" w:rsidP="00931455">
      <w:r w:rsidRPr="00FD07E3">
        <w:rPr>
          <w:b/>
          <w:bCs/>
        </w:rPr>
        <w:t>(A)</w:t>
      </w:r>
      <w:r w:rsidRPr="00FD07E3">
        <w:t xml:space="preserve"> Representative flow cytometry plots for the TBNK panel for a final drug product. Gated parent populations are indicated above each graph. </w:t>
      </w:r>
      <w:r w:rsidRPr="00FD07E3">
        <w:rPr>
          <w:b/>
          <w:bCs/>
        </w:rPr>
        <w:t>(B)</w:t>
      </w:r>
      <w:r w:rsidRPr="00FD07E3">
        <w:t xml:space="preserve"> Representative gating hierarchy for the TBNK analysis.</w:t>
      </w:r>
    </w:p>
    <w:p w14:paraId="293A1237" w14:textId="77777777" w:rsidR="00931455" w:rsidRPr="00FD07E3" w:rsidRDefault="00931455" w:rsidP="00931455">
      <w:r w:rsidRPr="00FD07E3">
        <w:t>Abbreviations: CAR, chimeric antigen receptor; TBNK, total T cells, helper T cells, cytotoxic T cells, B cells, eosinophils, monocytes, neutrophils, natural killer T (NKT) cells and natural killer (NK) cells.</w:t>
      </w:r>
    </w:p>
    <w:p w14:paraId="33D997B5" w14:textId="77777777" w:rsidR="00931455" w:rsidRPr="00FD07E3" w:rsidRDefault="00931455" w:rsidP="00931455"/>
    <w:p w14:paraId="52EA58F2" w14:textId="77777777" w:rsidR="00931455" w:rsidRPr="00FD07E3" w:rsidRDefault="00931455">
      <w:pPr>
        <w:rPr>
          <w:rFonts w:eastAsia="Times New Roman" w:cstheme="minorHAnsi"/>
          <w:b/>
          <w:bCs/>
          <w:kern w:val="0"/>
          <w14:ligatures w14:val="none"/>
        </w:rPr>
      </w:pPr>
      <w:r w:rsidRPr="00FD07E3">
        <w:rPr>
          <w:rFonts w:cstheme="minorHAnsi"/>
          <w:b/>
          <w:bCs/>
        </w:rPr>
        <w:br w:type="page"/>
      </w:r>
    </w:p>
    <w:p w14:paraId="3909EB34" w14:textId="6DC861F8" w:rsidR="003417B2" w:rsidRPr="00FD07E3" w:rsidRDefault="009A04E6" w:rsidP="003417B2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sz w:val="18"/>
          <w:szCs w:val="18"/>
        </w:rPr>
      </w:pPr>
      <w:r w:rsidRPr="00FD07E3">
        <w:rPr>
          <w:rFonts w:asciiTheme="minorHAnsi" w:hAnsiTheme="minorHAnsi" w:cstheme="minorHAnsi"/>
          <w:b/>
          <w:bCs/>
        </w:rPr>
        <w:lastRenderedPageBreak/>
        <w:t xml:space="preserve">Supplemental Figure </w:t>
      </w:r>
      <w:r w:rsidR="00931455" w:rsidRPr="00FD07E3">
        <w:rPr>
          <w:rFonts w:asciiTheme="minorHAnsi" w:hAnsiTheme="minorHAnsi" w:cstheme="minorHAnsi"/>
          <w:b/>
          <w:bCs/>
        </w:rPr>
        <w:t>4</w:t>
      </w:r>
      <w:r w:rsidR="003417B2" w:rsidRPr="00FD07E3">
        <w:rPr>
          <w:rFonts w:asciiTheme="minorHAnsi" w:hAnsiTheme="minorHAnsi" w:cstheme="minorHAnsi"/>
          <w:b/>
          <w:bCs/>
        </w:rPr>
        <w:t xml:space="preserve">. </w:t>
      </w:r>
      <w:r w:rsidR="003417B2" w:rsidRPr="00FD07E3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 xml:space="preserve">Composition of </w:t>
      </w:r>
      <w:r w:rsidR="00B65707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Fi</w:t>
      </w:r>
      <w:r w:rsidR="003417B2" w:rsidRPr="00FD07E3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 xml:space="preserve">nal CAR T-cell </w:t>
      </w:r>
      <w:r w:rsidR="00B65707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P</w:t>
      </w:r>
      <w:r w:rsidR="003417B2" w:rsidRPr="00FD07E3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roduct.</w:t>
      </w:r>
    </w:p>
    <w:p w14:paraId="59887522" w14:textId="52804867" w:rsidR="009A04E6" w:rsidRPr="00FD07E3" w:rsidRDefault="009A04E6">
      <w:pPr>
        <w:rPr>
          <w:b/>
          <w:bCs/>
        </w:rPr>
      </w:pPr>
      <w:r w:rsidRPr="00FD07E3">
        <w:rPr>
          <w:b/>
          <w:bCs/>
        </w:rPr>
        <w:t>A</w:t>
      </w:r>
    </w:p>
    <w:p w14:paraId="42A798D3" w14:textId="27280541" w:rsidR="009A04E6" w:rsidRPr="00FD07E3" w:rsidRDefault="001C04CB">
      <w:pPr>
        <w:rPr>
          <w:b/>
          <w:bCs/>
        </w:rPr>
      </w:pPr>
      <w:r>
        <w:rPr>
          <w:noProof/>
        </w:rPr>
        <w:drawing>
          <wp:inline distT="0" distB="0" distL="0" distR="0" wp14:anchorId="455E5772" wp14:editId="37C71883">
            <wp:extent cx="3543300" cy="2895600"/>
            <wp:effectExtent l="0" t="0" r="0" b="0"/>
            <wp:docPr id="961414969" name="Picture 1" descr="A graph of a graph showing different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14969" name="Picture 1" descr="A graph of a graph showing different cell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9803" w14:textId="7D032373" w:rsidR="009A04E6" w:rsidRPr="00FD07E3" w:rsidRDefault="009A04E6">
      <w:pPr>
        <w:rPr>
          <w:b/>
          <w:bCs/>
        </w:rPr>
      </w:pPr>
      <w:r w:rsidRPr="00FD07E3">
        <w:rPr>
          <w:b/>
          <w:bCs/>
        </w:rPr>
        <w:t>B</w:t>
      </w:r>
    </w:p>
    <w:p w14:paraId="277ADB3C" w14:textId="77777777" w:rsidR="009A04E6" w:rsidRPr="00FD07E3" w:rsidRDefault="009A04E6">
      <w:pPr>
        <w:rPr>
          <w:b/>
          <w:bCs/>
        </w:rPr>
      </w:pPr>
    </w:p>
    <w:p w14:paraId="60E0FFB8" w14:textId="7CB1E366" w:rsidR="009A04E6" w:rsidRPr="00FD07E3" w:rsidRDefault="00D01A45">
      <w:pPr>
        <w:rPr>
          <w:b/>
          <w:bCs/>
        </w:rPr>
      </w:pPr>
      <w:r>
        <w:rPr>
          <w:noProof/>
        </w:rPr>
        <w:drawing>
          <wp:inline distT="0" distB="0" distL="0" distR="0" wp14:anchorId="4F6DB7DD" wp14:editId="1776E975">
            <wp:extent cx="3390900" cy="2581275"/>
            <wp:effectExtent l="0" t="0" r="0" b="9525"/>
            <wp:docPr id="1289526875" name="Picture 1" descr="A chart of different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26875" name="Picture 1" descr="A chart of different cell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0FC3" w14:textId="77777777" w:rsidR="009A04E6" w:rsidRPr="00FD07E3" w:rsidRDefault="009A04E6">
      <w:pPr>
        <w:rPr>
          <w:b/>
          <w:bCs/>
        </w:rPr>
      </w:pPr>
      <w:r w:rsidRPr="00FD07E3">
        <w:rPr>
          <w:b/>
          <w:bCs/>
        </w:rPr>
        <w:br w:type="page"/>
      </w:r>
    </w:p>
    <w:p w14:paraId="19688100" w14:textId="589C3F4D" w:rsidR="009A04E6" w:rsidRPr="00FD07E3" w:rsidRDefault="009A04E6">
      <w:pPr>
        <w:rPr>
          <w:b/>
          <w:bCs/>
        </w:rPr>
      </w:pPr>
      <w:r w:rsidRPr="00FD07E3">
        <w:rPr>
          <w:b/>
          <w:bCs/>
        </w:rPr>
        <w:lastRenderedPageBreak/>
        <w:t>C</w:t>
      </w:r>
    </w:p>
    <w:p w14:paraId="07760798" w14:textId="532F04EF" w:rsidR="009A04E6" w:rsidRPr="00FD07E3" w:rsidRDefault="00BC1553">
      <w:pPr>
        <w:rPr>
          <w:b/>
          <w:bCs/>
        </w:rPr>
      </w:pPr>
      <w:r>
        <w:rPr>
          <w:noProof/>
        </w:rPr>
        <w:drawing>
          <wp:inline distT="0" distB="0" distL="0" distR="0" wp14:anchorId="4DDD1F56" wp14:editId="7F184FCE">
            <wp:extent cx="3352800" cy="2667000"/>
            <wp:effectExtent l="0" t="0" r="0" b="0"/>
            <wp:docPr id="1059303032" name="Picture 1" descr="A graph of a number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03032" name="Picture 1" descr="A graph of a number of cell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3E2C" w14:textId="45DF81F4" w:rsidR="009B32A1" w:rsidRDefault="009A04E6" w:rsidP="00B665D1">
      <w:pPr>
        <w:pStyle w:val="paragraph"/>
        <w:spacing w:before="0" w:beforeAutospacing="0" w:after="240" w:afterAutospacing="0" w:line="360" w:lineRule="auto"/>
        <w:textAlignment w:val="baseline"/>
        <w:rPr>
          <w:b/>
          <w:bCs/>
        </w:rPr>
      </w:pPr>
      <w:r w:rsidRPr="00FD07E3">
        <w:rPr>
          <w:rStyle w:val="normaltextrun"/>
          <w:rFonts w:ascii="Calibri" w:hAnsi="Calibri" w:cs="Calibri"/>
        </w:rPr>
        <w:t xml:space="preserve">TBNK panel and percent T-cell purity analysis of the final drug product for </w:t>
      </w:r>
      <w:r w:rsidRPr="00FD07E3">
        <w:rPr>
          <w:rStyle w:val="normaltextrun"/>
          <w:rFonts w:ascii="Calibri" w:hAnsi="Calibri" w:cs="Calibri"/>
          <w:b/>
          <w:bCs/>
        </w:rPr>
        <w:t>(A)</w:t>
      </w:r>
      <w:r w:rsidRPr="00FD07E3">
        <w:rPr>
          <w:rStyle w:val="normaltextrun"/>
          <w:rFonts w:ascii="Calibri" w:hAnsi="Calibri" w:cs="Calibri"/>
        </w:rPr>
        <w:t xml:space="preserve"> samples from patients with myasthenia gravis, </w:t>
      </w:r>
      <w:r w:rsidRPr="00FD07E3">
        <w:rPr>
          <w:rStyle w:val="normaltextrun"/>
          <w:rFonts w:ascii="Calibri" w:hAnsi="Calibri" w:cs="Calibri"/>
          <w:b/>
          <w:bCs/>
        </w:rPr>
        <w:t>(B)</w:t>
      </w:r>
      <w:r w:rsidRPr="00FD07E3">
        <w:rPr>
          <w:rStyle w:val="normaltextrun"/>
          <w:rFonts w:ascii="Calibri" w:hAnsi="Calibri" w:cs="Calibri"/>
        </w:rPr>
        <w:t xml:space="preserve"> samples from patients with other neuro</w:t>
      </w:r>
      <w:r w:rsidR="002535E9" w:rsidRPr="00FD07E3">
        <w:rPr>
          <w:rStyle w:val="normaltextrun"/>
          <w:rFonts w:ascii="Calibri" w:hAnsi="Calibri" w:cs="Calibri"/>
        </w:rPr>
        <w:t>logical</w:t>
      </w:r>
      <w:r w:rsidRPr="00FD07E3">
        <w:rPr>
          <w:rStyle w:val="normaltextrun"/>
          <w:rFonts w:ascii="Calibri" w:hAnsi="Calibri" w:cs="Calibri"/>
        </w:rPr>
        <w:t xml:space="preserve"> indications, or </w:t>
      </w:r>
      <w:r w:rsidRPr="00FD07E3">
        <w:rPr>
          <w:rStyle w:val="normaltextrun"/>
          <w:rFonts w:ascii="Calibri" w:hAnsi="Calibri" w:cs="Calibri"/>
          <w:b/>
          <w:bCs/>
        </w:rPr>
        <w:t>(C)</w:t>
      </w:r>
      <w:r w:rsidRPr="00FD07E3">
        <w:rPr>
          <w:rStyle w:val="normaltextrun"/>
          <w:rFonts w:ascii="Calibri" w:hAnsi="Calibri" w:cs="Calibri"/>
        </w:rPr>
        <w:t xml:space="preserve"> samples from patients with rheumato</w:t>
      </w:r>
      <w:r w:rsidR="002535E9" w:rsidRPr="00FD07E3">
        <w:rPr>
          <w:rStyle w:val="normaltextrun"/>
          <w:rFonts w:ascii="Calibri" w:hAnsi="Calibri" w:cs="Calibri"/>
        </w:rPr>
        <w:t>logical</w:t>
      </w:r>
      <w:r w:rsidRPr="00FD07E3">
        <w:rPr>
          <w:rStyle w:val="normaltextrun"/>
          <w:rFonts w:ascii="Calibri" w:hAnsi="Calibri" w:cs="Calibri"/>
        </w:rPr>
        <w:t xml:space="preserve"> indications. Each symbol in the legend represents one patient or healthy donor, denoted by number. Data are shown as percentage of the total cell population. </w:t>
      </w:r>
      <w:r w:rsidRPr="00FD07E3">
        <w:rPr>
          <w:rStyle w:val="normaltextrun"/>
          <w:rFonts w:ascii="Calibri" w:hAnsi="Calibri" w:cs="Calibri"/>
          <w:color w:val="000000"/>
        </w:rPr>
        <w:t>Abbreviations: HD, healthy donor; MG, myasthenia gravis; neuro, neuro</w:t>
      </w:r>
      <w:r w:rsidR="002535E9" w:rsidRPr="00FD07E3">
        <w:rPr>
          <w:rStyle w:val="normaltextrun"/>
          <w:rFonts w:ascii="Calibri" w:hAnsi="Calibri" w:cs="Calibri"/>
          <w:color w:val="000000"/>
        </w:rPr>
        <w:t>logical</w:t>
      </w:r>
      <w:r w:rsidRPr="00FD07E3">
        <w:rPr>
          <w:rStyle w:val="normaltextrun"/>
          <w:rFonts w:ascii="Calibri" w:hAnsi="Calibri" w:cs="Calibri"/>
          <w:color w:val="000000"/>
        </w:rPr>
        <w:t xml:space="preserve"> indications; </w:t>
      </w:r>
      <w:r w:rsidRPr="00FD07E3">
        <w:rPr>
          <w:rFonts w:ascii="Calibri" w:hAnsi="Calibri" w:cs="Calibri"/>
        </w:rPr>
        <w:t xml:space="preserve">NK, natural killer; </w:t>
      </w:r>
      <w:r w:rsidRPr="00FD07E3">
        <w:rPr>
          <w:rStyle w:val="normaltextrun"/>
          <w:rFonts w:ascii="Calibri" w:hAnsi="Calibri" w:cs="Calibri"/>
          <w:color w:val="000000"/>
        </w:rPr>
        <w:t xml:space="preserve">NKT cells, </w:t>
      </w:r>
      <w:r w:rsidRPr="00FD07E3">
        <w:rPr>
          <w:rFonts w:ascii="Calibri" w:hAnsi="Calibri" w:cs="Calibri"/>
        </w:rPr>
        <w:t xml:space="preserve">natural killer T cells; </w:t>
      </w:r>
      <w:r w:rsidRPr="00FD07E3">
        <w:rPr>
          <w:rStyle w:val="normaltextrun"/>
          <w:rFonts w:ascii="Calibri" w:hAnsi="Calibri" w:cs="Calibri"/>
          <w:color w:val="000000"/>
        </w:rPr>
        <w:t>rheum, rheumato</w:t>
      </w:r>
      <w:r w:rsidR="002535E9" w:rsidRPr="00FD07E3">
        <w:rPr>
          <w:rStyle w:val="normaltextrun"/>
          <w:rFonts w:ascii="Calibri" w:hAnsi="Calibri" w:cs="Calibri"/>
          <w:color w:val="000000"/>
        </w:rPr>
        <w:t>logical</w:t>
      </w:r>
      <w:r w:rsidRPr="00FD07E3">
        <w:rPr>
          <w:rStyle w:val="normaltextrun"/>
          <w:rFonts w:ascii="Calibri" w:hAnsi="Calibri" w:cs="Calibri"/>
          <w:color w:val="000000"/>
        </w:rPr>
        <w:t xml:space="preserve"> indications; </w:t>
      </w:r>
      <w:r w:rsidRPr="00FD07E3">
        <w:rPr>
          <w:rStyle w:val="eop"/>
          <w:rFonts w:ascii="Calibri" w:hAnsi="Calibri" w:cs="Calibri"/>
          <w:color w:val="000000"/>
        </w:rPr>
        <w:t xml:space="preserve">TBNK panel, </w:t>
      </w:r>
      <w:r w:rsidRPr="00FD07E3">
        <w:rPr>
          <w:rFonts w:ascii="Calibri" w:hAnsi="Calibri" w:cs="Calibri"/>
        </w:rPr>
        <w:t>distribution of total T cells, helper T cells, cytotoxic T cells, B cells, eosinophils, monocytes, neutrophils, NKT cells and CD56</w:t>
      </w:r>
      <w:r w:rsidRPr="00FD07E3">
        <w:rPr>
          <w:rFonts w:ascii="Calibri" w:hAnsi="Calibri" w:cs="Calibri"/>
          <w:vertAlign w:val="superscript"/>
        </w:rPr>
        <w:t>+</w:t>
      </w:r>
      <w:r w:rsidRPr="00FD07E3">
        <w:rPr>
          <w:rFonts w:ascii="Calibri" w:hAnsi="Calibri" w:cs="Calibri"/>
        </w:rPr>
        <w:t>CD16</w:t>
      </w:r>
      <w:r w:rsidRPr="00FD07E3">
        <w:rPr>
          <w:rFonts w:ascii="Calibri" w:hAnsi="Calibri" w:cs="Calibri"/>
          <w:vertAlign w:val="superscript"/>
        </w:rPr>
        <w:t>+</w:t>
      </w:r>
      <w:r w:rsidRPr="00FD07E3">
        <w:rPr>
          <w:rFonts w:ascii="Calibri" w:hAnsi="Calibri" w:cs="Calibri"/>
        </w:rPr>
        <w:t xml:space="preserve"> (NK) cells.</w:t>
      </w:r>
    </w:p>
    <w:sectPr w:rsidR="009B32A1" w:rsidSect="00705641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93E64" w14:textId="77777777" w:rsidR="00DC2EF6" w:rsidRDefault="00DC2EF6" w:rsidP="00944A5D">
      <w:r>
        <w:separator/>
      </w:r>
    </w:p>
  </w:endnote>
  <w:endnote w:type="continuationSeparator" w:id="0">
    <w:p w14:paraId="0AFC82B2" w14:textId="77777777" w:rsidR="00DC2EF6" w:rsidRDefault="00DC2EF6" w:rsidP="00944A5D">
      <w:r>
        <w:continuationSeparator/>
      </w:r>
    </w:p>
  </w:endnote>
  <w:endnote w:type="continuationNotice" w:id="1">
    <w:p w14:paraId="5B71A206" w14:textId="77777777" w:rsidR="00DC2EF6" w:rsidRDefault="00DC2E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126D5" w14:textId="77777777" w:rsidR="00DC2EF6" w:rsidRDefault="00DC2EF6" w:rsidP="00944A5D">
      <w:r>
        <w:separator/>
      </w:r>
    </w:p>
  </w:footnote>
  <w:footnote w:type="continuationSeparator" w:id="0">
    <w:p w14:paraId="71C01D88" w14:textId="77777777" w:rsidR="00DC2EF6" w:rsidRDefault="00DC2EF6" w:rsidP="00944A5D">
      <w:r>
        <w:continuationSeparator/>
      </w:r>
    </w:p>
  </w:footnote>
  <w:footnote w:type="continuationNotice" w:id="1">
    <w:p w14:paraId="2F975AB3" w14:textId="77777777" w:rsidR="00DC2EF6" w:rsidRDefault="00DC2E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1EFF" w14:textId="16A4FB0F" w:rsidR="00944A5D" w:rsidRPr="00237595" w:rsidRDefault="00237595">
    <w:pPr>
      <w:pStyle w:val="Header"/>
      <w:rPr>
        <w:i/>
        <w:iCs/>
      </w:rPr>
    </w:pPr>
    <w:proofErr w:type="spellStart"/>
    <w:r w:rsidRPr="00855771">
      <w:rPr>
        <w:rFonts w:ascii="Calibri" w:hAnsi="Calibri" w:cs="Calibri"/>
        <w:color w:val="000000" w:themeColor="text1"/>
        <w:bdr w:val="none" w:sz="0" w:space="0" w:color="auto" w:frame="1"/>
        <w:shd w:val="clear" w:color="auto" w:fill="FFFFFF"/>
      </w:rPr>
      <w:t>Mougiakakos</w:t>
    </w:r>
    <w:proofErr w:type="spellEnd"/>
    <w:r>
      <w:rPr>
        <w:rFonts w:ascii="Calibri" w:hAnsi="Calibri" w:cs="Calibri"/>
        <w:color w:val="000000" w:themeColor="text1"/>
        <w:bdr w:val="none" w:sz="0" w:space="0" w:color="auto" w:frame="1"/>
        <w:shd w:val="clear" w:color="auto" w:fill="FFFFFF"/>
      </w:rPr>
      <w:t xml:space="preserve"> D, et al. </w:t>
    </w:r>
    <w:proofErr w:type="spellStart"/>
    <w:r>
      <w:rPr>
        <w:rFonts w:ascii="Calibri" w:hAnsi="Calibri" w:cs="Calibri"/>
        <w:i/>
        <w:iCs/>
        <w:color w:val="000000" w:themeColor="text1"/>
        <w:bdr w:val="none" w:sz="0" w:space="0" w:color="auto" w:frame="1"/>
        <w:shd w:val="clear" w:color="auto" w:fill="FFFFFF"/>
      </w:rPr>
      <w:t>Cytotherapy</w:t>
    </w:r>
    <w:proofErr w:type="spellEnd"/>
    <w:r w:rsidR="0052280F">
      <w:rPr>
        <w:rFonts w:ascii="Calibri" w:hAnsi="Calibri" w:cs="Calibri"/>
        <w:color w:val="000000" w:themeColor="text1"/>
        <w:bdr w:val="none" w:sz="0" w:space="0" w:color="auto" w:frame="1"/>
        <w:shd w:val="clear" w:color="auto" w:fill="FFFFFF"/>
      </w:rPr>
      <w:t xml:space="preserve"> - Supplemental Figures </w:t>
    </w:r>
    <w:r w:rsidR="0052280F">
      <w:rPr>
        <w:rFonts w:ascii="Calibri" w:hAnsi="Calibri" w:cs="Calibri"/>
        <w:i/>
        <w:iCs/>
        <w:color w:val="000000" w:themeColor="text1"/>
        <w:bdr w:val="none" w:sz="0" w:space="0" w:color="auto" w:frame="1"/>
        <w:shd w:val="clear" w:color="auto" w:fill="FFFFFF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BA"/>
    <w:rsid w:val="0000144D"/>
    <w:rsid w:val="000252E4"/>
    <w:rsid w:val="00033F00"/>
    <w:rsid w:val="000442D9"/>
    <w:rsid w:val="00053E48"/>
    <w:rsid w:val="000656FB"/>
    <w:rsid w:val="00075D8D"/>
    <w:rsid w:val="00093DBA"/>
    <w:rsid w:val="000A0B94"/>
    <w:rsid w:val="000A18E0"/>
    <w:rsid w:val="000A1A96"/>
    <w:rsid w:val="000B0C97"/>
    <w:rsid w:val="000B6E6F"/>
    <w:rsid w:val="000C6D86"/>
    <w:rsid w:val="000D6E4B"/>
    <w:rsid w:val="000D7A24"/>
    <w:rsid w:val="00102779"/>
    <w:rsid w:val="00103EC6"/>
    <w:rsid w:val="001235B6"/>
    <w:rsid w:val="00135E4C"/>
    <w:rsid w:val="0013702D"/>
    <w:rsid w:val="0014603A"/>
    <w:rsid w:val="00147611"/>
    <w:rsid w:val="00152FD8"/>
    <w:rsid w:val="00157BB1"/>
    <w:rsid w:val="00165453"/>
    <w:rsid w:val="001816D5"/>
    <w:rsid w:val="001A1A63"/>
    <w:rsid w:val="001B4A83"/>
    <w:rsid w:val="001B7651"/>
    <w:rsid w:val="001C04CB"/>
    <w:rsid w:val="001F1DB4"/>
    <w:rsid w:val="00223B92"/>
    <w:rsid w:val="0023555D"/>
    <w:rsid w:val="00237595"/>
    <w:rsid w:val="00247A55"/>
    <w:rsid w:val="002535E9"/>
    <w:rsid w:val="00253802"/>
    <w:rsid w:val="00270ADF"/>
    <w:rsid w:val="00272457"/>
    <w:rsid w:val="002827D3"/>
    <w:rsid w:val="00285E2D"/>
    <w:rsid w:val="00292EAF"/>
    <w:rsid w:val="002D0FB6"/>
    <w:rsid w:val="002D1055"/>
    <w:rsid w:val="002E19E0"/>
    <w:rsid w:val="002E73B4"/>
    <w:rsid w:val="002E79EF"/>
    <w:rsid w:val="00300803"/>
    <w:rsid w:val="00316858"/>
    <w:rsid w:val="0032205B"/>
    <w:rsid w:val="0032341B"/>
    <w:rsid w:val="003372BE"/>
    <w:rsid w:val="003417B2"/>
    <w:rsid w:val="00341E65"/>
    <w:rsid w:val="00360A45"/>
    <w:rsid w:val="00380033"/>
    <w:rsid w:val="0038299D"/>
    <w:rsid w:val="003829DB"/>
    <w:rsid w:val="00391DFC"/>
    <w:rsid w:val="003A2CE6"/>
    <w:rsid w:val="003B0914"/>
    <w:rsid w:val="003B2C26"/>
    <w:rsid w:val="003C43C8"/>
    <w:rsid w:val="003C7B21"/>
    <w:rsid w:val="003C7D02"/>
    <w:rsid w:val="003F06F7"/>
    <w:rsid w:val="00400347"/>
    <w:rsid w:val="00416E2E"/>
    <w:rsid w:val="00437BBA"/>
    <w:rsid w:val="00453F75"/>
    <w:rsid w:val="004622E1"/>
    <w:rsid w:val="004655B1"/>
    <w:rsid w:val="00467644"/>
    <w:rsid w:val="00472CA7"/>
    <w:rsid w:val="00481EB2"/>
    <w:rsid w:val="0048682B"/>
    <w:rsid w:val="00490D45"/>
    <w:rsid w:val="004963A9"/>
    <w:rsid w:val="00496FB2"/>
    <w:rsid w:val="004B11A7"/>
    <w:rsid w:val="004E0E32"/>
    <w:rsid w:val="004F59BB"/>
    <w:rsid w:val="004F6A47"/>
    <w:rsid w:val="004F7396"/>
    <w:rsid w:val="0052280F"/>
    <w:rsid w:val="00531163"/>
    <w:rsid w:val="00534131"/>
    <w:rsid w:val="00552880"/>
    <w:rsid w:val="005657FB"/>
    <w:rsid w:val="00591C2E"/>
    <w:rsid w:val="00595773"/>
    <w:rsid w:val="005C1ACB"/>
    <w:rsid w:val="005C503B"/>
    <w:rsid w:val="005E3192"/>
    <w:rsid w:val="005E610E"/>
    <w:rsid w:val="0060690A"/>
    <w:rsid w:val="00606FFE"/>
    <w:rsid w:val="00650C1E"/>
    <w:rsid w:val="00652A59"/>
    <w:rsid w:val="0065697F"/>
    <w:rsid w:val="00656D94"/>
    <w:rsid w:val="00663CAD"/>
    <w:rsid w:val="00670518"/>
    <w:rsid w:val="00677123"/>
    <w:rsid w:val="00687C16"/>
    <w:rsid w:val="006956AD"/>
    <w:rsid w:val="006A369C"/>
    <w:rsid w:val="006B1C92"/>
    <w:rsid w:val="006B746F"/>
    <w:rsid w:val="006E2212"/>
    <w:rsid w:val="006E3415"/>
    <w:rsid w:val="00705641"/>
    <w:rsid w:val="00730EE8"/>
    <w:rsid w:val="00734DFF"/>
    <w:rsid w:val="007673A1"/>
    <w:rsid w:val="0077737A"/>
    <w:rsid w:val="00783533"/>
    <w:rsid w:val="007C40AF"/>
    <w:rsid w:val="007E1B3F"/>
    <w:rsid w:val="00800678"/>
    <w:rsid w:val="00840D71"/>
    <w:rsid w:val="008446F1"/>
    <w:rsid w:val="008553E7"/>
    <w:rsid w:val="008814AB"/>
    <w:rsid w:val="00882E90"/>
    <w:rsid w:val="00886E70"/>
    <w:rsid w:val="00887C66"/>
    <w:rsid w:val="008977A1"/>
    <w:rsid w:val="008A1C6F"/>
    <w:rsid w:val="008E1FFF"/>
    <w:rsid w:val="008E2BB8"/>
    <w:rsid w:val="008F1BB2"/>
    <w:rsid w:val="008F4E0B"/>
    <w:rsid w:val="00931455"/>
    <w:rsid w:val="0093787F"/>
    <w:rsid w:val="00943851"/>
    <w:rsid w:val="00944684"/>
    <w:rsid w:val="00944A5D"/>
    <w:rsid w:val="00962F5D"/>
    <w:rsid w:val="009726A9"/>
    <w:rsid w:val="00991150"/>
    <w:rsid w:val="00995EC9"/>
    <w:rsid w:val="009A04E6"/>
    <w:rsid w:val="009A15B9"/>
    <w:rsid w:val="009B03CE"/>
    <w:rsid w:val="009B32A1"/>
    <w:rsid w:val="009B398E"/>
    <w:rsid w:val="009B575E"/>
    <w:rsid w:val="009C10BC"/>
    <w:rsid w:val="009C34FF"/>
    <w:rsid w:val="009E149B"/>
    <w:rsid w:val="009E19CA"/>
    <w:rsid w:val="00A01B54"/>
    <w:rsid w:val="00A10C4B"/>
    <w:rsid w:val="00A1138E"/>
    <w:rsid w:val="00A124E7"/>
    <w:rsid w:val="00A264A8"/>
    <w:rsid w:val="00A266E6"/>
    <w:rsid w:val="00A547FC"/>
    <w:rsid w:val="00A72E09"/>
    <w:rsid w:val="00AB2C05"/>
    <w:rsid w:val="00AB378C"/>
    <w:rsid w:val="00AB451E"/>
    <w:rsid w:val="00AD2651"/>
    <w:rsid w:val="00AE439E"/>
    <w:rsid w:val="00AF4263"/>
    <w:rsid w:val="00AF7F9D"/>
    <w:rsid w:val="00B3195E"/>
    <w:rsid w:val="00B31CCE"/>
    <w:rsid w:val="00B646A7"/>
    <w:rsid w:val="00B65707"/>
    <w:rsid w:val="00B665D1"/>
    <w:rsid w:val="00B77B9A"/>
    <w:rsid w:val="00B95ECE"/>
    <w:rsid w:val="00BA50A3"/>
    <w:rsid w:val="00BA7586"/>
    <w:rsid w:val="00BB2BC6"/>
    <w:rsid w:val="00BB4843"/>
    <w:rsid w:val="00BC1553"/>
    <w:rsid w:val="00BC30AC"/>
    <w:rsid w:val="00BC4AB8"/>
    <w:rsid w:val="00BD4045"/>
    <w:rsid w:val="00BD6521"/>
    <w:rsid w:val="00BF1A1B"/>
    <w:rsid w:val="00C10363"/>
    <w:rsid w:val="00C1282F"/>
    <w:rsid w:val="00C22260"/>
    <w:rsid w:val="00C4038E"/>
    <w:rsid w:val="00C46E98"/>
    <w:rsid w:val="00C8023B"/>
    <w:rsid w:val="00C83C37"/>
    <w:rsid w:val="00C857DA"/>
    <w:rsid w:val="00C91A08"/>
    <w:rsid w:val="00CA1BBC"/>
    <w:rsid w:val="00CB3781"/>
    <w:rsid w:val="00CB5605"/>
    <w:rsid w:val="00CC2FC3"/>
    <w:rsid w:val="00CE5CE4"/>
    <w:rsid w:val="00CF1A16"/>
    <w:rsid w:val="00CF7A14"/>
    <w:rsid w:val="00D01A45"/>
    <w:rsid w:val="00D267E5"/>
    <w:rsid w:val="00D344E3"/>
    <w:rsid w:val="00D72A63"/>
    <w:rsid w:val="00D74EE3"/>
    <w:rsid w:val="00DB1A66"/>
    <w:rsid w:val="00DC06AD"/>
    <w:rsid w:val="00DC215D"/>
    <w:rsid w:val="00DC2EF6"/>
    <w:rsid w:val="00E1665E"/>
    <w:rsid w:val="00E20F9F"/>
    <w:rsid w:val="00E257CE"/>
    <w:rsid w:val="00E32757"/>
    <w:rsid w:val="00E43BBA"/>
    <w:rsid w:val="00E516F5"/>
    <w:rsid w:val="00E612A6"/>
    <w:rsid w:val="00E64CA0"/>
    <w:rsid w:val="00E86779"/>
    <w:rsid w:val="00E931EC"/>
    <w:rsid w:val="00EA0410"/>
    <w:rsid w:val="00EB410A"/>
    <w:rsid w:val="00EB78AA"/>
    <w:rsid w:val="00ED583E"/>
    <w:rsid w:val="00F011DB"/>
    <w:rsid w:val="00F14DF4"/>
    <w:rsid w:val="00F21A3A"/>
    <w:rsid w:val="00F317B9"/>
    <w:rsid w:val="00F474C8"/>
    <w:rsid w:val="00F5184B"/>
    <w:rsid w:val="00F51F86"/>
    <w:rsid w:val="00F53659"/>
    <w:rsid w:val="00F57CC0"/>
    <w:rsid w:val="00F63CFA"/>
    <w:rsid w:val="00F66555"/>
    <w:rsid w:val="00F7409F"/>
    <w:rsid w:val="00F849D8"/>
    <w:rsid w:val="00F87C59"/>
    <w:rsid w:val="00FA2932"/>
    <w:rsid w:val="00FB026E"/>
    <w:rsid w:val="00FD07E3"/>
    <w:rsid w:val="00FE3386"/>
    <w:rsid w:val="00FE426E"/>
    <w:rsid w:val="00FF1D2F"/>
    <w:rsid w:val="00FF3960"/>
    <w:rsid w:val="05F7F222"/>
    <w:rsid w:val="069941F5"/>
    <w:rsid w:val="0BCAD552"/>
    <w:rsid w:val="0E44786A"/>
    <w:rsid w:val="10E434D3"/>
    <w:rsid w:val="168D8F74"/>
    <w:rsid w:val="179ECD2B"/>
    <w:rsid w:val="193FD740"/>
    <w:rsid w:val="1BF10192"/>
    <w:rsid w:val="2168701D"/>
    <w:rsid w:val="24522811"/>
    <w:rsid w:val="2530D5AA"/>
    <w:rsid w:val="2FDF236F"/>
    <w:rsid w:val="3644254F"/>
    <w:rsid w:val="37D2273D"/>
    <w:rsid w:val="444BF76A"/>
    <w:rsid w:val="48429AD8"/>
    <w:rsid w:val="5FEE9EDD"/>
    <w:rsid w:val="60B4CE19"/>
    <w:rsid w:val="62973076"/>
    <w:rsid w:val="666F077D"/>
    <w:rsid w:val="680AD7DE"/>
    <w:rsid w:val="7106856F"/>
    <w:rsid w:val="78F89013"/>
    <w:rsid w:val="7FB6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5D86F"/>
  <w15:docId w15:val="{23222E09-39BA-41F1-A2F7-BEE1F97D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1 - custom"/>
    <w:basedOn w:val="Normal"/>
    <w:next w:val="Normal"/>
    <w:link w:val="Heading1Char"/>
    <w:uiPriority w:val="9"/>
    <w:qFormat/>
    <w:rsid w:val="00552880"/>
    <w:pPr>
      <w:keepNext/>
      <w:keepLines/>
      <w:spacing w:before="360" w:after="120" w:line="259" w:lineRule="auto"/>
      <w:outlineLvl w:val="0"/>
    </w:pPr>
    <w:rPr>
      <w:rFonts w:eastAsiaTheme="majorEastAsia" w:cstheme="majorBidi"/>
      <w:b/>
      <w:color w:val="000000" w:themeColor="text1"/>
      <w:sz w:val="29"/>
      <w:szCs w:val="32"/>
    </w:rPr>
  </w:style>
  <w:style w:type="paragraph" w:styleId="Heading2">
    <w:name w:val="heading 2"/>
    <w:aliases w:val="Heading 2 - custom"/>
    <w:basedOn w:val="Normal"/>
    <w:next w:val="Normal"/>
    <w:link w:val="Heading2Char"/>
    <w:uiPriority w:val="9"/>
    <w:semiHidden/>
    <w:unhideWhenUsed/>
    <w:qFormat/>
    <w:rsid w:val="00316858"/>
    <w:pPr>
      <w:keepNext/>
      <w:keepLines/>
      <w:spacing w:before="40" w:line="259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custom Char"/>
    <w:basedOn w:val="DefaultParagraphFont"/>
    <w:link w:val="Heading1"/>
    <w:uiPriority w:val="9"/>
    <w:rsid w:val="00552880"/>
    <w:rPr>
      <w:rFonts w:eastAsiaTheme="majorEastAsia" w:cstheme="majorBidi"/>
      <w:b/>
      <w:color w:val="000000" w:themeColor="text1"/>
      <w:sz w:val="29"/>
      <w:szCs w:val="32"/>
    </w:rPr>
  </w:style>
  <w:style w:type="character" w:customStyle="1" w:styleId="Heading2Char">
    <w:name w:val="Heading 2 Char"/>
    <w:aliases w:val="Heading 2 - custom Char"/>
    <w:basedOn w:val="DefaultParagraphFont"/>
    <w:link w:val="Heading2"/>
    <w:uiPriority w:val="9"/>
    <w:semiHidden/>
    <w:rsid w:val="00316858"/>
    <w:rPr>
      <w:rFonts w:eastAsiaTheme="majorEastAsia" w:cstheme="majorBidi"/>
      <w:b/>
      <w:color w:val="000000" w:themeColor="text1"/>
      <w:szCs w:val="26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34D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D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DF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724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4A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A5D"/>
  </w:style>
  <w:style w:type="paragraph" w:styleId="Footer">
    <w:name w:val="footer"/>
    <w:basedOn w:val="Normal"/>
    <w:link w:val="FooterChar"/>
    <w:uiPriority w:val="99"/>
    <w:unhideWhenUsed/>
    <w:rsid w:val="00944A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A5D"/>
  </w:style>
  <w:style w:type="character" w:customStyle="1" w:styleId="normaltextrun">
    <w:name w:val="normaltextrun"/>
    <w:basedOn w:val="DefaultParagraphFont"/>
    <w:rsid w:val="000252E4"/>
  </w:style>
  <w:style w:type="paragraph" w:customStyle="1" w:styleId="paragraph">
    <w:name w:val="paragraph"/>
    <w:basedOn w:val="Normal"/>
    <w:rsid w:val="000252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op">
    <w:name w:val="eop"/>
    <w:basedOn w:val="DefaultParagraphFont"/>
    <w:rsid w:val="00025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EB810A27FA448B2AEC972BB33995D" ma:contentTypeVersion="15" ma:contentTypeDescription="Create a new document." ma:contentTypeScope="" ma:versionID="99b1c9267b14a3acfdf8b05d0c9f6a35">
  <xsd:schema xmlns:xsd="http://www.w3.org/2001/XMLSchema" xmlns:xs="http://www.w3.org/2001/XMLSchema" xmlns:p="http://schemas.microsoft.com/office/2006/metadata/properties" xmlns:ns2="01eb926e-18bf-4ba6-941a-cc514a3959f5" xmlns:ns3="4de7d10e-b8e1-46cb-b7df-3c56bf50192d" targetNamespace="http://schemas.microsoft.com/office/2006/metadata/properties" ma:root="true" ma:fieldsID="469a2546dd3b698cb8732bcc82373799" ns2:_="" ns3:_="">
    <xsd:import namespace="01eb926e-18bf-4ba6-941a-cc514a3959f5"/>
    <xsd:import namespace="4de7d10e-b8e1-46cb-b7df-3c56bf5019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b926e-18bf-4ba6-941a-cc514a3959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297154e-204e-4595-881e-32acd37f7d15}" ma:internalName="TaxCatchAll" ma:showField="CatchAllData" ma:web="01eb926e-18bf-4ba6-941a-cc514a3959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d10e-b8e1-46cb-b7df-3c56bf501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f70b3b3-10a6-497b-8967-5bcc4bc565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b926e-18bf-4ba6-941a-cc514a3959f5" xsi:nil="true"/>
    <lcf76f155ced4ddcb4097134ff3c332f xmlns="4de7d10e-b8e1-46cb-b7df-3c56bf50192d">
      <Terms xmlns="http://schemas.microsoft.com/office/infopath/2007/PartnerControls"/>
    </lcf76f155ced4ddcb4097134ff3c332f>
    <SharedWithUsers xmlns="01eb926e-18bf-4ba6-941a-cc514a3959f5">
      <UserInfo>
        <DisplayName>Ranjita Sengupta</DisplayName>
        <AccountId>65</AccountId>
        <AccountType/>
      </UserInfo>
      <UserInfo>
        <DisplayName>Ramona Pufan</DisplayName>
        <AccountId>118</AccountId>
        <AccountType/>
      </UserInfo>
      <UserInfo>
        <DisplayName>Liz Wheatley</DisplayName>
        <AccountId>300</AccountId>
        <AccountType/>
      </UserInfo>
      <UserInfo>
        <DisplayName>Ames Register</DisplayName>
        <AccountId>1375</AccountId>
        <AccountType/>
      </UserInfo>
      <UserInfo>
        <DisplayName>Mario Lorente</DisplayName>
        <AccountId>114</AccountId>
        <AccountType/>
      </UserInfo>
      <UserInfo>
        <DisplayName>Michael Pendleton</DisplayName>
        <AccountId>370</AccountId>
        <AccountType/>
      </UserInfo>
      <UserInfo>
        <DisplayName>Francis Kim</DisplayName>
        <AccountId>33</AccountId>
        <AccountType/>
      </UserInfo>
      <UserInfo>
        <DisplayName>Govind Shah</DisplayName>
        <AccountId>9</AccountId>
        <AccountType/>
      </UserInfo>
      <UserInfo>
        <DisplayName>Karen Walker</DisplayName>
        <AccountId>77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A4A72A-3B2C-4411-97D6-29F86C388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eb926e-18bf-4ba6-941a-cc514a3959f5"/>
    <ds:schemaRef ds:uri="4de7d10e-b8e1-46cb-b7df-3c56bf501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4B0AA-6BA2-40FC-A3D9-6115308A76CF}">
  <ds:schemaRefs>
    <ds:schemaRef ds:uri="http://schemas.microsoft.com/office/2006/metadata/properties"/>
    <ds:schemaRef ds:uri="http://schemas.microsoft.com/office/infopath/2007/PartnerControls"/>
    <ds:schemaRef ds:uri="01eb926e-18bf-4ba6-941a-cc514a3959f5"/>
    <ds:schemaRef ds:uri="4de7d10e-b8e1-46cb-b7df-3c56bf50192d"/>
  </ds:schemaRefs>
</ds:datastoreItem>
</file>

<file path=customXml/itemProps3.xml><?xml version="1.0" encoding="utf-8"?>
<ds:datastoreItem xmlns:ds="http://schemas.openxmlformats.org/officeDocument/2006/customXml" ds:itemID="{C4B95258-C8C7-4AE8-A358-41EE63806D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357</Words>
  <Characters>2187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Wheatley, PhD, CMPP</dc:creator>
  <cp:keywords/>
  <dc:description/>
  <cp:lastModifiedBy>Liz Wheatley, PhD, CMPP</cp:lastModifiedBy>
  <cp:revision>4</cp:revision>
  <dcterms:created xsi:type="dcterms:W3CDTF">2024-11-06T21:44:00Z</dcterms:created>
  <dcterms:modified xsi:type="dcterms:W3CDTF">2024-11-06T21:46:00Z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0x0101001FBEB810A27FA448B2AEC972BB33995D</vt:lpwstr>
  </property>
  <property fmtid="{D5CDD505-2E9C-101B-9397-08002B2CF9AE}" pid="3" name="MediaServiceImageTags">
    <vt:lpwstr/>
  </property>
</Properties>
</file>