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EBAD6" w14:textId="77777777" w:rsidR="00704028" w:rsidRDefault="00704028">
      <w:pPr>
        <w:rPr>
          <w:rFonts w:ascii="Arial" w:hAnsi="Arial" w:cs="Arial"/>
          <w:b/>
          <w:bCs/>
        </w:rPr>
      </w:pPr>
    </w:p>
    <w:p w14:paraId="1560BC70" w14:textId="77777777" w:rsidR="00704028" w:rsidRDefault="00704028">
      <w:pPr>
        <w:rPr>
          <w:rFonts w:ascii="Arial" w:hAnsi="Arial" w:cs="Arial"/>
          <w:b/>
          <w:bCs/>
        </w:rPr>
      </w:pPr>
    </w:p>
    <w:p w14:paraId="5129944D" w14:textId="77777777" w:rsidR="00704028" w:rsidRDefault="00704028">
      <w:pPr>
        <w:rPr>
          <w:rFonts w:ascii="Arial" w:hAnsi="Arial" w:cs="Arial"/>
          <w:b/>
          <w:bCs/>
        </w:rPr>
      </w:pPr>
    </w:p>
    <w:p w14:paraId="6D12C0A8" w14:textId="77777777" w:rsidR="00704028" w:rsidRDefault="00704028">
      <w:pPr>
        <w:rPr>
          <w:rFonts w:ascii="Arial" w:hAnsi="Arial" w:cs="Arial"/>
          <w:b/>
          <w:bCs/>
        </w:rPr>
      </w:pPr>
    </w:p>
    <w:p w14:paraId="5EC760C8" w14:textId="77777777" w:rsidR="00704028" w:rsidRDefault="00704028">
      <w:pPr>
        <w:rPr>
          <w:rFonts w:ascii="Arial" w:hAnsi="Arial" w:cs="Arial"/>
          <w:b/>
          <w:bCs/>
        </w:rPr>
      </w:pPr>
    </w:p>
    <w:p w14:paraId="156EF3D5" w14:textId="77777777" w:rsidR="00704028" w:rsidRDefault="00704028">
      <w:pPr>
        <w:rPr>
          <w:rFonts w:ascii="Arial" w:hAnsi="Arial" w:cs="Arial"/>
          <w:b/>
          <w:bCs/>
        </w:rPr>
      </w:pPr>
    </w:p>
    <w:p w14:paraId="25212B4F" w14:textId="77777777" w:rsidR="00704028" w:rsidRDefault="00704028">
      <w:pPr>
        <w:rPr>
          <w:rFonts w:ascii="Arial" w:hAnsi="Arial" w:cs="Arial"/>
          <w:b/>
          <w:bCs/>
        </w:rPr>
      </w:pPr>
    </w:p>
    <w:p w14:paraId="53936EDE" w14:textId="77777777" w:rsidR="00704028" w:rsidRDefault="00704028">
      <w:pPr>
        <w:rPr>
          <w:rFonts w:ascii="Arial" w:hAnsi="Arial" w:cs="Arial"/>
          <w:b/>
          <w:bCs/>
        </w:rPr>
      </w:pPr>
    </w:p>
    <w:p w14:paraId="5E039D4B" w14:textId="77777777" w:rsidR="00704028" w:rsidRDefault="00704028">
      <w:pPr>
        <w:rPr>
          <w:rFonts w:ascii="Arial" w:hAnsi="Arial" w:cs="Arial"/>
          <w:b/>
          <w:bCs/>
        </w:rPr>
      </w:pPr>
    </w:p>
    <w:p w14:paraId="28273911" w14:textId="77777777" w:rsidR="00704028" w:rsidRDefault="00704028">
      <w:pPr>
        <w:rPr>
          <w:rFonts w:ascii="Arial" w:hAnsi="Arial" w:cs="Arial"/>
          <w:b/>
          <w:bCs/>
        </w:rPr>
      </w:pPr>
    </w:p>
    <w:p w14:paraId="394BB56A" w14:textId="77777777" w:rsidR="00704028" w:rsidRDefault="00704028">
      <w:pPr>
        <w:rPr>
          <w:rFonts w:ascii="Arial" w:hAnsi="Arial" w:cs="Arial"/>
          <w:b/>
          <w:bCs/>
        </w:rPr>
      </w:pPr>
    </w:p>
    <w:p w14:paraId="287B7016" w14:textId="77777777" w:rsidR="00704028" w:rsidRDefault="00704028" w:rsidP="00704028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  <w:r w:rsidRPr="000B019E">
        <w:rPr>
          <w:rFonts w:ascii="Arial" w:hAnsi="Arial" w:cs="Arial"/>
          <w:b/>
          <w:bCs/>
          <w:sz w:val="32"/>
          <w:szCs w:val="32"/>
        </w:rPr>
        <w:t xml:space="preserve">SUPPLEMENTARY INFORMATION </w:t>
      </w:r>
    </w:p>
    <w:p w14:paraId="2287C7E6" w14:textId="77777777" w:rsidR="00704028" w:rsidRPr="000B019E" w:rsidRDefault="00704028" w:rsidP="00704028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364A40C1" w14:textId="77777777" w:rsidR="00704028" w:rsidRPr="00704028" w:rsidRDefault="00704028" w:rsidP="0070402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04028">
        <w:rPr>
          <w:rFonts w:ascii="Arial" w:hAnsi="Arial" w:cs="Arial"/>
          <w:b/>
          <w:bCs/>
          <w:sz w:val="24"/>
          <w:szCs w:val="24"/>
        </w:rPr>
        <w:t>Autophagy acts as a brake on obesity-related fibrosis by controlling purine nucleoside signalling</w:t>
      </w:r>
    </w:p>
    <w:p w14:paraId="4F1BC273" w14:textId="77777777" w:rsidR="00704028" w:rsidRDefault="00704028" w:rsidP="0070402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FF8B0B" w14:textId="77777777" w:rsidR="00704028" w:rsidRPr="00196F81" w:rsidRDefault="00704028" w:rsidP="00704028">
      <w:pPr>
        <w:spacing w:line="360" w:lineRule="auto"/>
        <w:jc w:val="both"/>
        <w:rPr>
          <w:rFonts w:ascii="Arial" w:hAnsi="Arial" w:cs="Arial"/>
          <w:i/>
          <w:iCs/>
        </w:rPr>
      </w:pPr>
      <w:r w:rsidRPr="2B91E659">
        <w:rPr>
          <w:rFonts w:ascii="Arial" w:hAnsi="Arial" w:cs="Arial"/>
          <w:i/>
          <w:iCs/>
        </w:rPr>
        <w:t>Klara Piletic</w:t>
      </w:r>
      <w:r w:rsidRPr="2B91E659">
        <w:rPr>
          <w:rFonts w:ascii="Arial" w:hAnsi="Arial" w:cs="Arial"/>
          <w:vertAlign w:val="superscript"/>
        </w:rPr>
        <w:t>1</w:t>
      </w:r>
      <w:r w:rsidRPr="2B91E659">
        <w:rPr>
          <w:rFonts w:ascii="Arial" w:hAnsi="Arial" w:cs="Arial"/>
          <w:i/>
          <w:iCs/>
        </w:rPr>
        <w:t>, Amir H. Kayvanjoo</w:t>
      </w:r>
      <w:proofErr w:type="gramStart"/>
      <w:r w:rsidRPr="2B91E659">
        <w:rPr>
          <w:rFonts w:ascii="Arial" w:hAnsi="Arial" w:cs="Arial"/>
          <w:vertAlign w:val="superscript"/>
        </w:rPr>
        <w:t>2,#</w:t>
      </w:r>
      <w:proofErr w:type="gramEnd"/>
      <w:r w:rsidRPr="2B91E659">
        <w:rPr>
          <w:rFonts w:ascii="Arial" w:hAnsi="Arial" w:cs="Arial"/>
          <w:i/>
          <w:iCs/>
        </w:rPr>
        <w:t>, Felix Clemens Richter</w:t>
      </w:r>
      <w:r w:rsidRPr="2B91E659">
        <w:rPr>
          <w:rFonts w:ascii="Arial" w:hAnsi="Arial" w:cs="Arial"/>
          <w:vertAlign w:val="superscript"/>
        </w:rPr>
        <w:t>1,#</w:t>
      </w:r>
      <w:r w:rsidRPr="2B91E659">
        <w:rPr>
          <w:rFonts w:ascii="Arial" w:hAnsi="Arial" w:cs="Arial"/>
          <w:i/>
          <w:iCs/>
        </w:rPr>
        <w:t>, Mariana Borsa</w:t>
      </w:r>
      <w:r w:rsidRPr="2B91E659">
        <w:rPr>
          <w:rFonts w:ascii="Arial" w:hAnsi="Arial" w:cs="Arial"/>
          <w:vertAlign w:val="superscript"/>
        </w:rPr>
        <w:t>1,$</w:t>
      </w:r>
      <w:r w:rsidRPr="2B91E659">
        <w:rPr>
          <w:rFonts w:ascii="Arial" w:hAnsi="Arial" w:cs="Arial"/>
          <w:i/>
          <w:iCs/>
        </w:rPr>
        <w:t>, Ana V. Lechuga-Vieco</w:t>
      </w:r>
      <w:r w:rsidRPr="2B91E659">
        <w:rPr>
          <w:rFonts w:ascii="Arial" w:hAnsi="Arial" w:cs="Arial"/>
          <w:vertAlign w:val="superscript"/>
        </w:rPr>
        <w:t>1,$</w:t>
      </w:r>
      <w:r w:rsidRPr="2B91E659">
        <w:rPr>
          <w:rFonts w:ascii="Arial" w:hAnsi="Arial" w:cs="Arial"/>
          <w:i/>
          <w:iCs/>
        </w:rPr>
        <w:t>, Oliver Popp</w:t>
      </w:r>
      <w:r w:rsidRPr="2B91E659">
        <w:rPr>
          <w:rFonts w:ascii="Arial" w:hAnsi="Arial" w:cs="Arial"/>
          <w:vertAlign w:val="superscript"/>
        </w:rPr>
        <w:t>2</w:t>
      </w:r>
      <w:r w:rsidRPr="2B91E659">
        <w:rPr>
          <w:rFonts w:ascii="Arial" w:hAnsi="Arial" w:cs="Arial"/>
          <w:i/>
          <w:iCs/>
        </w:rPr>
        <w:t>, Sacha Grenet</w:t>
      </w:r>
      <w:r w:rsidRPr="2B91E659">
        <w:rPr>
          <w:rFonts w:ascii="Arial" w:hAnsi="Arial" w:cs="Arial"/>
          <w:vertAlign w:val="superscript"/>
        </w:rPr>
        <w:t>1,3</w:t>
      </w:r>
      <w:r w:rsidRPr="2B91E659">
        <w:rPr>
          <w:rFonts w:ascii="Arial" w:hAnsi="Arial" w:cs="Arial"/>
          <w:i/>
          <w:iCs/>
        </w:rPr>
        <w:t>, Jacky Ka Long Ko</w:t>
      </w:r>
      <w:r w:rsidRPr="2B91E659">
        <w:rPr>
          <w:rFonts w:ascii="Arial" w:hAnsi="Arial" w:cs="Arial"/>
          <w:vertAlign w:val="superscript"/>
        </w:rPr>
        <w:t>4</w:t>
      </w:r>
      <w:r w:rsidRPr="2B91E659">
        <w:rPr>
          <w:rFonts w:ascii="Arial" w:hAnsi="Arial" w:cs="Arial"/>
          <w:i/>
          <w:iCs/>
        </w:rPr>
        <w:t>, Kristina Zec</w:t>
      </w:r>
      <w:r w:rsidRPr="2B91E659">
        <w:rPr>
          <w:rFonts w:ascii="Arial" w:hAnsi="Arial" w:cs="Arial"/>
          <w:vertAlign w:val="superscript"/>
        </w:rPr>
        <w:t>1</w:t>
      </w:r>
      <w:r w:rsidRPr="2B91E659">
        <w:rPr>
          <w:rFonts w:ascii="Arial" w:hAnsi="Arial" w:cs="Arial"/>
          <w:i/>
          <w:iCs/>
        </w:rPr>
        <w:t>, Maria Kyriazi</w:t>
      </w:r>
      <w:r w:rsidRPr="2B91E659">
        <w:rPr>
          <w:rFonts w:ascii="Arial" w:hAnsi="Arial" w:cs="Arial"/>
          <w:vertAlign w:val="superscript"/>
        </w:rPr>
        <w:t>5</w:t>
      </w:r>
      <w:r w:rsidRPr="2B91E659">
        <w:rPr>
          <w:rFonts w:ascii="Arial" w:hAnsi="Arial" w:cs="Arial"/>
          <w:i/>
          <w:iCs/>
        </w:rPr>
        <w:t>, Lada Koneva</w:t>
      </w:r>
      <w:r w:rsidRPr="2B91E659">
        <w:rPr>
          <w:rFonts w:ascii="Arial" w:hAnsi="Arial" w:cs="Arial"/>
          <w:vertAlign w:val="superscript"/>
        </w:rPr>
        <w:t>1</w:t>
      </w:r>
      <w:r w:rsidRPr="2B91E659">
        <w:rPr>
          <w:rFonts w:ascii="Arial" w:hAnsi="Arial" w:cs="Arial"/>
          <w:i/>
          <w:iCs/>
        </w:rPr>
        <w:t>, Stephen Sansom</w:t>
      </w:r>
      <w:r w:rsidRPr="2B91E659">
        <w:rPr>
          <w:rFonts w:ascii="Arial" w:hAnsi="Arial" w:cs="Arial"/>
          <w:vertAlign w:val="superscript"/>
        </w:rPr>
        <w:t>1</w:t>
      </w:r>
      <w:r w:rsidRPr="2B91E659">
        <w:rPr>
          <w:rFonts w:ascii="Arial" w:hAnsi="Arial" w:cs="Arial"/>
          <w:i/>
          <w:iCs/>
        </w:rPr>
        <w:t>, Philipp Mertins</w:t>
      </w:r>
      <w:r w:rsidRPr="2B91E659">
        <w:rPr>
          <w:rFonts w:ascii="Arial" w:hAnsi="Arial" w:cs="Arial"/>
          <w:vertAlign w:val="superscript"/>
        </w:rPr>
        <w:t>2</w:t>
      </w:r>
      <w:r w:rsidRPr="2B91E659">
        <w:rPr>
          <w:rFonts w:ascii="Arial" w:hAnsi="Arial" w:cs="Arial"/>
          <w:i/>
          <w:iCs/>
        </w:rPr>
        <w:t>, Fiona Powrie</w:t>
      </w:r>
      <w:r w:rsidRPr="2B91E659">
        <w:rPr>
          <w:rFonts w:ascii="Arial" w:hAnsi="Arial" w:cs="Arial"/>
          <w:vertAlign w:val="superscript"/>
        </w:rPr>
        <w:t>1</w:t>
      </w:r>
      <w:r w:rsidRPr="2B91E659">
        <w:rPr>
          <w:rFonts w:ascii="Arial" w:hAnsi="Arial" w:cs="Arial"/>
          <w:i/>
          <w:iCs/>
        </w:rPr>
        <w:t>, Ghada Alsaleh</w:t>
      </w:r>
      <w:r w:rsidRPr="2B91E659">
        <w:rPr>
          <w:rFonts w:ascii="Arial" w:hAnsi="Arial" w:cs="Arial"/>
          <w:vertAlign w:val="superscript"/>
        </w:rPr>
        <w:t>5,</w:t>
      </w:r>
      <w:r w:rsidRPr="2B91E659">
        <w:rPr>
          <w:rFonts w:ascii="Symbol" w:eastAsia="Symbol" w:hAnsi="Symbol" w:cs="Symbol"/>
          <w:vertAlign w:val="superscript"/>
        </w:rPr>
        <w:t>F</w:t>
      </w:r>
      <w:r w:rsidRPr="2B91E659">
        <w:rPr>
          <w:rFonts w:ascii="Arial" w:hAnsi="Arial" w:cs="Arial"/>
          <w:i/>
          <w:iCs/>
        </w:rPr>
        <w:t>, Anna Katharina Simon</w:t>
      </w:r>
      <w:r w:rsidRPr="2B91E659">
        <w:rPr>
          <w:rFonts w:ascii="Arial" w:hAnsi="Arial" w:cs="Arial"/>
          <w:vertAlign w:val="superscript"/>
        </w:rPr>
        <w:t>1,2,</w:t>
      </w:r>
      <w:r w:rsidRPr="2B91E659">
        <w:rPr>
          <w:rFonts w:ascii="Symbol" w:eastAsia="Symbol" w:hAnsi="Symbol" w:cs="Symbol"/>
          <w:vertAlign w:val="superscript"/>
        </w:rPr>
        <w:t>F</w:t>
      </w:r>
      <w:r w:rsidRPr="2B91E659">
        <w:rPr>
          <w:rFonts w:ascii="Arial" w:hAnsi="Arial" w:cs="Arial"/>
          <w:vertAlign w:val="superscript"/>
        </w:rPr>
        <w:t>*</w:t>
      </w:r>
    </w:p>
    <w:p w14:paraId="35AA4108" w14:textId="03C50B35" w:rsidR="00704028" w:rsidRDefault="007040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FC8EE57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  <w:b/>
          <w:bCs/>
        </w:rPr>
      </w:pPr>
      <w:r w:rsidRPr="002535D4">
        <w:rPr>
          <w:rFonts w:ascii="Arial" w:hAnsi="Arial" w:cs="Arial"/>
          <w:b/>
          <w:bCs/>
        </w:rPr>
        <w:lastRenderedPageBreak/>
        <w:t xml:space="preserve">Supplementary Figure 1: </w:t>
      </w:r>
      <w:r w:rsidRPr="00BB0F97">
        <w:rPr>
          <w:rFonts w:ascii="Arial" w:hAnsi="Arial" w:cs="Arial"/>
          <w:b/>
          <w:bCs/>
        </w:rPr>
        <w:t xml:space="preserve">Validation of </w:t>
      </w:r>
      <w:r w:rsidRPr="00BB0F97">
        <w:rPr>
          <w:rFonts w:ascii="Arial" w:hAnsi="Arial" w:cs="Arial"/>
          <w:b/>
          <w:bCs/>
          <w:i/>
          <w:iCs/>
        </w:rPr>
        <w:t>Atg7</w:t>
      </w:r>
      <w:r w:rsidRPr="00BB0F97">
        <w:rPr>
          <w:rFonts w:ascii="Arial" w:hAnsi="Arial" w:cs="Arial"/>
          <w:b/>
          <w:bCs/>
          <w:i/>
          <w:iCs/>
          <w:vertAlign w:val="superscript"/>
        </w:rPr>
        <w:t>Ad</w:t>
      </w:r>
      <w:r w:rsidRPr="00BB0F97">
        <w:rPr>
          <w:rFonts w:ascii="Arial" w:hAnsi="Arial" w:cs="Arial"/>
          <w:b/>
          <w:bCs/>
        </w:rPr>
        <w:t xml:space="preserve"> mouse model to study the role of autophagy in diet-induced obesity.</w:t>
      </w:r>
    </w:p>
    <w:p w14:paraId="4A6C3A20" w14:textId="77777777" w:rsidR="00704028" w:rsidRPr="00BB0F97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 xml:space="preserve">A) </w:t>
      </w:r>
      <w:r w:rsidRPr="00BB0F97">
        <w:rPr>
          <w:rFonts w:ascii="Arial" w:hAnsi="Arial" w:cs="Arial"/>
        </w:rPr>
        <w:t xml:space="preserve">Relative mRNA expression of </w:t>
      </w:r>
      <w:r w:rsidRPr="00BB0F97">
        <w:rPr>
          <w:rFonts w:ascii="Arial" w:hAnsi="Arial" w:cs="Arial"/>
          <w:i/>
          <w:iCs/>
        </w:rPr>
        <w:t>Atg7</w:t>
      </w:r>
      <w:r w:rsidRPr="00BB0F97">
        <w:rPr>
          <w:rFonts w:ascii="Arial" w:hAnsi="Arial" w:cs="Arial"/>
        </w:rPr>
        <w:t xml:space="preserve"> in </w:t>
      </w:r>
      <w:proofErr w:type="spellStart"/>
      <w:r w:rsidRPr="00BB0F97">
        <w:rPr>
          <w:rFonts w:ascii="Arial" w:hAnsi="Arial" w:cs="Arial"/>
        </w:rPr>
        <w:t>gWAT</w:t>
      </w:r>
      <w:proofErr w:type="spellEnd"/>
      <w:r w:rsidRPr="00BB0F97">
        <w:rPr>
          <w:rFonts w:ascii="Arial" w:hAnsi="Arial" w:cs="Arial"/>
        </w:rPr>
        <w:t xml:space="preserve"> of WT and </w:t>
      </w:r>
      <w:r w:rsidRPr="00BB0F97">
        <w:rPr>
          <w:rFonts w:ascii="Arial" w:hAnsi="Arial" w:cs="Arial"/>
          <w:i/>
          <w:iCs/>
        </w:rPr>
        <w:t>Atg7</w:t>
      </w:r>
      <w:r w:rsidRPr="00BB0F97">
        <w:rPr>
          <w:rFonts w:ascii="Arial" w:hAnsi="Arial" w:cs="Arial"/>
          <w:i/>
          <w:iCs/>
          <w:vertAlign w:val="superscript"/>
        </w:rPr>
        <w:t>Ad</w:t>
      </w:r>
      <w:r w:rsidRPr="00BB0F97">
        <w:rPr>
          <w:rFonts w:ascii="Arial" w:hAnsi="Arial" w:cs="Arial"/>
          <w:vertAlign w:val="superscript"/>
        </w:rPr>
        <w:t xml:space="preserve"> </w:t>
      </w:r>
      <w:r w:rsidRPr="00BB0F97">
        <w:rPr>
          <w:rFonts w:ascii="Arial" w:hAnsi="Arial" w:cs="Arial"/>
        </w:rPr>
        <w:t xml:space="preserve">mice measured by </w:t>
      </w:r>
      <w:proofErr w:type="spellStart"/>
      <w:r w:rsidRPr="00BB0F97">
        <w:rPr>
          <w:rFonts w:ascii="Arial" w:hAnsi="Arial" w:cs="Arial"/>
        </w:rPr>
        <w:t>qRT</w:t>
      </w:r>
      <w:proofErr w:type="spellEnd"/>
      <w:r w:rsidRPr="00BB0F97">
        <w:rPr>
          <w:rFonts w:ascii="Arial" w:hAnsi="Arial" w:cs="Arial"/>
        </w:rPr>
        <w:t>-PCR. n = 8-9 mice. Representative of 3 independent experiments.</w:t>
      </w:r>
    </w:p>
    <w:p w14:paraId="34FEB225" w14:textId="77777777" w:rsidR="00704028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BB0F97">
        <w:rPr>
          <w:rFonts w:ascii="Arial" w:hAnsi="Arial" w:cs="Arial"/>
        </w:rPr>
        <w:t xml:space="preserve">B) </w:t>
      </w:r>
      <w:r w:rsidRPr="002535D4">
        <w:rPr>
          <w:rFonts w:ascii="Arial" w:hAnsi="Arial" w:cs="Arial"/>
        </w:rPr>
        <w:t xml:space="preserve">Representative western blot analysis of LC-3I, LC-3II, and vinculin in </w:t>
      </w:r>
      <w:proofErr w:type="spellStart"/>
      <w:r w:rsidRPr="002535D4">
        <w:rPr>
          <w:rFonts w:ascii="Arial" w:hAnsi="Arial" w:cs="Arial"/>
        </w:rPr>
        <w:t>gWAT</w:t>
      </w:r>
      <w:proofErr w:type="spellEnd"/>
      <w:r w:rsidRPr="002535D4">
        <w:rPr>
          <w:rFonts w:ascii="Arial" w:hAnsi="Arial" w:cs="Arial"/>
        </w:rPr>
        <w:t xml:space="preserve"> to measure autophagy flux. WT and </w:t>
      </w:r>
      <w:r w:rsidRPr="002535D4">
        <w:rPr>
          <w:rFonts w:ascii="Arial" w:hAnsi="Arial" w:cs="Arial"/>
          <w:i/>
          <w:iCs/>
        </w:rPr>
        <w:t>Atg7</w:t>
      </w:r>
      <w:r w:rsidRPr="002535D4">
        <w:rPr>
          <w:rFonts w:ascii="Arial" w:hAnsi="Arial" w:cs="Arial"/>
          <w:i/>
          <w:iCs/>
          <w:vertAlign w:val="superscript"/>
        </w:rPr>
        <w:t>Ad</w:t>
      </w:r>
      <w:r w:rsidRPr="002535D4">
        <w:rPr>
          <w:rFonts w:ascii="Arial" w:hAnsi="Arial" w:cs="Arial"/>
          <w:vertAlign w:val="superscript"/>
        </w:rPr>
        <w:t xml:space="preserve"> </w:t>
      </w:r>
      <w:r w:rsidRPr="002535D4">
        <w:rPr>
          <w:rFonts w:ascii="Arial" w:hAnsi="Arial" w:cs="Arial"/>
        </w:rPr>
        <w:t xml:space="preserve">mice were fed </w:t>
      </w:r>
      <w:r>
        <w:rPr>
          <w:rFonts w:ascii="Arial" w:hAnsi="Arial" w:cs="Arial"/>
        </w:rPr>
        <w:t>a </w:t>
      </w:r>
      <w:r w:rsidRPr="002535D4">
        <w:rPr>
          <w:rFonts w:ascii="Arial" w:hAnsi="Arial" w:cs="Arial"/>
        </w:rPr>
        <w:t>normal chow diet (NCD) or high fat diet (HFD) for 16 weeks</w:t>
      </w:r>
      <w:r w:rsidRPr="00BB0F97">
        <w:rPr>
          <w:rFonts w:ascii="Arial" w:hAnsi="Arial" w:cs="Arial"/>
        </w:rPr>
        <w:t>. The representative</w:t>
      </w:r>
      <w:r>
        <w:rPr>
          <w:rFonts w:ascii="Arial" w:hAnsi="Arial" w:cs="Arial"/>
        </w:rPr>
        <w:t xml:space="preserve"> samples are shown</w:t>
      </w:r>
      <w:r w:rsidRPr="00275B71">
        <w:rPr>
          <w:rFonts w:ascii="Arial" w:hAnsi="Arial" w:cs="Arial"/>
        </w:rPr>
        <w:t xml:space="preserve"> of 3 independent experiments.</w:t>
      </w:r>
    </w:p>
    <w:p w14:paraId="2A050B16" w14:textId="77777777" w:rsidR="00704028" w:rsidRDefault="00704028" w:rsidP="007040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2535D4">
        <w:rPr>
          <w:rFonts w:ascii="Arial" w:hAnsi="Arial" w:cs="Arial"/>
        </w:rPr>
        <w:t xml:space="preserve">WT and </w:t>
      </w:r>
      <w:r w:rsidRPr="002535D4">
        <w:rPr>
          <w:rFonts w:ascii="Arial" w:hAnsi="Arial" w:cs="Arial"/>
          <w:i/>
          <w:iCs/>
        </w:rPr>
        <w:t>Atg7</w:t>
      </w:r>
      <w:r w:rsidRPr="002535D4">
        <w:rPr>
          <w:rFonts w:ascii="Arial" w:hAnsi="Arial" w:cs="Arial"/>
          <w:i/>
          <w:iCs/>
          <w:vertAlign w:val="superscript"/>
        </w:rPr>
        <w:t>Ad</w:t>
      </w:r>
      <w:r w:rsidRPr="002535D4">
        <w:rPr>
          <w:rFonts w:ascii="Arial" w:hAnsi="Arial" w:cs="Arial"/>
          <w:vertAlign w:val="superscript"/>
        </w:rPr>
        <w:t xml:space="preserve"> </w:t>
      </w:r>
      <w:r w:rsidRPr="002535D4">
        <w:rPr>
          <w:rFonts w:ascii="Arial" w:hAnsi="Arial" w:cs="Arial"/>
        </w:rPr>
        <w:t xml:space="preserve">mice were fed </w:t>
      </w:r>
      <w:r>
        <w:rPr>
          <w:rFonts w:ascii="Arial" w:hAnsi="Arial" w:cs="Arial"/>
        </w:rPr>
        <w:t>a </w:t>
      </w:r>
      <w:r w:rsidRPr="002535D4">
        <w:rPr>
          <w:rFonts w:ascii="Arial" w:hAnsi="Arial" w:cs="Arial"/>
        </w:rPr>
        <w:t>normal chow diet (NCD) or high fat diet (HFD) for 16 weeks</w:t>
      </w:r>
      <w:r>
        <w:rPr>
          <w:rFonts w:ascii="Arial" w:hAnsi="Arial" w:cs="Arial"/>
        </w:rPr>
        <w:t xml:space="preserve"> </w:t>
      </w:r>
      <w:r w:rsidRPr="00542D22">
        <w:rPr>
          <w:rFonts w:ascii="Arial" w:hAnsi="Arial" w:cs="Arial"/>
        </w:rPr>
        <w:t xml:space="preserve">before autophagy flux in </w:t>
      </w:r>
      <w:proofErr w:type="spellStart"/>
      <w:r w:rsidRPr="00542D22">
        <w:rPr>
          <w:rFonts w:ascii="Arial" w:hAnsi="Arial" w:cs="Arial"/>
        </w:rPr>
        <w:t>gWAT</w:t>
      </w:r>
      <w:proofErr w:type="spellEnd"/>
      <w:r w:rsidRPr="00542D22">
        <w:rPr>
          <w:rFonts w:ascii="Arial" w:hAnsi="Arial" w:cs="Arial"/>
        </w:rPr>
        <w:t xml:space="preserve"> was assessed as explained in Materials and Methods. Western blot analysis of autophagy flux </w:t>
      </w:r>
      <w:r>
        <w:rPr>
          <w:rFonts w:ascii="Arial" w:hAnsi="Arial" w:cs="Arial"/>
        </w:rPr>
        <w:t xml:space="preserve">(as in B) </w:t>
      </w:r>
      <w:r w:rsidRPr="00542D22">
        <w:rPr>
          <w:rFonts w:ascii="Arial" w:hAnsi="Arial" w:cs="Arial"/>
        </w:rPr>
        <w:t>was calculated as (LC3</w:t>
      </w:r>
      <w:r w:rsidRPr="00542D22">
        <w:rPr>
          <w:rFonts w:ascii="Cambria Math" w:hAnsi="Cambria Math" w:cs="Cambria Math"/>
        </w:rPr>
        <w:t>‐</w:t>
      </w:r>
      <w:r w:rsidRPr="00542D22">
        <w:rPr>
          <w:rFonts w:ascii="Arial" w:hAnsi="Arial" w:cs="Arial"/>
        </w:rPr>
        <w:t>II (</w:t>
      </w:r>
      <w:proofErr w:type="spellStart"/>
      <w:r w:rsidRPr="00542D22">
        <w:rPr>
          <w:rFonts w:ascii="Arial" w:hAnsi="Arial" w:cs="Arial"/>
        </w:rPr>
        <w:t>Inh</w:t>
      </w:r>
      <w:proofErr w:type="spellEnd"/>
      <w:r w:rsidRPr="00542D22">
        <w:rPr>
          <w:rFonts w:ascii="Arial" w:hAnsi="Arial" w:cs="Arial"/>
        </w:rPr>
        <w:t>) – LC3</w:t>
      </w:r>
      <w:r w:rsidRPr="00542D22">
        <w:rPr>
          <w:rFonts w:ascii="Cambria Math" w:hAnsi="Cambria Math" w:cs="Cambria Math"/>
        </w:rPr>
        <w:t>‐</w:t>
      </w:r>
      <w:r w:rsidRPr="00542D22">
        <w:rPr>
          <w:rFonts w:ascii="Arial" w:hAnsi="Arial" w:cs="Arial"/>
        </w:rPr>
        <w:t>II (</w:t>
      </w:r>
      <w:proofErr w:type="spellStart"/>
      <w:r w:rsidRPr="00542D22">
        <w:rPr>
          <w:rFonts w:ascii="Arial" w:hAnsi="Arial" w:cs="Arial"/>
        </w:rPr>
        <w:t>Veh</w:t>
      </w:r>
      <w:proofErr w:type="spellEnd"/>
      <w:r w:rsidRPr="00542D22">
        <w:rPr>
          <w:rFonts w:ascii="Arial" w:hAnsi="Arial" w:cs="Arial"/>
        </w:rPr>
        <w:t xml:space="preserve">)). n = </w:t>
      </w:r>
      <w:r>
        <w:rPr>
          <w:rFonts w:ascii="Arial" w:hAnsi="Arial" w:cs="Arial"/>
        </w:rPr>
        <w:t>3</w:t>
      </w:r>
      <w:r w:rsidRPr="00542D2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6</w:t>
      </w:r>
      <w:r w:rsidRPr="00542D22">
        <w:rPr>
          <w:rFonts w:ascii="Arial" w:hAnsi="Arial" w:cs="Arial"/>
        </w:rPr>
        <w:t xml:space="preserve"> mice. </w:t>
      </w:r>
      <w:r>
        <w:rPr>
          <w:rFonts w:ascii="Arial" w:hAnsi="Arial" w:cs="Arial"/>
        </w:rPr>
        <w:t>Representative of</w:t>
      </w:r>
      <w:r w:rsidRPr="00542D22">
        <w:rPr>
          <w:rFonts w:ascii="Arial" w:hAnsi="Arial" w:cs="Arial"/>
        </w:rPr>
        <w:t xml:space="preserve"> 3 independent experiments.</w:t>
      </w:r>
    </w:p>
    <w:p w14:paraId="1E871613" w14:textId="77777777" w:rsidR="00704028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BB0F97">
        <w:rPr>
          <w:rFonts w:ascii="Arial" w:hAnsi="Arial" w:cs="Arial"/>
        </w:rPr>
        <w:t xml:space="preserve">Data are presented as mean ± SD. Dots represent individual </w:t>
      </w:r>
      <w:r>
        <w:rPr>
          <w:rFonts w:ascii="Arial" w:hAnsi="Arial" w:cs="Arial"/>
        </w:rPr>
        <w:t>biological replicates</w:t>
      </w:r>
      <w:r w:rsidRPr="00BB0F97">
        <w:rPr>
          <w:rFonts w:ascii="Arial" w:hAnsi="Arial" w:cs="Arial"/>
        </w:rPr>
        <w:t>. Statistical analysis by unpaired t-test (</w:t>
      </w:r>
      <w:r>
        <w:rPr>
          <w:rFonts w:ascii="Arial" w:hAnsi="Arial" w:cs="Arial"/>
        </w:rPr>
        <w:t>A) and one</w:t>
      </w:r>
      <w:r w:rsidRPr="00BB0F97">
        <w:rPr>
          <w:rFonts w:ascii="Arial" w:hAnsi="Arial" w:cs="Arial"/>
        </w:rPr>
        <w:t>-way ANOVA with Tukey multi comparisons test (</w:t>
      </w:r>
      <w:r>
        <w:rPr>
          <w:rFonts w:ascii="Arial" w:hAnsi="Arial" w:cs="Arial"/>
        </w:rPr>
        <w:t>C</w:t>
      </w:r>
      <w:r w:rsidRPr="00BB0F97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3F668A87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</w:p>
    <w:p w14:paraId="5BDD3CA6" w14:textId="77777777" w:rsidR="00704028" w:rsidRPr="006A4E47" w:rsidRDefault="00704028" w:rsidP="00704028">
      <w:pPr>
        <w:spacing w:line="360" w:lineRule="auto"/>
        <w:jc w:val="both"/>
        <w:rPr>
          <w:rFonts w:ascii="Arial" w:hAnsi="Arial" w:cs="Arial"/>
          <w:b/>
          <w:bCs/>
        </w:rPr>
      </w:pPr>
      <w:r w:rsidRPr="002535D4">
        <w:rPr>
          <w:rFonts w:ascii="Arial" w:hAnsi="Arial" w:cs="Arial"/>
          <w:b/>
          <w:bCs/>
        </w:rPr>
        <w:t xml:space="preserve">Supplementary Figure </w:t>
      </w:r>
      <w:r w:rsidRPr="006A4E47">
        <w:rPr>
          <w:rFonts w:ascii="Arial" w:hAnsi="Arial" w:cs="Arial"/>
          <w:b/>
          <w:bCs/>
        </w:rPr>
        <w:t>2</w:t>
      </w:r>
      <w:r w:rsidRPr="002535D4">
        <w:rPr>
          <w:rFonts w:ascii="Arial" w:hAnsi="Arial" w:cs="Arial"/>
          <w:b/>
          <w:bCs/>
        </w:rPr>
        <w:t xml:space="preserve">: </w:t>
      </w:r>
      <w:r w:rsidRPr="006A4E47">
        <w:rPr>
          <w:rFonts w:ascii="Arial" w:hAnsi="Arial" w:cs="Arial"/>
          <w:b/>
          <w:bCs/>
        </w:rPr>
        <w:t>Loss of autophagy induces a stress response and cell death, and profoundly disturbs mitochondrial homeostasis.</w:t>
      </w:r>
    </w:p>
    <w:p w14:paraId="516CA3D1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 xml:space="preserve">A) </w:t>
      </w:r>
      <w:proofErr w:type="spellStart"/>
      <w:r w:rsidRPr="002535D4">
        <w:rPr>
          <w:rFonts w:ascii="Arial" w:hAnsi="Arial" w:cs="Arial"/>
        </w:rPr>
        <w:t>Vulcano</w:t>
      </w:r>
      <w:proofErr w:type="spellEnd"/>
      <w:r w:rsidRPr="002535D4">
        <w:rPr>
          <w:rFonts w:ascii="Arial" w:hAnsi="Arial" w:cs="Arial"/>
        </w:rPr>
        <w:t xml:space="preserve"> plot of cellular response to oxidative stress (GO:0034599). </w:t>
      </w:r>
    </w:p>
    <w:p w14:paraId="4FD557E6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B) Heatmap of OXPHOS biological process (GO:0006119). Proteins belonging to different mitochondrial complexes are colour</w:t>
      </w:r>
      <w:r>
        <w:rPr>
          <w:rFonts w:ascii="Arial" w:hAnsi="Arial" w:cs="Arial"/>
        </w:rPr>
        <w:t>-</w:t>
      </w:r>
      <w:r w:rsidRPr="002535D4">
        <w:rPr>
          <w:rFonts w:ascii="Arial" w:hAnsi="Arial" w:cs="Arial"/>
        </w:rPr>
        <w:t>coded. Values were scaled by row (protein) using z-score.</w:t>
      </w:r>
    </w:p>
    <w:p w14:paraId="4699FDA1" w14:textId="77777777" w:rsidR="00704028" w:rsidRPr="006A4E47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6A4E47">
        <w:rPr>
          <w:rFonts w:ascii="Arial" w:hAnsi="Arial" w:cs="Arial"/>
        </w:rPr>
        <w:t xml:space="preserve">C-D) Representative immunofluorescence </w:t>
      </w:r>
      <w:r w:rsidRPr="00661143">
        <w:rPr>
          <w:rFonts w:ascii="Arial" w:hAnsi="Arial" w:cs="Arial"/>
        </w:rPr>
        <w:t xml:space="preserve">staining of Perilipin-1 on </w:t>
      </w:r>
      <w:proofErr w:type="spellStart"/>
      <w:r w:rsidRPr="00661143">
        <w:rPr>
          <w:rFonts w:ascii="Arial" w:hAnsi="Arial" w:cs="Arial"/>
        </w:rPr>
        <w:t>gWAT</w:t>
      </w:r>
      <w:proofErr w:type="spellEnd"/>
      <w:r w:rsidRPr="00661143">
        <w:rPr>
          <w:rFonts w:ascii="Arial" w:hAnsi="Arial" w:cs="Arial"/>
        </w:rPr>
        <w:t xml:space="preserve"> sections from WT and </w:t>
      </w:r>
      <w:r w:rsidRPr="00661143">
        <w:rPr>
          <w:rFonts w:ascii="Arial" w:hAnsi="Arial" w:cs="Arial"/>
          <w:i/>
          <w:iCs/>
        </w:rPr>
        <w:t>Atg7</w:t>
      </w:r>
      <w:r w:rsidRPr="00661143">
        <w:rPr>
          <w:rFonts w:ascii="Arial" w:hAnsi="Arial" w:cs="Arial"/>
          <w:i/>
          <w:iCs/>
          <w:vertAlign w:val="superscript"/>
        </w:rPr>
        <w:t xml:space="preserve">Ad </w:t>
      </w:r>
      <w:r w:rsidRPr="00661143">
        <w:rPr>
          <w:rFonts w:ascii="Arial" w:hAnsi="Arial" w:cs="Arial"/>
        </w:rPr>
        <w:t xml:space="preserve">mice following HFD feeding for 16 weeks. (C) Quantification of Perilipin-1 staining as a percentage of Perilipin-1 negative adipocytes compared to total adipocytes from (C). Legend: blue = </w:t>
      </w:r>
      <w:proofErr w:type="spellStart"/>
      <w:r w:rsidRPr="00661143">
        <w:rPr>
          <w:rFonts w:ascii="Arial" w:hAnsi="Arial" w:cs="Arial"/>
        </w:rPr>
        <w:t>dapi</w:t>
      </w:r>
      <w:proofErr w:type="spellEnd"/>
      <w:r w:rsidRPr="00661143">
        <w:rPr>
          <w:rFonts w:ascii="Arial" w:hAnsi="Arial" w:cs="Arial"/>
        </w:rPr>
        <w:t>, red = Perilipin-1. n = 7-8 mice. Data</w:t>
      </w:r>
      <w:r w:rsidRPr="006A4E47">
        <w:rPr>
          <w:rFonts w:ascii="Arial" w:hAnsi="Arial" w:cs="Arial"/>
        </w:rPr>
        <w:t xml:space="preserve"> are merged from 3 independent experiments.</w:t>
      </w:r>
    </w:p>
    <w:p w14:paraId="1CA3D29F" w14:textId="77777777" w:rsidR="00704028" w:rsidRPr="00CE653C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6A4E47">
        <w:rPr>
          <w:rFonts w:ascii="Arial" w:hAnsi="Arial" w:cs="Arial"/>
        </w:rPr>
        <w:t xml:space="preserve">E) </w:t>
      </w:r>
      <w:r>
        <w:rPr>
          <w:rFonts w:ascii="Arial" w:hAnsi="Arial" w:cs="Arial"/>
        </w:rPr>
        <w:t xml:space="preserve">Cleaved caspase 3 was assessed by western blot analysis in </w:t>
      </w:r>
      <w:proofErr w:type="spellStart"/>
      <w:r>
        <w:rPr>
          <w:rFonts w:ascii="Arial" w:hAnsi="Arial" w:cs="Arial"/>
        </w:rPr>
        <w:t>gWAT</w:t>
      </w:r>
      <w:proofErr w:type="spellEnd"/>
      <w:r>
        <w:rPr>
          <w:rFonts w:ascii="Arial" w:hAnsi="Arial" w:cs="Arial"/>
        </w:rPr>
        <w:t xml:space="preserve"> </w:t>
      </w:r>
      <w:r w:rsidRPr="00CE653C">
        <w:rPr>
          <w:rFonts w:ascii="Arial" w:hAnsi="Arial" w:cs="Arial"/>
        </w:rPr>
        <w:t xml:space="preserve">explants cultured overnight </w:t>
      </w:r>
      <w:r w:rsidRPr="00CE653C">
        <w:rPr>
          <w:rFonts w:ascii="Arial" w:hAnsi="Arial" w:cs="Arial"/>
          <w:i/>
          <w:iCs/>
        </w:rPr>
        <w:t>ex vivo</w:t>
      </w:r>
      <w:r w:rsidRPr="00CE653C">
        <w:rPr>
          <w:rFonts w:ascii="Arial" w:hAnsi="Arial" w:cs="Arial"/>
        </w:rPr>
        <w:t xml:space="preserve"> and treated with either DMSO or 20 µM Q-VD-</w:t>
      </w:r>
      <w:proofErr w:type="spellStart"/>
      <w:r w:rsidRPr="00CE653C">
        <w:rPr>
          <w:rFonts w:ascii="Arial" w:hAnsi="Arial" w:cs="Arial"/>
        </w:rPr>
        <w:t>OPh</w:t>
      </w:r>
      <w:proofErr w:type="spellEnd"/>
      <w:r w:rsidRPr="00CE653C">
        <w:rPr>
          <w:rFonts w:ascii="Arial" w:hAnsi="Arial" w:cs="Arial"/>
        </w:rPr>
        <w:t xml:space="preserve">, a pan-caspase inhibitor. </w:t>
      </w:r>
      <w:proofErr w:type="spellStart"/>
      <w:r w:rsidRPr="00CE653C">
        <w:rPr>
          <w:rFonts w:ascii="Arial" w:hAnsi="Arial" w:cs="Arial"/>
        </w:rPr>
        <w:t>gWAT</w:t>
      </w:r>
      <w:proofErr w:type="spellEnd"/>
      <w:r w:rsidRPr="00CE653C">
        <w:rPr>
          <w:rFonts w:ascii="Arial" w:hAnsi="Arial" w:cs="Arial"/>
        </w:rPr>
        <w:t xml:space="preserve"> was isolated from WT and </w:t>
      </w:r>
      <w:r w:rsidRPr="00CE653C">
        <w:rPr>
          <w:rFonts w:ascii="Arial" w:hAnsi="Arial" w:cs="Arial"/>
          <w:i/>
          <w:iCs/>
        </w:rPr>
        <w:t>Atg7</w:t>
      </w:r>
      <w:r w:rsidRPr="00CE653C">
        <w:rPr>
          <w:rFonts w:ascii="Arial" w:hAnsi="Arial" w:cs="Arial"/>
          <w:i/>
          <w:iCs/>
          <w:vertAlign w:val="superscript"/>
        </w:rPr>
        <w:t>Ad</w:t>
      </w:r>
      <w:r w:rsidRPr="00CE653C">
        <w:rPr>
          <w:rFonts w:ascii="Arial" w:hAnsi="Arial" w:cs="Arial"/>
          <w:vertAlign w:val="superscript"/>
        </w:rPr>
        <w:t xml:space="preserve"> </w:t>
      </w:r>
      <w:r w:rsidRPr="00CE653C">
        <w:rPr>
          <w:rFonts w:ascii="Arial" w:hAnsi="Arial" w:cs="Arial"/>
        </w:rPr>
        <w:t>mice fed with HFD for 16 weeks. n = 5-6 mice. Representative of 3 independent experiments.</w:t>
      </w:r>
    </w:p>
    <w:p w14:paraId="53D3DC07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41478B">
        <w:rPr>
          <w:rFonts w:ascii="Arial" w:hAnsi="Arial" w:cs="Arial"/>
        </w:rPr>
        <w:t>F-G</w:t>
      </w:r>
      <w:r w:rsidRPr="002535D4">
        <w:rPr>
          <w:rFonts w:ascii="Arial" w:hAnsi="Arial" w:cs="Arial"/>
        </w:rPr>
        <w:t xml:space="preserve">) Heatmap showing </w:t>
      </w:r>
      <w:r w:rsidRPr="0041478B">
        <w:rPr>
          <w:rFonts w:ascii="Arial" w:hAnsi="Arial" w:cs="Arial"/>
        </w:rPr>
        <w:t xml:space="preserve">intracellular (F) and extracellular (G) </w:t>
      </w:r>
      <w:r w:rsidRPr="002535D4">
        <w:rPr>
          <w:rFonts w:ascii="Arial" w:hAnsi="Arial" w:cs="Arial"/>
        </w:rPr>
        <w:t xml:space="preserve">adipokine accumulation. </w:t>
      </w:r>
      <w:proofErr w:type="spellStart"/>
      <w:r w:rsidRPr="002535D4">
        <w:rPr>
          <w:rFonts w:ascii="Arial" w:hAnsi="Arial" w:cs="Arial"/>
        </w:rPr>
        <w:t>Lep</w:t>
      </w:r>
      <w:proofErr w:type="spellEnd"/>
      <w:r w:rsidRPr="002535D4">
        <w:rPr>
          <w:rFonts w:ascii="Arial" w:hAnsi="Arial" w:cs="Arial"/>
        </w:rPr>
        <w:t xml:space="preserve"> = leptin, </w:t>
      </w:r>
      <w:proofErr w:type="spellStart"/>
      <w:r w:rsidRPr="002535D4">
        <w:rPr>
          <w:rFonts w:ascii="Arial" w:hAnsi="Arial" w:cs="Arial"/>
        </w:rPr>
        <w:t>Adipoq</w:t>
      </w:r>
      <w:proofErr w:type="spellEnd"/>
      <w:r w:rsidRPr="002535D4">
        <w:rPr>
          <w:rFonts w:ascii="Arial" w:hAnsi="Arial" w:cs="Arial"/>
        </w:rPr>
        <w:t xml:space="preserve"> = adiponectin. Values were scaled by row (protein) using z-score.</w:t>
      </w:r>
    </w:p>
    <w:p w14:paraId="01ACD037" w14:textId="77777777" w:rsidR="00704028" w:rsidRDefault="00704028" w:rsidP="00704028">
      <w:pPr>
        <w:spacing w:line="360" w:lineRule="auto"/>
        <w:jc w:val="both"/>
        <w:rPr>
          <w:rFonts w:ascii="Arial" w:hAnsi="Arial" w:cs="Arial"/>
          <w:b/>
          <w:bCs/>
          <w:highlight w:val="yellow"/>
        </w:rPr>
      </w:pPr>
    </w:p>
    <w:p w14:paraId="5DBC6F06" w14:textId="77777777" w:rsidR="00704028" w:rsidRPr="00980036" w:rsidRDefault="00704028" w:rsidP="00704028">
      <w:pPr>
        <w:spacing w:line="360" w:lineRule="auto"/>
        <w:jc w:val="both"/>
        <w:rPr>
          <w:rFonts w:ascii="Arial" w:hAnsi="Arial" w:cs="Arial"/>
          <w:b/>
          <w:bCs/>
          <w:lang w:val="en-US"/>
        </w:rPr>
      </w:pPr>
      <w:r w:rsidRPr="00980036">
        <w:rPr>
          <w:rFonts w:ascii="Arial" w:hAnsi="Arial" w:cs="Arial"/>
          <w:b/>
          <w:bCs/>
        </w:rPr>
        <w:lastRenderedPageBreak/>
        <w:t>Supplementary Figure 3: Metabolomics analysis reveals a prominent role of autophagy in amino acid metabolism.</w:t>
      </w:r>
    </w:p>
    <w:p w14:paraId="20FC16FF" w14:textId="77777777" w:rsidR="00704028" w:rsidRPr="00980036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980036">
        <w:rPr>
          <w:rFonts w:ascii="Arial" w:hAnsi="Arial" w:cs="Arial"/>
        </w:rPr>
        <w:t>A</w:t>
      </w:r>
      <w:r w:rsidRPr="002535D4">
        <w:rPr>
          <w:rFonts w:ascii="Arial" w:hAnsi="Arial" w:cs="Arial"/>
        </w:rPr>
        <w:t>) Principal component analysis (PCA) representation of metabolomics analysis. n = 3 mice per genotype, males only.</w:t>
      </w:r>
    </w:p>
    <w:p w14:paraId="020AE8A4" w14:textId="77777777" w:rsidR="00704028" w:rsidRPr="00980036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980036">
        <w:rPr>
          <w:rFonts w:ascii="Arial" w:hAnsi="Arial" w:cs="Arial"/>
        </w:rPr>
        <w:t xml:space="preserve">B) Relative abundance of uric acid measured with metabolomics analysis in </w:t>
      </w:r>
      <w:r w:rsidRPr="002535D4">
        <w:rPr>
          <w:rFonts w:ascii="Arial" w:hAnsi="Arial" w:cs="Arial"/>
        </w:rPr>
        <w:t xml:space="preserve">adipocytes isolated from </w:t>
      </w:r>
      <w:proofErr w:type="spellStart"/>
      <w:r w:rsidRPr="002535D4">
        <w:rPr>
          <w:rFonts w:ascii="Arial" w:hAnsi="Arial" w:cs="Arial"/>
        </w:rPr>
        <w:t>gWAT</w:t>
      </w:r>
      <w:proofErr w:type="spellEnd"/>
      <w:r w:rsidRPr="002535D4">
        <w:rPr>
          <w:rFonts w:ascii="Arial" w:hAnsi="Arial" w:cs="Arial"/>
        </w:rPr>
        <w:t xml:space="preserve"> of WT and </w:t>
      </w:r>
      <w:r w:rsidRPr="002535D4">
        <w:rPr>
          <w:rFonts w:ascii="Arial" w:hAnsi="Arial" w:cs="Arial"/>
          <w:i/>
          <w:iCs/>
        </w:rPr>
        <w:t>Atg7</w:t>
      </w:r>
      <w:r w:rsidRPr="002535D4">
        <w:rPr>
          <w:rFonts w:ascii="Arial" w:hAnsi="Arial" w:cs="Arial"/>
          <w:i/>
          <w:iCs/>
          <w:vertAlign w:val="superscript"/>
        </w:rPr>
        <w:t xml:space="preserve">Ad </w:t>
      </w:r>
      <w:r w:rsidRPr="002535D4">
        <w:rPr>
          <w:rFonts w:ascii="Arial" w:hAnsi="Arial" w:cs="Arial"/>
        </w:rPr>
        <w:t>mice following HFD feeding for 16 weeks. n = 3 mice.</w:t>
      </w:r>
    </w:p>
    <w:p w14:paraId="778B914C" w14:textId="77777777" w:rsidR="00704028" w:rsidRPr="00980036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980036">
        <w:rPr>
          <w:rFonts w:ascii="Arial" w:hAnsi="Arial" w:cs="Arial"/>
        </w:rPr>
        <w:t xml:space="preserve">C) Activity of xanthine oxidase (XO) after 2-hour incubation with WT and </w:t>
      </w:r>
      <w:r w:rsidRPr="00980036">
        <w:rPr>
          <w:rFonts w:ascii="Arial" w:hAnsi="Arial" w:cs="Arial"/>
          <w:i/>
          <w:iCs/>
        </w:rPr>
        <w:t>Atg7</w:t>
      </w:r>
      <w:r w:rsidRPr="00980036">
        <w:rPr>
          <w:rFonts w:ascii="Arial" w:hAnsi="Arial" w:cs="Arial"/>
          <w:i/>
          <w:iCs/>
          <w:vertAlign w:val="superscript"/>
        </w:rPr>
        <w:t>Ad</w:t>
      </w:r>
      <w:r w:rsidRPr="00980036">
        <w:rPr>
          <w:rFonts w:ascii="Arial" w:hAnsi="Arial" w:cs="Arial"/>
        </w:rPr>
        <w:t xml:space="preserve"> adipocyte lysates. n = 11 mice. Data are merged from 3 independent experiments. Data are presented as mean ± SD. Dots represent individual biological replicates.</w:t>
      </w:r>
    </w:p>
    <w:p w14:paraId="405219E1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980036">
        <w:rPr>
          <w:rFonts w:ascii="Arial" w:hAnsi="Arial" w:cs="Arial"/>
        </w:rPr>
        <w:t xml:space="preserve">D) </w:t>
      </w:r>
      <w:r w:rsidRPr="00033024">
        <w:rPr>
          <w:rFonts w:ascii="Arial" w:hAnsi="Arial" w:cs="Arial"/>
        </w:rPr>
        <w:t xml:space="preserve">Z-score heatmap of significantly (p &lt; 0.05) abundant metabolites in adipocytes. Metabolomics analysis was performed on adipocytes isolated from </w:t>
      </w:r>
      <w:proofErr w:type="spellStart"/>
      <w:r w:rsidRPr="00033024">
        <w:rPr>
          <w:rFonts w:ascii="Arial" w:hAnsi="Arial" w:cs="Arial"/>
        </w:rPr>
        <w:t>gWAT</w:t>
      </w:r>
      <w:proofErr w:type="spellEnd"/>
      <w:r w:rsidRPr="00033024">
        <w:rPr>
          <w:rFonts w:ascii="Arial" w:hAnsi="Arial" w:cs="Arial"/>
        </w:rPr>
        <w:t xml:space="preserve"> of WT and </w:t>
      </w:r>
      <w:r w:rsidRPr="00033024">
        <w:rPr>
          <w:rFonts w:ascii="Arial" w:hAnsi="Arial" w:cs="Arial"/>
          <w:i/>
          <w:iCs/>
        </w:rPr>
        <w:t>Atg7</w:t>
      </w:r>
      <w:r w:rsidRPr="00033024">
        <w:rPr>
          <w:rFonts w:ascii="Arial" w:hAnsi="Arial" w:cs="Arial"/>
          <w:i/>
          <w:iCs/>
          <w:vertAlign w:val="superscript"/>
        </w:rPr>
        <w:t xml:space="preserve">Ad </w:t>
      </w:r>
      <w:r w:rsidRPr="00033024">
        <w:rPr>
          <w:rFonts w:ascii="Arial" w:hAnsi="Arial" w:cs="Arial"/>
        </w:rPr>
        <w:t>mice following HFD feeding for 16 weeks. n = 3 mice.</w:t>
      </w:r>
    </w:p>
    <w:p w14:paraId="28B7B4AA" w14:textId="77777777" w:rsidR="00704028" w:rsidRPr="00980036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 xml:space="preserve">E) Relative abundance of amino acids measured with metabolomics analysis in adipocytes isolated from </w:t>
      </w:r>
      <w:proofErr w:type="spellStart"/>
      <w:r w:rsidRPr="002535D4">
        <w:rPr>
          <w:rFonts w:ascii="Arial" w:hAnsi="Arial" w:cs="Arial"/>
        </w:rPr>
        <w:t>gWAT</w:t>
      </w:r>
      <w:proofErr w:type="spellEnd"/>
      <w:r w:rsidRPr="002535D4">
        <w:rPr>
          <w:rFonts w:ascii="Arial" w:hAnsi="Arial" w:cs="Arial"/>
        </w:rPr>
        <w:t xml:space="preserve"> of WT and </w:t>
      </w:r>
      <w:r w:rsidRPr="002535D4">
        <w:rPr>
          <w:rFonts w:ascii="Arial" w:hAnsi="Arial" w:cs="Arial"/>
          <w:i/>
          <w:iCs/>
        </w:rPr>
        <w:t>Atg7</w:t>
      </w:r>
      <w:r w:rsidRPr="002535D4">
        <w:rPr>
          <w:rFonts w:ascii="Arial" w:hAnsi="Arial" w:cs="Arial"/>
          <w:i/>
          <w:iCs/>
          <w:vertAlign w:val="superscript"/>
        </w:rPr>
        <w:t xml:space="preserve">Ad </w:t>
      </w:r>
      <w:r w:rsidRPr="002535D4">
        <w:rPr>
          <w:rFonts w:ascii="Arial" w:hAnsi="Arial" w:cs="Arial"/>
        </w:rPr>
        <w:t>mice following HFD feeding for 16 weeks. n = 3 mice.</w:t>
      </w:r>
    </w:p>
    <w:p w14:paraId="2A9AB520" w14:textId="77777777" w:rsidR="00704028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980036">
        <w:rPr>
          <w:rFonts w:ascii="Arial" w:hAnsi="Arial" w:cs="Arial"/>
        </w:rPr>
        <w:t xml:space="preserve">F) </w:t>
      </w:r>
      <w:r w:rsidRPr="00033024">
        <w:rPr>
          <w:rFonts w:ascii="Arial" w:hAnsi="Arial" w:cs="Arial"/>
        </w:rPr>
        <w:t>Log</w:t>
      </w:r>
      <w:r w:rsidRPr="00033024">
        <w:rPr>
          <w:rFonts w:ascii="Arial" w:hAnsi="Arial" w:cs="Arial"/>
          <w:vertAlign w:val="subscript"/>
        </w:rPr>
        <w:t>2</w:t>
      </w:r>
      <w:r w:rsidRPr="00033024">
        <w:rPr>
          <w:rFonts w:ascii="Arial" w:hAnsi="Arial" w:cs="Arial"/>
        </w:rPr>
        <w:t xml:space="preserve"> fold change heatmap of significantly differentially abundant proteins between WT and </w:t>
      </w:r>
      <w:r w:rsidRPr="00033024">
        <w:rPr>
          <w:rFonts w:ascii="Arial" w:hAnsi="Arial" w:cs="Arial"/>
          <w:i/>
          <w:iCs/>
        </w:rPr>
        <w:t>Atg7</w:t>
      </w:r>
      <w:r w:rsidRPr="00033024">
        <w:rPr>
          <w:rFonts w:ascii="Arial" w:hAnsi="Arial" w:cs="Arial"/>
          <w:i/>
          <w:iCs/>
          <w:vertAlign w:val="superscript"/>
        </w:rPr>
        <w:t xml:space="preserve">Ad </w:t>
      </w:r>
      <w:r w:rsidRPr="00033024">
        <w:rPr>
          <w:rFonts w:ascii="Arial" w:hAnsi="Arial" w:cs="Arial"/>
        </w:rPr>
        <w:t xml:space="preserve">involved in </w:t>
      </w:r>
      <w:r w:rsidRPr="00980036">
        <w:rPr>
          <w:rFonts w:ascii="Arial" w:hAnsi="Arial" w:cs="Arial"/>
        </w:rPr>
        <w:t>glycolysis, TCA cycle and FAO</w:t>
      </w:r>
      <w:r w:rsidRPr="00033024">
        <w:rPr>
          <w:rFonts w:ascii="Arial" w:hAnsi="Arial" w:cs="Arial"/>
        </w:rPr>
        <w:t xml:space="preserve"> in adipocytes as measured by proteomics analysis. </w:t>
      </w:r>
    </w:p>
    <w:p w14:paraId="0C235E86" w14:textId="77777777" w:rsidR="00704028" w:rsidRPr="002442E9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442E9">
        <w:rPr>
          <w:rFonts w:ascii="Arial" w:hAnsi="Arial" w:cs="Arial"/>
        </w:rPr>
        <w:t>All heatmap values were scaled by row (protein/metabolite) using z-score.</w:t>
      </w:r>
    </w:p>
    <w:p w14:paraId="43EE029C" w14:textId="77777777" w:rsidR="00704028" w:rsidRDefault="00704028" w:rsidP="00704028">
      <w:pPr>
        <w:spacing w:line="360" w:lineRule="auto"/>
        <w:jc w:val="both"/>
        <w:rPr>
          <w:rFonts w:ascii="Arial" w:hAnsi="Arial" w:cs="Arial"/>
          <w:b/>
          <w:bCs/>
          <w:highlight w:val="yellow"/>
        </w:rPr>
      </w:pPr>
    </w:p>
    <w:p w14:paraId="1CE702E6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  <w:b/>
          <w:bCs/>
        </w:rPr>
      </w:pPr>
      <w:r w:rsidRPr="00A4148C">
        <w:rPr>
          <w:rFonts w:ascii="Arial" w:hAnsi="Arial" w:cs="Arial"/>
          <w:b/>
          <w:bCs/>
        </w:rPr>
        <w:t>Supplementary Figure 4: The absence of adipocyte autophagy ameliorates metabolic syndrome in diet-induced obese mice.</w:t>
      </w:r>
    </w:p>
    <w:p w14:paraId="6566FE6E" w14:textId="77777777" w:rsidR="00704028" w:rsidRPr="00A4148C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 xml:space="preserve">WT and </w:t>
      </w:r>
      <w:r w:rsidRPr="002535D4">
        <w:rPr>
          <w:rFonts w:ascii="Arial" w:hAnsi="Arial" w:cs="Arial"/>
          <w:i/>
          <w:iCs/>
        </w:rPr>
        <w:t>Atg7</w:t>
      </w:r>
      <w:r w:rsidRPr="002535D4">
        <w:rPr>
          <w:rFonts w:ascii="Arial" w:hAnsi="Arial" w:cs="Arial"/>
          <w:i/>
          <w:iCs/>
          <w:vertAlign w:val="superscript"/>
        </w:rPr>
        <w:t>Ad</w:t>
      </w:r>
      <w:r w:rsidRPr="002535D4">
        <w:rPr>
          <w:rFonts w:ascii="Arial" w:hAnsi="Arial" w:cs="Arial"/>
          <w:vertAlign w:val="superscript"/>
        </w:rPr>
        <w:t xml:space="preserve"> </w:t>
      </w:r>
      <w:r w:rsidRPr="002535D4">
        <w:rPr>
          <w:rFonts w:ascii="Arial" w:hAnsi="Arial" w:cs="Arial"/>
        </w:rPr>
        <w:t xml:space="preserve">mice were fed normal chow diet (NCD) or high fat diet (HFD) for 12-16 weeks prior to analysis.  </w:t>
      </w:r>
    </w:p>
    <w:p w14:paraId="3B3BA9BD" w14:textId="77777777" w:rsidR="00704028" w:rsidRPr="00A4148C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A4148C">
        <w:rPr>
          <w:rFonts w:ascii="Arial" w:hAnsi="Arial" w:cs="Arial"/>
        </w:rPr>
        <w:t>A) Fat pad weight. n = 8-16 mice. Data are merged from 3 independent experiments.</w:t>
      </w:r>
    </w:p>
    <w:p w14:paraId="7AEB8116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B) Weight gain relative to starting weight over 12 weeks of NCD or HFD feeding. n = 4 mice. Representative of 3 independent experiments.</w:t>
      </w:r>
    </w:p>
    <w:p w14:paraId="37C4297F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C) Caloric food intake between NCD and HFD-fed mice. n = 4 mice. Representative of 3 independent experiments.</w:t>
      </w:r>
    </w:p>
    <w:p w14:paraId="7B78B464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lastRenderedPageBreak/>
        <w:t xml:space="preserve">D) Glucose tolerance test performed at 12 weeks of HFD feeding. n = 4 mice. Representative of 3 independent experiments. </w:t>
      </w:r>
    </w:p>
    <w:p w14:paraId="60AD5690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E) Area under the curve (AUC) for glucose tolerance test for (E).</w:t>
      </w:r>
    </w:p>
    <w:p w14:paraId="74DEC46D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 xml:space="preserve">F) H&amp;E staining of liver harvested from HFD-fed WT and </w:t>
      </w:r>
      <w:r w:rsidRPr="002535D4">
        <w:rPr>
          <w:rFonts w:ascii="Arial" w:hAnsi="Arial" w:cs="Arial"/>
          <w:i/>
          <w:iCs/>
        </w:rPr>
        <w:t>Atg7</w:t>
      </w:r>
      <w:r w:rsidRPr="002535D4">
        <w:rPr>
          <w:rFonts w:ascii="Arial" w:hAnsi="Arial" w:cs="Arial"/>
          <w:i/>
          <w:iCs/>
          <w:vertAlign w:val="superscript"/>
        </w:rPr>
        <w:t>Ad</w:t>
      </w:r>
      <w:r w:rsidRPr="002535D4">
        <w:rPr>
          <w:rFonts w:ascii="Arial" w:hAnsi="Arial" w:cs="Arial"/>
          <w:i/>
          <w:iCs/>
        </w:rPr>
        <w:t xml:space="preserve"> </w:t>
      </w:r>
      <w:r w:rsidRPr="002535D4">
        <w:rPr>
          <w:rFonts w:ascii="Arial" w:hAnsi="Arial" w:cs="Arial"/>
        </w:rPr>
        <w:t>mice after 16 weeks of feeding. Examples of fat deposition marked with asterisk, scale bar, 200 µm. Representative of 3 biological replicates.</w:t>
      </w:r>
    </w:p>
    <w:p w14:paraId="21227BF1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G) Quantification of white (lipid) area from G. n = 6-8 mice. Data are merged from 3 independent experiments.</w:t>
      </w:r>
    </w:p>
    <w:p w14:paraId="42F98738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H-K) Serum concentration of triglycerides (TG, H), high-density lipoprotein (HDL, I), adiponectin (J), and leptin (K). n = 3-20 mice. Data are merged from 3 independent experiments.</w:t>
      </w:r>
    </w:p>
    <w:p w14:paraId="79C551CC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 xml:space="preserve">L) Quantification of adipocyte number and diameter in </w:t>
      </w:r>
      <w:proofErr w:type="spellStart"/>
      <w:r w:rsidRPr="002535D4">
        <w:rPr>
          <w:rFonts w:ascii="Arial" w:hAnsi="Arial" w:cs="Arial"/>
        </w:rPr>
        <w:t>gWAT</w:t>
      </w:r>
      <w:proofErr w:type="spellEnd"/>
      <w:r w:rsidRPr="00A4148C">
        <w:rPr>
          <w:rFonts w:ascii="Arial" w:hAnsi="Arial" w:cs="Arial"/>
        </w:rPr>
        <w:t xml:space="preserve"> </w:t>
      </w:r>
      <w:r w:rsidRPr="002535D4">
        <w:rPr>
          <w:rFonts w:ascii="Arial" w:hAnsi="Arial" w:cs="Arial"/>
        </w:rPr>
        <w:t>from HFD-fed mice. n = 6 mice. Representative of 3 biological replicates.</w:t>
      </w:r>
    </w:p>
    <w:p w14:paraId="21DFF2E0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Data are presented as mean ± SD. Dots represent individual data points. Statistical analysis by two-way ANOVA with Tukey multi comparisons test (D</w:t>
      </w:r>
      <w:r w:rsidRPr="00A4148C">
        <w:rPr>
          <w:rFonts w:ascii="Arial" w:hAnsi="Arial" w:cs="Arial"/>
        </w:rPr>
        <w:t>, E</w:t>
      </w:r>
      <w:r w:rsidRPr="002535D4">
        <w:rPr>
          <w:rFonts w:ascii="Arial" w:hAnsi="Arial" w:cs="Arial"/>
        </w:rPr>
        <w:t xml:space="preserve">), unpaired t-test (G), and one-way ANOVA (J-K). </w:t>
      </w:r>
    </w:p>
    <w:p w14:paraId="27754747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  <w:b/>
          <w:bCs/>
          <w:highlight w:val="yellow"/>
        </w:rPr>
      </w:pPr>
    </w:p>
    <w:p w14:paraId="593C48B5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  <w:b/>
          <w:bCs/>
        </w:rPr>
      </w:pPr>
      <w:r w:rsidRPr="002535D4">
        <w:rPr>
          <w:rFonts w:ascii="Arial" w:hAnsi="Arial" w:cs="Arial"/>
          <w:b/>
          <w:bCs/>
        </w:rPr>
        <w:t xml:space="preserve">Supplementary Figure </w:t>
      </w:r>
      <w:r w:rsidRPr="00A4148C">
        <w:rPr>
          <w:rFonts w:ascii="Arial" w:hAnsi="Arial" w:cs="Arial"/>
          <w:b/>
          <w:bCs/>
        </w:rPr>
        <w:t>5</w:t>
      </w:r>
      <w:r w:rsidRPr="002535D4">
        <w:rPr>
          <w:rFonts w:ascii="Arial" w:hAnsi="Arial" w:cs="Arial"/>
          <w:b/>
          <w:bCs/>
        </w:rPr>
        <w:t xml:space="preserve">: Gating strategies to determine cellular composition of WAT in </w:t>
      </w:r>
      <w:r w:rsidRPr="002535D4">
        <w:rPr>
          <w:rFonts w:ascii="Arial" w:hAnsi="Arial" w:cs="Arial"/>
          <w:b/>
          <w:bCs/>
          <w:i/>
          <w:iCs/>
        </w:rPr>
        <w:t>Atg7</w:t>
      </w:r>
      <w:r w:rsidRPr="002535D4">
        <w:rPr>
          <w:rFonts w:ascii="Arial" w:hAnsi="Arial" w:cs="Arial"/>
          <w:b/>
          <w:bCs/>
          <w:i/>
          <w:iCs/>
          <w:vertAlign w:val="superscript"/>
        </w:rPr>
        <w:t>Ad</w:t>
      </w:r>
      <w:r w:rsidRPr="002535D4">
        <w:rPr>
          <w:rFonts w:ascii="Arial" w:hAnsi="Arial" w:cs="Arial"/>
          <w:b/>
          <w:bCs/>
        </w:rPr>
        <w:t xml:space="preserve"> mice.</w:t>
      </w:r>
    </w:p>
    <w:p w14:paraId="78BE2064" w14:textId="77777777" w:rsidR="00704028" w:rsidRPr="002535D4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A) Gating strategy for CD45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>, CD31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>, and PDGFRα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subsets within live cells. </w:t>
      </w:r>
    </w:p>
    <w:p w14:paraId="30ED97F6" w14:textId="77777777" w:rsidR="00704028" w:rsidRDefault="00704028" w:rsidP="00704028">
      <w:pPr>
        <w:spacing w:line="360" w:lineRule="auto"/>
        <w:jc w:val="both"/>
        <w:rPr>
          <w:rFonts w:ascii="Arial" w:hAnsi="Arial" w:cs="Arial"/>
        </w:rPr>
      </w:pPr>
      <w:r w:rsidRPr="002535D4">
        <w:rPr>
          <w:rFonts w:ascii="Arial" w:hAnsi="Arial" w:cs="Arial"/>
        </w:rPr>
        <w:t>B) Gating strategy for neutrophils (Ly6G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>), eosinophils (</w:t>
      </w:r>
      <w:proofErr w:type="spellStart"/>
      <w:r w:rsidRPr="002535D4">
        <w:rPr>
          <w:rFonts w:ascii="Arial" w:hAnsi="Arial" w:cs="Arial"/>
        </w:rPr>
        <w:t>Siglec</w:t>
      </w:r>
      <w:proofErr w:type="spellEnd"/>
      <w:r w:rsidRPr="002535D4">
        <w:rPr>
          <w:rFonts w:ascii="Arial" w:hAnsi="Arial" w:cs="Arial"/>
        </w:rPr>
        <w:t>-F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>), macrophages (F4/80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CD64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>), natural killer T (NKT) cells (CD3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NK1.1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>), TCRβ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CD8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and CD4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T cells within CD45</w:t>
      </w:r>
      <w:r w:rsidRPr="002535D4">
        <w:rPr>
          <w:rFonts w:ascii="Arial" w:hAnsi="Arial" w:cs="Arial"/>
          <w:vertAlign w:val="superscript"/>
        </w:rPr>
        <w:t>+</w:t>
      </w:r>
      <w:r w:rsidRPr="002535D4">
        <w:rPr>
          <w:rFonts w:ascii="Arial" w:hAnsi="Arial" w:cs="Arial"/>
        </w:rPr>
        <w:t xml:space="preserve"> live cells.</w:t>
      </w:r>
    </w:p>
    <w:p w14:paraId="28855024" w14:textId="77777777" w:rsidR="00704028" w:rsidRDefault="00704028"/>
    <w:sectPr w:rsidR="00704028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28"/>
    <w:rsid w:val="00366F47"/>
    <w:rsid w:val="00704028"/>
    <w:rsid w:val="0081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AB36C7"/>
  <w15:chartTrackingRefBased/>
  <w15:docId w15:val="{27ABBDD9-109E-481A-8294-87F0CB4D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028"/>
    <w:rPr>
      <w:kern w:val="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920</Words>
  <Characters>5020</Characters>
  <Application>Microsoft Office Word</Application>
  <DocSecurity>0</DocSecurity>
  <Lines>100</Lines>
  <Paragraphs>37</Paragraphs>
  <ScaleCrop>false</ScaleCrop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Piletic</dc:creator>
  <cp:keywords/>
  <dc:description/>
  <cp:lastModifiedBy>Klara</cp:lastModifiedBy>
  <cp:revision>2</cp:revision>
  <dcterms:created xsi:type="dcterms:W3CDTF">2024-09-16T20:35:00Z</dcterms:created>
  <dcterms:modified xsi:type="dcterms:W3CDTF">2024-09-17T06:59:00Z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68ce8b4b-86df-4c5a-a22e-df0342fc8928</vt:lpwstr>
  </property>
</Properties>
</file>