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7BE12" w14:textId="3EC5763C" w:rsidR="00AD773F" w:rsidRPr="00F134BD" w:rsidRDefault="00AD773F" w:rsidP="00BA7D6C">
      <w:pPr>
        <w:spacing w:after="0" w:line="480" w:lineRule="auto"/>
        <w:rPr>
          <w:rFonts w:ascii="Calibri" w:hAnsi="Calibri" w:cs="Calibri"/>
          <w:b/>
          <w:bCs/>
          <w:lang w:val="en-US"/>
        </w:rPr>
      </w:pPr>
      <w:r w:rsidRPr="00F134BD">
        <w:rPr>
          <w:rFonts w:ascii="Calibri" w:hAnsi="Calibri" w:cs="Calibri"/>
          <w:b/>
          <w:bCs/>
          <w:lang w:val="en-US"/>
        </w:rPr>
        <w:t xml:space="preserve">SUPPLEMENTARY METHODS </w:t>
      </w:r>
    </w:p>
    <w:p w14:paraId="24638172" w14:textId="77777777" w:rsidR="00AD773F" w:rsidRPr="00F134BD" w:rsidRDefault="00AD773F" w:rsidP="00844BB3">
      <w:pPr>
        <w:pStyle w:val="Default"/>
        <w:spacing w:line="480" w:lineRule="auto"/>
        <w:jc w:val="both"/>
        <w:rPr>
          <w:rFonts w:ascii="Calibri" w:hAnsi="Calibri" w:cs="Calibri"/>
          <w:b/>
          <w:bCs/>
          <w:sz w:val="22"/>
          <w:szCs w:val="22"/>
          <w:lang w:val="en-US"/>
        </w:rPr>
      </w:pPr>
    </w:p>
    <w:p w14:paraId="1869C224" w14:textId="77777777" w:rsidR="00AD773F" w:rsidRPr="00F134BD" w:rsidRDefault="00AD773F" w:rsidP="00844BB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t>Animals and mouse model</w:t>
      </w:r>
    </w:p>
    <w:p w14:paraId="2C499CBF" w14:textId="77777777" w:rsidR="00AD773F" w:rsidRPr="00F134BD" w:rsidRDefault="00AD773F" w:rsidP="00844BB3">
      <w:pPr>
        <w:pStyle w:val="Default"/>
        <w:spacing w:line="480" w:lineRule="auto"/>
        <w:jc w:val="both"/>
        <w:rPr>
          <w:rFonts w:ascii="Calibri" w:hAnsi="Calibri" w:cs="Calibri"/>
          <w:sz w:val="22"/>
          <w:szCs w:val="22"/>
          <w:lang w:val="en-US"/>
        </w:rPr>
      </w:pPr>
      <w:proofErr w:type="gramStart"/>
      <w:r w:rsidRPr="00F134BD">
        <w:rPr>
          <w:rFonts w:ascii="Calibri" w:hAnsi="Calibri" w:cs="Calibri"/>
          <w:sz w:val="22"/>
          <w:szCs w:val="22"/>
          <w:lang w:val="en-US"/>
        </w:rPr>
        <w:t>Gt(</w:t>
      </w:r>
      <w:proofErr w:type="gramEnd"/>
      <w:r w:rsidRPr="00F134BD">
        <w:rPr>
          <w:rFonts w:ascii="Calibri" w:hAnsi="Calibri" w:cs="Calibri"/>
          <w:sz w:val="22"/>
          <w:szCs w:val="22"/>
          <w:lang w:val="en-US"/>
        </w:rPr>
        <w:t>ROSA)26Sortm4(ACTB-</w:t>
      </w:r>
      <w:proofErr w:type="spellStart"/>
      <w:r w:rsidRPr="00F134BD">
        <w:rPr>
          <w:rFonts w:ascii="Calibri" w:hAnsi="Calibri" w:cs="Calibri"/>
          <w:sz w:val="22"/>
          <w:szCs w:val="22"/>
          <w:lang w:val="en-US"/>
        </w:rPr>
        <w:t>tdTomato</w:t>
      </w:r>
      <w:proofErr w:type="spellEnd"/>
      <w:r w:rsidRPr="00F134BD">
        <w:rPr>
          <w:rFonts w:ascii="Calibri" w:hAnsi="Calibri" w:cs="Calibri"/>
          <w:sz w:val="22"/>
          <w:szCs w:val="22"/>
          <w:lang w:val="en-US"/>
        </w:rPr>
        <w:t xml:space="preserve">,-EGFP)Luo/J mice (The Jackson Laboratory, Bar </w:t>
      </w:r>
      <w:proofErr w:type="spellStart"/>
      <w:r w:rsidRPr="00F134BD">
        <w:rPr>
          <w:rFonts w:ascii="Calibri" w:hAnsi="Calibri" w:cs="Calibri"/>
          <w:sz w:val="22"/>
          <w:szCs w:val="22"/>
          <w:lang w:val="en-US"/>
        </w:rPr>
        <w:t>Harbour</w:t>
      </w:r>
      <w:proofErr w:type="spellEnd"/>
      <w:r w:rsidRPr="00F134BD">
        <w:rPr>
          <w:rFonts w:ascii="Calibri" w:hAnsi="Calibri" w:cs="Calibri"/>
          <w:sz w:val="22"/>
          <w:szCs w:val="22"/>
          <w:lang w:val="en-US"/>
        </w:rPr>
        <w:t>, Massachusetts, USA)</w:t>
      </w:r>
      <w:r w:rsidRPr="00F134BD">
        <w:rPr>
          <w:rFonts w:ascii="Calibri" w:hAnsi="Calibri" w:cs="Calibri"/>
          <w:sz w:val="22"/>
          <w:szCs w:val="22"/>
          <w:vertAlign w:val="superscript"/>
          <w:lang w:val="en-US"/>
        </w:rPr>
        <w:t xml:space="preserve"> </w:t>
      </w:r>
      <w:r w:rsidRPr="00F134BD">
        <w:rPr>
          <w:rFonts w:ascii="Calibri" w:hAnsi="Calibri" w:cs="Calibri"/>
          <w:noProof/>
          <w:sz w:val="22"/>
          <w:szCs w:val="22"/>
          <w:lang w:val="en-US"/>
        </w:rPr>
        <w:t>[1]</w:t>
      </w:r>
      <w:r w:rsidRPr="00F134BD">
        <w:rPr>
          <w:rFonts w:ascii="Calibri" w:hAnsi="Calibri" w:cs="Calibri"/>
          <w:sz w:val="22"/>
          <w:szCs w:val="22"/>
          <w:vertAlign w:val="superscript"/>
          <w:lang w:val="en-US"/>
        </w:rPr>
        <w:t xml:space="preserve"> </w:t>
      </w:r>
      <w:r w:rsidRPr="00F134BD">
        <w:rPr>
          <w:rFonts w:ascii="Calibri" w:hAnsi="Calibri" w:cs="Calibri"/>
          <w:sz w:val="22"/>
          <w:szCs w:val="22"/>
          <w:lang w:val="en-US"/>
        </w:rPr>
        <w:t xml:space="preserve">crossed with </w:t>
      </w:r>
      <w:proofErr w:type="spellStart"/>
      <w:r w:rsidRPr="00F134BD">
        <w:rPr>
          <w:rFonts w:ascii="Calibri" w:hAnsi="Calibri" w:cs="Calibri"/>
          <w:sz w:val="22"/>
          <w:szCs w:val="22"/>
          <w:lang w:val="en-US"/>
        </w:rPr>
        <w:t>Tg</w:t>
      </w:r>
      <w:proofErr w:type="spellEnd"/>
      <w:r w:rsidRPr="00F134BD">
        <w:rPr>
          <w:rFonts w:ascii="Calibri" w:hAnsi="Calibri" w:cs="Calibri"/>
          <w:sz w:val="22"/>
          <w:szCs w:val="22"/>
          <w:lang w:val="en-US"/>
        </w:rPr>
        <w:t xml:space="preserve">(NPHS2-cre)295Lbh mice have been reported previously </w:t>
      </w:r>
      <w:r w:rsidRPr="00F134BD">
        <w:rPr>
          <w:rFonts w:ascii="Calibri" w:hAnsi="Calibri" w:cs="Calibri"/>
          <w:noProof/>
          <w:sz w:val="22"/>
          <w:szCs w:val="22"/>
          <w:lang w:val="en-US"/>
        </w:rPr>
        <w:t>[2]</w:t>
      </w:r>
      <w:r w:rsidRPr="00F134BD">
        <w:rPr>
          <w:rFonts w:ascii="Calibri" w:hAnsi="Calibri" w:cs="Calibri"/>
          <w:sz w:val="22"/>
          <w:szCs w:val="22"/>
          <w:lang w:val="en-US"/>
        </w:rPr>
        <w:t xml:space="preserve"> . Mice were kept on a mixed genetic background (Sv129/C57Bl6/ICR). Breeding and genotyping were performed according to standard procedures. Mice were housed in an SPF facility with free access to chow and water and a 12-hr day/night cycle. </w:t>
      </w:r>
      <w:r w:rsidRPr="00F134BD">
        <w:rPr>
          <w:rFonts w:ascii="Calibri" w:hAnsi="Calibri" w:cs="Calibri"/>
          <w:color w:val="000000" w:themeColor="text1"/>
          <w:sz w:val="22"/>
          <w:szCs w:val="22"/>
          <w:lang w:val="en-GB"/>
        </w:rPr>
        <w:t>All animal experiments were conducted according to standards and procedures approved by the local Animal Care and Use Committee (LaGeSo Berlin G0241/2015).</w:t>
      </w:r>
    </w:p>
    <w:p w14:paraId="1F0F11AC" w14:textId="77777777" w:rsidR="00AD773F" w:rsidRPr="00F134BD" w:rsidRDefault="00AD773F" w:rsidP="614B2467">
      <w:pPr>
        <w:pStyle w:val="Default"/>
        <w:spacing w:line="480" w:lineRule="auto"/>
        <w:jc w:val="both"/>
        <w:rPr>
          <w:rFonts w:ascii="Calibri" w:hAnsi="Calibri" w:cs="Calibri"/>
          <w:color w:val="auto"/>
          <w:sz w:val="22"/>
          <w:szCs w:val="22"/>
          <w:lang w:val="en-US"/>
        </w:rPr>
      </w:pPr>
      <w:r w:rsidRPr="00F134BD">
        <w:rPr>
          <w:rFonts w:ascii="Calibri" w:hAnsi="Calibri" w:cs="Calibri"/>
          <w:color w:val="auto"/>
          <w:sz w:val="22"/>
          <w:szCs w:val="22"/>
          <w:lang w:val="en-US"/>
        </w:rPr>
        <w:t xml:space="preserve">Male and female mice aged 12-18 weeks were treated with rapamycin (LC Laboratories, Woburn, Massachusetts, USA) (1.5mg/kg/BW) injected intraperitoneally every third day over a period of 21 days. Rapamycin stock solutions (20mg/mL) were prepared in </w:t>
      </w:r>
      <w:proofErr w:type="spellStart"/>
      <w:r w:rsidRPr="00F134BD">
        <w:rPr>
          <w:rFonts w:ascii="Calibri" w:hAnsi="Calibri" w:cs="Calibri"/>
          <w:color w:val="auto"/>
          <w:sz w:val="22"/>
          <w:szCs w:val="22"/>
          <w:lang w:val="en-US"/>
        </w:rPr>
        <w:t>Miglyol</w:t>
      </w:r>
      <w:proofErr w:type="spellEnd"/>
      <w:r w:rsidRPr="00F134BD">
        <w:rPr>
          <w:rFonts w:ascii="Calibri" w:hAnsi="Calibri" w:cs="Calibri"/>
          <w:color w:val="auto"/>
          <w:sz w:val="22"/>
          <w:szCs w:val="22"/>
          <w:lang w:val="en-US"/>
        </w:rPr>
        <w:t xml:space="preserve"> ® 812 (Caleo; Caesar &amp; Loretz GmbH, Hilden, Germany) and fresh injection solution was prepared immediately prior injection by dissolving stock in Dimethyl sulfoxide (DMSO) to working concentration (1:100). Control mice were respectively injected with only DMSO solvent. The size of the groups was determined based on methodological limitations and minimum sample amount required for molecular profiling of single cell podocytes. No distinct statistical test was used to calculate a distinct group size and statistical power. Similar numbers of biological replicates comparable to previously published literature was used. No specific methods were used to randomly allocate samples to groups. </w:t>
      </w:r>
    </w:p>
    <w:p w14:paraId="2025B580" w14:textId="77777777" w:rsidR="00AD773F" w:rsidRPr="00F134BD" w:rsidRDefault="00AD773F" w:rsidP="614B2467">
      <w:pPr>
        <w:pStyle w:val="Default"/>
        <w:spacing w:line="480" w:lineRule="auto"/>
        <w:jc w:val="both"/>
        <w:rPr>
          <w:rFonts w:ascii="Calibri" w:hAnsi="Calibri" w:cs="Calibri"/>
          <w:sz w:val="22"/>
          <w:szCs w:val="22"/>
          <w:lang w:val="en-US"/>
        </w:rPr>
      </w:pPr>
      <w:r w:rsidRPr="00F134BD">
        <w:rPr>
          <w:rFonts w:ascii="Calibri" w:hAnsi="Calibri" w:cs="Calibri"/>
          <w:color w:val="auto"/>
          <w:sz w:val="22"/>
          <w:szCs w:val="22"/>
          <w:lang w:val="en-US"/>
        </w:rPr>
        <w:t>For monitoring of kidney function, 24h urine was collected from metabolic cages at different time points during and at the end of the 21 experiment days. Mice were weighed every third day on the injection day to ensure correct rapamycin dose. Blood serum and cortex kidney sections were harvested a</w:t>
      </w:r>
      <w:r w:rsidRPr="00F134BD">
        <w:rPr>
          <w:rFonts w:ascii="Calibri" w:eastAsia="Times New Roman" w:hAnsi="Calibri" w:cs="Calibri"/>
          <w:color w:val="auto"/>
          <w:sz w:val="22"/>
          <w:szCs w:val="22"/>
          <w:lang w:val="en-US"/>
        </w:rPr>
        <w:t xml:space="preserve">fter three weeks of treatment.  Then mice were sacrificed, and kidneys either </w:t>
      </w:r>
      <w:r w:rsidRPr="00F134BD">
        <w:rPr>
          <w:rFonts w:ascii="Calibri" w:eastAsia="Times New Roman" w:hAnsi="Calibri" w:cs="Calibri"/>
          <w:sz w:val="22"/>
          <w:szCs w:val="22"/>
          <w:lang w:val="en-US"/>
        </w:rPr>
        <w:t xml:space="preserve">flash frozen for histology and metabolomics or were perfused with HBSS buffer prior to podocyte isolation for RNA sequencing and </w:t>
      </w:r>
      <w:r w:rsidRPr="00F134BD">
        <w:rPr>
          <w:rFonts w:ascii="Calibri" w:eastAsia="Times New Roman" w:hAnsi="Calibri" w:cs="Calibri"/>
          <w:sz w:val="22"/>
          <w:szCs w:val="22"/>
          <w:lang w:val="en-US"/>
        </w:rPr>
        <w:lastRenderedPageBreak/>
        <w:t xml:space="preserve">proteomics.  Kidney cortex tissue and isolated podocytes were </w:t>
      </w:r>
      <w:r w:rsidRPr="00F134BD">
        <w:rPr>
          <w:rFonts w:ascii="Calibri" w:hAnsi="Calibri" w:cs="Calibri"/>
          <w:sz w:val="22"/>
          <w:szCs w:val="22"/>
          <w:lang w:val="en-US"/>
        </w:rPr>
        <w:t xml:space="preserve">stored at -80°C until further processed. Kidney tissue for histology was subsequently fixed in 4% paraformaldehyde for paraffin embedding for immunostaining, </w:t>
      </w:r>
    </w:p>
    <w:p w14:paraId="61B0A3F3" w14:textId="77777777" w:rsidR="00AD773F" w:rsidRPr="00F134BD" w:rsidRDefault="00AD773F" w:rsidP="614B2467">
      <w:pPr>
        <w:pStyle w:val="Default"/>
        <w:spacing w:line="480" w:lineRule="auto"/>
        <w:jc w:val="both"/>
        <w:rPr>
          <w:rFonts w:ascii="Calibri" w:hAnsi="Calibri" w:cs="Calibri"/>
          <w:sz w:val="22"/>
          <w:szCs w:val="22"/>
          <w:lang w:val="en-US"/>
        </w:rPr>
      </w:pPr>
    </w:p>
    <w:p w14:paraId="508E80CF" w14:textId="77777777" w:rsidR="00AD773F" w:rsidRPr="00F134BD" w:rsidRDefault="00AD773F" w:rsidP="00170702">
      <w:pPr>
        <w:spacing w:after="0" w:line="480" w:lineRule="auto"/>
        <w:jc w:val="both"/>
        <w:rPr>
          <w:rFonts w:ascii="Calibri" w:eastAsia="Times New Roman" w:hAnsi="Calibri" w:cs="Calibri"/>
          <w:b/>
          <w:color w:val="000000" w:themeColor="text1"/>
          <w:lang w:val="en-US"/>
        </w:rPr>
      </w:pPr>
      <w:r w:rsidRPr="00F134BD">
        <w:rPr>
          <w:rFonts w:ascii="Calibri" w:hAnsi="Calibri" w:cs="Calibri"/>
          <w:lang w:val="en-US"/>
        </w:rPr>
        <w:t>Serum levels of rapamycin were obtained using LC-MS/MS. Analysis was performed at Labor Berlin (Charité Campus Virchow-</w:t>
      </w:r>
      <w:proofErr w:type="spellStart"/>
      <w:r w:rsidRPr="00F134BD">
        <w:rPr>
          <w:rFonts w:ascii="Calibri" w:hAnsi="Calibri" w:cs="Calibri"/>
          <w:lang w:val="en-US"/>
        </w:rPr>
        <w:t>Klinikum</w:t>
      </w:r>
      <w:proofErr w:type="spellEnd"/>
      <w:r w:rsidRPr="00F134BD">
        <w:rPr>
          <w:rFonts w:ascii="Calibri" w:hAnsi="Calibri" w:cs="Calibri"/>
          <w:lang w:val="en-US"/>
        </w:rPr>
        <w:t xml:space="preserve">, Berlin, Germany). Trough concentrations were measured and were within the range of clinically approved therapeutic levels (range 19-26.5 </w:t>
      </w:r>
      <w:r w:rsidRPr="00F134BD">
        <w:rPr>
          <w:rFonts w:ascii="Calibri" w:eastAsia="Times New Roman" w:hAnsi="Calibri" w:cs="Calibri"/>
          <w:lang w:val="en-US"/>
        </w:rPr>
        <w:t>ng/ml</w:t>
      </w:r>
      <w:r w:rsidRPr="00F134BD">
        <w:rPr>
          <w:rFonts w:ascii="Calibri" w:hAnsi="Calibri" w:cs="Calibri"/>
          <w:lang w:val="en-US"/>
        </w:rPr>
        <w:t xml:space="preserve">) with </w:t>
      </w:r>
      <w:r w:rsidRPr="00F134BD">
        <w:rPr>
          <w:rFonts w:ascii="Calibri" w:eastAsia="Times New Roman" w:hAnsi="Calibri" w:cs="Calibri"/>
          <w:lang w:val="en-US"/>
        </w:rPr>
        <w:t xml:space="preserve">24.6 </w:t>
      </w:r>
      <w:r w:rsidRPr="00F134BD">
        <w:rPr>
          <w:rFonts w:ascii="Calibri" w:hAnsi="Calibri" w:cs="Calibri"/>
          <w:lang w:val="en-US"/>
        </w:rPr>
        <w:t xml:space="preserve">± </w:t>
      </w:r>
      <w:r w:rsidRPr="00F134BD">
        <w:rPr>
          <w:rFonts w:ascii="Calibri" w:eastAsia="Times New Roman" w:hAnsi="Calibri" w:cs="Calibri"/>
          <w:lang w:val="en-US"/>
        </w:rPr>
        <w:t>3.5 ng/ml</w:t>
      </w:r>
      <w:r w:rsidRPr="00F134BD">
        <w:rPr>
          <w:rFonts w:ascii="Calibri" w:hAnsi="Calibri" w:cs="Calibri"/>
          <w:lang w:val="en-US"/>
        </w:rPr>
        <w:t xml:space="preserve"> in male </w:t>
      </w:r>
      <w:r w:rsidRPr="00F134BD">
        <w:rPr>
          <w:rFonts w:ascii="Calibri" w:eastAsia="Times New Roman" w:hAnsi="Calibri" w:cs="Calibri"/>
          <w:lang w:val="en-US"/>
        </w:rPr>
        <w:t xml:space="preserve">and 21.6 </w:t>
      </w:r>
      <w:r w:rsidRPr="00F134BD">
        <w:rPr>
          <w:rFonts w:ascii="Calibri" w:hAnsi="Calibri" w:cs="Calibri"/>
          <w:lang w:val="en-US"/>
        </w:rPr>
        <w:t xml:space="preserve">± 1.9 </w:t>
      </w:r>
      <w:r w:rsidRPr="00F134BD">
        <w:rPr>
          <w:rFonts w:ascii="Calibri" w:eastAsia="Times New Roman" w:hAnsi="Calibri" w:cs="Calibri"/>
          <w:lang w:val="en-US"/>
        </w:rPr>
        <w:t>ng/ml</w:t>
      </w:r>
      <w:r w:rsidRPr="00F134BD">
        <w:rPr>
          <w:rFonts w:ascii="Calibri" w:hAnsi="Calibri" w:cs="Calibri"/>
          <w:lang w:val="en-US"/>
        </w:rPr>
        <w:t xml:space="preserve"> in female mice.</w:t>
      </w:r>
    </w:p>
    <w:p w14:paraId="74E1CD1E" w14:textId="77777777" w:rsidR="00AD773F" w:rsidRPr="00F134BD" w:rsidRDefault="00AD773F" w:rsidP="00A015F9">
      <w:pPr>
        <w:pStyle w:val="Default"/>
        <w:spacing w:line="480" w:lineRule="auto"/>
        <w:rPr>
          <w:rFonts w:ascii="Calibri" w:hAnsi="Calibri" w:cs="Calibri"/>
          <w:color w:val="000000" w:themeColor="text1"/>
          <w:sz w:val="22"/>
          <w:szCs w:val="22"/>
          <w:lang w:val="en-US"/>
        </w:rPr>
      </w:pPr>
    </w:p>
    <w:p w14:paraId="1586E299" w14:textId="77777777" w:rsidR="00AD773F" w:rsidRPr="00F134BD" w:rsidRDefault="00AD773F" w:rsidP="00A015F9">
      <w:pPr>
        <w:pStyle w:val="Default"/>
        <w:spacing w:line="480" w:lineRule="auto"/>
        <w:jc w:val="both"/>
        <w:rPr>
          <w:rFonts w:ascii="Calibri" w:hAnsi="Calibri" w:cs="Calibri"/>
          <w:sz w:val="22"/>
          <w:szCs w:val="22"/>
          <w:lang w:val="en-US"/>
        </w:rPr>
      </w:pPr>
      <w:r w:rsidRPr="00F134BD">
        <w:rPr>
          <w:rFonts w:ascii="Calibri" w:hAnsi="Calibri" w:cs="Calibri"/>
          <w:b/>
          <w:bCs/>
          <w:sz w:val="22"/>
          <w:szCs w:val="22"/>
          <w:lang w:val="en-US"/>
        </w:rPr>
        <w:t xml:space="preserve">Genotyping </w:t>
      </w:r>
    </w:p>
    <w:p w14:paraId="72AFD43B" w14:textId="77777777" w:rsidR="00AD773F" w:rsidRPr="00F134BD" w:rsidRDefault="00AD773F" w:rsidP="00844BB3">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Genomic DNA was extracted from tail biopsies (≤ 3 millimeter (mm)) for Cre- genotypic confirmation. DNA was amplified with Nphs2: Cre and R26-mTmG alleles using the following primers: Cre- specific primers (Forward primer: 5’ CGTACTGACGGTGGGAGAA 3’, Reverse primer: 5’ CCCGGCAAAACAGGTAGTT 3’) for polymerase chain reactions (PCR)-based genotyping using </w:t>
      </w:r>
      <w:proofErr w:type="spellStart"/>
      <w:r w:rsidRPr="00F134BD">
        <w:rPr>
          <w:rFonts w:ascii="Calibri" w:hAnsi="Calibri" w:cs="Calibri"/>
          <w:sz w:val="22"/>
          <w:szCs w:val="22"/>
          <w:lang w:val="en-US"/>
        </w:rPr>
        <w:t>TaKaRa</w:t>
      </w:r>
      <w:proofErr w:type="spellEnd"/>
      <w:r w:rsidRPr="00F134BD">
        <w:rPr>
          <w:rFonts w:ascii="Calibri" w:hAnsi="Calibri" w:cs="Calibri"/>
          <w:sz w:val="22"/>
          <w:szCs w:val="22"/>
          <w:lang w:val="en-US"/>
        </w:rPr>
        <w:t xml:space="preserve"> kit according to manufacturer protocol, with annealing at 57o C for 1.20 minutes. Additionally, mice were tested for </w:t>
      </w:r>
      <w:proofErr w:type="spellStart"/>
      <w:r w:rsidRPr="00F134BD">
        <w:rPr>
          <w:rFonts w:ascii="Calibri" w:hAnsi="Calibri" w:cs="Calibri"/>
          <w:sz w:val="22"/>
          <w:szCs w:val="22"/>
          <w:lang w:val="en-US"/>
        </w:rPr>
        <w:t>mT</w:t>
      </w:r>
      <w:proofErr w:type="spellEnd"/>
      <w:r w:rsidRPr="00F134BD">
        <w:rPr>
          <w:rFonts w:ascii="Calibri" w:hAnsi="Calibri" w:cs="Calibri"/>
          <w:sz w:val="22"/>
          <w:szCs w:val="22"/>
          <w:lang w:val="en-US"/>
        </w:rPr>
        <w:t>/</w:t>
      </w:r>
      <w:proofErr w:type="spellStart"/>
      <w:r w:rsidRPr="00F134BD">
        <w:rPr>
          <w:rFonts w:ascii="Calibri" w:hAnsi="Calibri" w:cs="Calibri"/>
          <w:sz w:val="22"/>
          <w:szCs w:val="22"/>
          <w:lang w:val="en-US"/>
        </w:rPr>
        <w:t>mG</w:t>
      </w:r>
      <w:proofErr w:type="spellEnd"/>
      <w:r w:rsidRPr="00F134BD">
        <w:rPr>
          <w:rFonts w:ascii="Calibri" w:hAnsi="Calibri" w:cs="Calibri"/>
          <w:sz w:val="22"/>
          <w:szCs w:val="22"/>
          <w:lang w:val="en-US"/>
        </w:rPr>
        <w:t xml:space="preserve">, DNA was amplified with Tomato specific primers (Forward primer:  5’ CTCTGCTGCCTCCTGGCTTCT 3’), (reverse -wild type 5’ CGAGGCGGATCACAAGCAATA 3’, reverse -mutant type 5’ TCAATGGGCGGGGGTCGTT 3’). </w:t>
      </w:r>
    </w:p>
    <w:p w14:paraId="5E6DD4AB" w14:textId="77777777" w:rsidR="00AD773F" w:rsidRPr="00F134BD" w:rsidRDefault="00AD773F" w:rsidP="00844BB3">
      <w:pPr>
        <w:pStyle w:val="Default"/>
        <w:spacing w:line="480" w:lineRule="auto"/>
        <w:jc w:val="both"/>
        <w:rPr>
          <w:rFonts w:ascii="Calibri" w:hAnsi="Calibri" w:cs="Calibri"/>
          <w:b/>
          <w:bCs/>
          <w:sz w:val="22"/>
          <w:szCs w:val="22"/>
          <w:lang w:val="en-US"/>
        </w:rPr>
      </w:pPr>
    </w:p>
    <w:p w14:paraId="36847A11" w14:textId="77777777" w:rsidR="00AD773F" w:rsidRPr="00F134BD" w:rsidRDefault="00AD773F" w:rsidP="00844BB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t>Kidney function analyses</w:t>
      </w:r>
    </w:p>
    <w:p w14:paraId="134B9EC4" w14:textId="77777777" w:rsidR="00AD773F" w:rsidRPr="00F134BD" w:rsidRDefault="00AD773F" w:rsidP="03FA0AB2">
      <w:pPr>
        <w:pStyle w:val="Default"/>
        <w:spacing w:line="480" w:lineRule="auto"/>
        <w:jc w:val="both"/>
        <w:rPr>
          <w:rFonts w:ascii="Calibri" w:eastAsiaTheme="minorEastAsia" w:hAnsi="Calibri" w:cs="Calibri"/>
          <w:sz w:val="22"/>
          <w:szCs w:val="22"/>
          <w:lang w:val="en-US"/>
        </w:rPr>
      </w:pPr>
      <w:r w:rsidRPr="00F134BD">
        <w:rPr>
          <w:rFonts w:ascii="Calibri" w:hAnsi="Calibri" w:cs="Calibri"/>
          <w:sz w:val="22"/>
          <w:szCs w:val="22"/>
          <w:lang w:val="en-US"/>
        </w:rPr>
        <w:t>Prior to animal sacrifice by cervical dislocation, mice were anaesthetized with isoflurane and blood was collected from orbital sinus, coagulated and centrifuged at 5,000 × g for 10 min to collect serum. 24 h urine samples from the metabolic cages were centrifuged at 5,000 × g for 10 min, supernatant was collected and stored at -80°C for further analysis. Serum creatinine, urea, sodium, glucose, osmolality, albumin and total protein in serum and urine were determined at Labor Berlin (Charité Campus Virchow-</w:t>
      </w:r>
      <w:proofErr w:type="spellStart"/>
      <w:r w:rsidRPr="00F134BD">
        <w:rPr>
          <w:rFonts w:ascii="Calibri" w:hAnsi="Calibri" w:cs="Calibri"/>
          <w:sz w:val="22"/>
          <w:szCs w:val="22"/>
          <w:lang w:val="en-US"/>
        </w:rPr>
        <w:lastRenderedPageBreak/>
        <w:t>Klinikum</w:t>
      </w:r>
      <w:proofErr w:type="spellEnd"/>
      <w:r w:rsidRPr="00F134BD">
        <w:rPr>
          <w:rFonts w:ascii="Calibri" w:hAnsi="Calibri" w:cs="Calibri"/>
          <w:sz w:val="22"/>
          <w:szCs w:val="22"/>
          <w:lang w:val="en-US"/>
        </w:rPr>
        <w:t xml:space="preserve">, Berlin, Germany). Results are presented in </w:t>
      </w:r>
      <w:r w:rsidRPr="00F134BD">
        <w:rPr>
          <w:rFonts w:ascii="Calibri" w:hAnsi="Calibri" w:cs="Calibri"/>
          <w:color w:val="0A2F41" w:themeColor="accent1" w:themeShade="80"/>
          <w:sz w:val="22"/>
          <w:szCs w:val="22"/>
          <w:lang w:val="en-US"/>
        </w:rPr>
        <w:t xml:space="preserve">Supplementary Table S1 </w:t>
      </w:r>
      <w:r w:rsidRPr="00F134BD">
        <w:rPr>
          <w:rFonts w:ascii="Calibri" w:hAnsi="Calibri" w:cs="Calibri"/>
          <w:sz w:val="22"/>
          <w:szCs w:val="22"/>
          <w:lang w:val="en-US"/>
        </w:rPr>
        <w:t xml:space="preserve">and </w:t>
      </w:r>
      <w:r w:rsidRPr="00F134BD">
        <w:rPr>
          <w:rFonts w:ascii="Calibri" w:hAnsi="Calibri" w:cs="Calibri"/>
          <w:color w:val="0A2F41" w:themeColor="accent1" w:themeShade="80"/>
          <w:sz w:val="22"/>
          <w:szCs w:val="22"/>
          <w:lang w:val="en-US"/>
        </w:rPr>
        <w:t>Figure 1b</w:t>
      </w:r>
      <w:r w:rsidRPr="00F134BD">
        <w:rPr>
          <w:rFonts w:ascii="Calibri" w:hAnsi="Calibri" w:cs="Calibri"/>
          <w:sz w:val="22"/>
          <w:szCs w:val="22"/>
          <w:lang w:val="en-US"/>
        </w:rPr>
        <w:t>. One</w:t>
      </w:r>
      <w:r w:rsidRPr="00F134BD">
        <w:rPr>
          <w:rFonts w:ascii="Calibri" w:eastAsiaTheme="minorEastAsia" w:hAnsi="Calibri" w:cs="Calibri"/>
          <w:sz w:val="22"/>
          <w:szCs w:val="22"/>
          <w:lang w:val="en-US"/>
        </w:rPr>
        <w:t xml:space="preserve"> female vehicle mouse had to be excluded due to microalbuminuria. </w:t>
      </w:r>
    </w:p>
    <w:p w14:paraId="57168EB5" w14:textId="77777777" w:rsidR="00AD773F" w:rsidRPr="00F134BD" w:rsidRDefault="00AD773F" w:rsidP="00844BB3">
      <w:pPr>
        <w:pStyle w:val="Default"/>
        <w:spacing w:line="480" w:lineRule="auto"/>
        <w:jc w:val="both"/>
        <w:rPr>
          <w:rFonts w:ascii="Calibri" w:hAnsi="Calibri" w:cs="Calibri"/>
          <w:b/>
          <w:bCs/>
          <w:sz w:val="22"/>
          <w:szCs w:val="22"/>
          <w:lang w:val="en-GB"/>
        </w:rPr>
      </w:pPr>
    </w:p>
    <w:p w14:paraId="176D96DD" w14:textId="77777777" w:rsidR="00AD773F" w:rsidRPr="00F134BD" w:rsidRDefault="00AD773F" w:rsidP="00844BB3">
      <w:pPr>
        <w:pStyle w:val="Default"/>
        <w:spacing w:line="480" w:lineRule="auto"/>
        <w:jc w:val="both"/>
        <w:rPr>
          <w:rFonts w:ascii="Calibri" w:hAnsi="Calibri" w:cs="Calibri"/>
          <w:b/>
          <w:bCs/>
          <w:sz w:val="22"/>
          <w:szCs w:val="22"/>
          <w:lang w:val="en-GB"/>
        </w:rPr>
      </w:pPr>
      <w:r w:rsidRPr="00F134BD">
        <w:rPr>
          <w:rFonts w:ascii="Calibri" w:hAnsi="Calibri" w:cs="Calibri"/>
          <w:b/>
          <w:bCs/>
          <w:sz w:val="22"/>
          <w:szCs w:val="22"/>
          <w:lang w:val="en-GB"/>
        </w:rPr>
        <w:t>Glomeruli and podocyte isolation</w:t>
      </w:r>
    </w:p>
    <w:p w14:paraId="62415F58" w14:textId="77777777" w:rsidR="00AD773F" w:rsidRPr="00F134BD" w:rsidRDefault="00AD773F" w:rsidP="614B2467">
      <w:pPr>
        <w:pStyle w:val="Default"/>
        <w:spacing w:line="480" w:lineRule="auto"/>
        <w:jc w:val="both"/>
        <w:rPr>
          <w:rFonts w:ascii="Calibri" w:hAnsi="Calibri" w:cs="Calibri"/>
          <w:color w:val="000000" w:themeColor="text1"/>
          <w:sz w:val="22"/>
          <w:szCs w:val="22"/>
          <w:lang w:val="en-US"/>
        </w:rPr>
      </w:pPr>
      <w:r w:rsidRPr="00F134BD">
        <w:rPr>
          <w:rFonts w:ascii="Calibri" w:hAnsi="Calibri" w:cs="Calibri"/>
          <w:color w:val="000000" w:themeColor="text1"/>
          <w:sz w:val="22"/>
          <w:szCs w:val="22"/>
          <w:lang w:val="en-US"/>
        </w:rPr>
        <w:t xml:space="preserve">Podocytes were isolated according to </w:t>
      </w:r>
      <w:proofErr w:type="spellStart"/>
      <w:r w:rsidRPr="00F134BD">
        <w:rPr>
          <w:rFonts w:ascii="Calibri" w:hAnsi="Calibri" w:cs="Calibri"/>
          <w:color w:val="000000" w:themeColor="text1"/>
          <w:sz w:val="22"/>
          <w:szCs w:val="22"/>
          <w:lang w:val="en-US"/>
        </w:rPr>
        <w:t>Boerries</w:t>
      </w:r>
      <w:proofErr w:type="spellEnd"/>
      <w:r w:rsidRPr="00F134BD">
        <w:rPr>
          <w:rFonts w:ascii="Calibri" w:hAnsi="Calibri" w:cs="Calibri"/>
          <w:color w:val="000000" w:themeColor="text1"/>
          <w:sz w:val="22"/>
          <w:szCs w:val="22"/>
          <w:lang w:val="en-US"/>
        </w:rPr>
        <w:t xml:space="preserve"> et al., 2013 </w:t>
      </w:r>
      <w:r w:rsidRPr="00F134BD">
        <w:rPr>
          <w:rFonts w:ascii="Calibri" w:hAnsi="Calibri" w:cs="Calibri"/>
          <w:noProof/>
          <w:color w:val="000000" w:themeColor="text1"/>
          <w:sz w:val="22"/>
          <w:szCs w:val="22"/>
          <w:lang w:val="en-US"/>
        </w:rPr>
        <w:t>[2]</w:t>
      </w:r>
      <w:r w:rsidRPr="00F134BD">
        <w:rPr>
          <w:rFonts w:ascii="Calibri" w:hAnsi="Calibri" w:cs="Calibri"/>
          <w:color w:val="000000" w:themeColor="text1"/>
          <w:sz w:val="22"/>
          <w:szCs w:val="22"/>
          <w:lang w:val="en-US"/>
        </w:rPr>
        <w:t xml:space="preserve"> from 40 mice (eleven vehicle and nine rapamycin treated mice for each sex). In brief, both kidneys were dissected together with the abdominal aorta and perfused manually with a magnetic bead (</w:t>
      </w:r>
      <w:proofErr w:type="spellStart"/>
      <w:r w:rsidRPr="00F134BD">
        <w:rPr>
          <w:rFonts w:ascii="Calibri" w:hAnsi="Calibri" w:cs="Calibri"/>
          <w:color w:val="000000" w:themeColor="text1"/>
          <w:sz w:val="22"/>
          <w:szCs w:val="22"/>
          <w:lang w:val="en-US"/>
        </w:rPr>
        <w:t>DynaBeads</w:t>
      </w:r>
      <w:proofErr w:type="spellEnd"/>
      <w:r w:rsidRPr="00F134BD">
        <w:rPr>
          <w:rFonts w:ascii="Calibri" w:hAnsi="Calibri" w:cs="Calibri"/>
          <w:color w:val="000000" w:themeColor="text1"/>
          <w:sz w:val="22"/>
          <w:szCs w:val="22"/>
          <w:lang w:val="en-US"/>
        </w:rPr>
        <w:t xml:space="preserve">) solution in Hank’s buffered salt solution (HBSS) at 37°C subsequently followed by perfusion with digestion solution containing collagenase </w:t>
      </w:r>
      <w:r w:rsidRPr="00F134BD">
        <w:rPr>
          <w:rFonts w:ascii="Calibri" w:hAnsi="Calibri" w:cs="Calibri"/>
          <w:sz w:val="22"/>
          <w:szCs w:val="22"/>
          <w:lang w:val="en-GB"/>
        </w:rPr>
        <w:t xml:space="preserve">300 U/mL (Worthington Collagenase Type II, </w:t>
      </w:r>
      <w:r w:rsidRPr="00F134BD">
        <w:rPr>
          <w:rFonts w:ascii="Calibri" w:hAnsi="Calibri" w:cs="Calibri"/>
          <w:color w:val="231F20"/>
          <w:sz w:val="22"/>
          <w:szCs w:val="22"/>
          <w:lang w:val="en-US"/>
        </w:rPr>
        <w:t>Lakewood, NJ</w:t>
      </w:r>
      <w:r w:rsidRPr="00F134BD">
        <w:rPr>
          <w:rFonts w:ascii="Calibri" w:hAnsi="Calibri" w:cs="Calibri"/>
          <w:sz w:val="22"/>
          <w:szCs w:val="22"/>
          <w:lang w:val="en-GB"/>
        </w:rPr>
        <w:t>)</w:t>
      </w:r>
      <w:r w:rsidRPr="00F134BD">
        <w:rPr>
          <w:rFonts w:ascii="Calibri" w:hAnsi="Calibri" w:cs="Calibri"/>
          <w:color w:val="000000" w:themeColor="text1"/>
          <w:sz w:val="22"/>
          <w:szCs w:val="22"/>
          <w:lang w:val="en-US"/>
        </w:rPr>
        <w:t xml:space="preserve">, </w:t>
      </w:r>
      <w:proofErr w:type="spellStart"/>
      <w:r w:rsidRPr="00F134BD">
        <w:rPr>
          <w:rFonts w:ascii="Calibri" w:hAnsi="Calibri" w:cs="Calibri"/>
          <w:color w:val="000000" w:themeColor="text1"/>
          <w:sz w:val="22"/>
          <w:szCs w:val="22"/>
          <w:lang w:val="en-US"/>
        </w:rPr>
        <w:t>DNAse</w:t>
      </w:r>
      <w:proofErr w:type="spellEnd"/>
      <w:r w:rsidRPr="00F134BD">
        <w:rPr>
          <w:rFonts w:ascii="Calibri" w:hAnsi="Calibri" w:cs="Calibri"/>
          <w:color w:val="000000" w:themeColor="text1"/>
          <w:sz w:val="22"/>
          <w:szCs w:val="22"/>
          <w:lang w:val="en-US"/>
        </w:rPr>
        <w:t xml:space="preserve"> </w:t>
      </w:r>
      <w:r w:rsidRPr="00F134BD">
        <w:rPr>
          <w:rFonts w:ascii="Calibri" w:hAnsi="Calibri" w:cs="Calibri"/>
          <w:sz w:val="22"/>
          <w:szCs w:val="22"/>
          <w:lang w:val="en-GB"/>
        </w:rPr>
        <w:t>100U/mL (</w:t>
      </w:r>
      <w:proofErr w:type="spellStart"/>
      <w:r w:rsidRPr="00F134BD">
        <w:rPr>
          <w:rFonts w:ascii="Calibri" w:hAnsi="Calibri" w:cs="Calibri"/>
          <w:sz w:val="22"/>
          <w:szCs w:val="22"/>
          <w:lang w:val="en-GB"/>
        </w:rPr>
        <w:t>Applichem</w:t>
      </w:r>
      <w:proofErr w:type="spellEnd"/>
      <w:r w:rsidRPr="00F134BD">
        <w:rPr>
          <w:rFonts w:ascii="Calibri" w:hAnsi="Calibri" w:cs="Calibri"/>
          <w:sz w:val="22"/>
          <w:szCs w:val="22"/>
          <w:lang w:val="en-GB"/>
        </w:rPr>
        <w:t xml:space="preserve"> A3778, </w:t>
      </w:r>
      <w:r w:rsidRPr="00F134BD">
        <w:rPr>
          <w:rFonts w:ascii="Calibri" w:hAnsi="Calibri" w:cs="Calibri"/>
          <w:color w:val="231F20"/>
          <w:sz w:val="22"/>
          <w:szCs w:val="22"/>
          <w:lang w:val="en-US"/>
        </w:rPr>
        <w:t>Darmstadt, Germany</w:t>
      </w:r>
      <w:r w:rsidRPr="00F134BD">
        <w:rPr>
          <w:rFonts w:ascii="Calibri" w:hAnsi="Calibri" w:cs="Calibri"/>
          <w:sz w:val="22"/>
          <w:szCs w:val="22"/>
          <w:lang w:val="en-GB"/>
        </w:rPr>
        <w:t>)</w:t>
      </w:r>
      <w:r w:rsidRPr="00F134BD">
        <w:rPr>
          <w:rFonts w:ascii="Calibri" w:hAnsi="Calibri" w:cs="Calibri"/>
          <w:color w:val="000000" w:themeColor="text1"/>
          <w:sz w:val="22"/>
          <w:szCs w:val="22"/>
          <w:lang w:val="en-US"/>
        </w:rPr>
        <w:t xml:space="preserve"> and </w:t>
      </w:r>
      <w:proofErr w:type="spellStart"/>
      <w:r w:rsidRPr="00F134BD">
        <w:rPr>
          <w:rFonts w:ascii="Calibri" w:hAnsi="Calibri" w:cs="Calibri"/>
          <w:color w:val="000000" w:themeColor="text1"/>
          <w:sz w:val="22"/>
          <w:szCs w:val="22"/>
          <w:lang w:val="en-US"/>
        </w:rPr>
        <w:t>pronase</w:t>
      </w:r>
      <w:proofErr w:type="spellEnd"/>
      <w:r w:rsidRPr="00F134BD">
        <w:rPr>
          <w:rFonts w:ascii="Calibri" w:hAnsi="Calibri" w:cs="Calibri"/>
          <w:color w:val="000000" w:themeColor="text1"/>
          <w:sz w:val="22"/>
          <w:szCs w:val="22"/>
          <w:lang w:val="en-US"/>
        </w:rPr>
        <w:t xml:space="preserve"> </w:t>
      </w:r>
      <w:r w:rsidRPr="00F134BD">
        <w:rPr>
          <w:rFonts w:ascii="Calibri" w:hAnsi="Calibri" w:cs="Calibri"/>
          <w:sz w:val="22"/>
          <w:szCs w:val="22"/>
          <w:lang w:val="en-GB"/>
        </w:rPr>
        <w:t xml:space="preserve">5 IU/mL (Sigma P6911, </w:t>
      </w:r>
      <w:proofErr w:type="spellStart"/>
      <w:r w:rsidRPr="00F134BD">
        <w:rPr>
          <w:rFonts w:ascii="Calibri" w:hAnsi="Calibri" w:cs="Calibri"/>
          <w:color w:val="231F20"/>
          <w:sz w:val="22"/>
          <w:szCs w:val="22"/>
          <w:lang w:val="en-US"/>
        </w:rPr>
        <w:t>Schnelldorf</w:t>
      </w:r>
      <w:proofErr w:type="spellEnd"/>
      <w:r w:rsidRPr="00F134BD">
        <w:rPr>
          <w:rFonts w:ascii="Calibri" w:hAnsi="Calibri" w:cs="Calibri"/>
          <w:color w:val="231F20"/>
          <w:sz w:val="22"/>
          <w:szCs w:val="22"/>
          <w:lang w:val="en-US"/>
        </w:rPr>
        <w:t>, Germany</w:t>
      </w:r>
      <w:r w:rsidRPr="00F134BD">
        <w:rPr>
          <w:rFonts w:ascii="Calibri" w:hAnsi="Calibri" w:cs="Calibri"/>
          <w:sz w:val="22"/>
          <w:szCs w:val="22"/>
          <w:lang w:val="en-GB"/>
        </w:rPr>
        <w:t>)</w:t>
      </w:r>
      <w:r w:rsidRPr="00F134BD">
        <w:rPr>
          <w:rFonts w:ascii="Calibri" w:hAnsi="Calibri" w:cs="Calibri"/>
          <w:color w:val="000000" w:themeColor="text1"/>
          <w:sz w:val="22"/>
          <w:szCs w:val="22"/>
          <w:lang w:val="en-US"/>
        </w:rPr>
        <w:t xml:space="preserve">. After mincing both kidneys in a cell culture dish the tissue was further digested for 15min at 37°C under moderate agitation (100 rpm), then digested the tissue was filtered through a 100µm cell strainer on ice. Intact glomeruli from resuspended pellets were separated using a magnetic particle concentrator and further digested at 37°C for 40min </w:t>
      </w:r>
      <w:r w:rsidRPr="00F134BD">
        <w:rPr>
          <w:rFonts w:ascii="Calibri" w:hAnsi="Calibri" w:cs="Calibri"/>
          <w:color w:val="231F20"/>
          <w:sz w:val="22"/>
          <w:szCs w:val="22"/>
          <w:lang w:val="en-US"/>
        </w:rPr>
        <w:t>at 1400/min</w:t>
      </w:r>
      <w:r w:rsidRPr="00F134BD">
        <w:rPr>
          <w:rFonts w:ascii="Calibri" w:hAnsi="Calibri" w:cs="Calibri"/>
          <w:color w:val="000000" w:themeColor="text1"/>
          <w:sz w:val="22"/>
          <w:szCs w:val="22"/>
          <w:lang w:val="en-US"/>
        </w:rPr>
        <w:t xml:space="preserve"> to obtain single cells from the glomerular fraction. Magnetic particles and undigested structures were eliminated by sieving the suspension through a 40µm filter and collecting single cells in a conical tub</w:t>
      </w:r>
      <w:r w:rsidRPr="00F134BD">
        <w:rPr>
          <w:rFonts w:ascii="Calibri" w:hAnsi="Calibri" w:cs="Calibri"/>
          <w:color w:val="231F20"/>
          <w:sz w:val="22"/>
          <w:szCs w:val="22"/>
          <w:lang w:val="en-US"/>
        </w:rPr>
        <w:t>e.</w:t>
      </w:r>
    </w:p>
    <w:p w14:paraId="00F3A29E" w14:textId="77777777" w:rsidR="00AD773F" w:rsidRPr="00F134BD" w:rsidRDefault="00AD773F" w:rsidP="688F8DAF">
      <w:pPr>
        <w:pStyle w:val="Default"/>
        <w:spacing w:line="480" w:lineRule="auto"/>
        <w:jc w:val="both"/>
        <w:rPr>
          <w:rFonts w:ascii="Calibri" w:hAnsi="Calibri" w:cs="Calibri"/>
          <w:sz w:val="22"/>
          <w:szCs w:val="22"/>
          <w:lang w:val="en-GB"/>
        </w:rPr>
      </w:pPr>
      <w:r w:rsidRPr="00F134BD">
        <w:rPr>
          <w:rFonts w:ascii="Calibri" w:hAnsi="Calibri" w:cs="Calibri"/>
          <w:sz w:val="22"/>
          <w:szCs w:val="22"/>
          <w:lang w:val="en-GB"/>
        </w:rPr>
        <w:t>FACS sorting</w:t>
      </w:r>
      <w:r w:rsidRPr="00F134BD">
        <w:rPr>
          <w:rFonts w:ascii="Calibri" w:hAnsi="Calibri" w:cs="Calibri"/>
          <w:color w:val="000000" w:themeColor="text1"/>
          <w:sz w:val="22"/>
          <w:szCs w:val="22"/>
          <w:lang w:val="en-US"/>
        </w:rPr>
        <w:t xml:space="preserve"> t</w:t>
      </w:r>
      <w:r w:rsidRPr="00F134BD">
        <w:rPr>
          <w:rFonts w:ascii="Calibri" w:hAnsi="Calibri" w:cs="Calibri"/>
          <w:sz w:val="22"/>
          <w:szCs w:val="22"/>
          <w:lang w:val="en-GB"/>
        </w:rPr>
        <w:t>o separate GFP-expressing (GFP+) podocytes from GFP-negative (GFP-) glomerular cells and flow cytometry analysis was performed with</w:t>
      </w:r>
      <w:r w:rsidRPr="00F134BD">
        <w:rPr>
          <w:rFonts w:ascii="Calibri" w:hAnsi="Calibri" w:cs="Calibri"/>
          <w:color w:val="000000" w:themeColor="text1"/>
          <w:sz w:val="22"/>
          <w:szCs w:val="22"/>
          <w:lang w:val="en-US"/>
        </w:rPr>
        <w:t xml:space="preserve"> a </w:t>
      </w:r>
      <w:proofErr w:type="spellStart"/>
      <w:r w:rsidRPr="00F134BD">
        <w:rPr>
          <w:rFonts w:ascii="Calibri" w:hAnsi="Calibri" w:cs="Calibri"/>
          <w:color w:val="000000" w:themeColor="text1"/>
          <w:sz w:val="22"/>
          <w:szCs w:val="22"/>
          <w:lang w:val="en-US"/>
        </w:rPr>
        <w:t>BioRad</w:t>
      </w:r>
      <w:proofErr w:type="spellEnd"/>
      <w:r w:rsidRPr="00F134BD">
        <w:rPr>
          <w:rFonts w:ascii="Calibri" w:hAnsi="Calibri" w:cs="Calibri"/>
          <w:color w:val="000000" w:themeColor="text1"/>
          <w:sz w:val="22"/>
          <w:szCs w:val="22"/>
          <w:lang w:val="en-US"/>
        </w:rPr>
        <w:t xml:space="preserve"> S3 cell sorter (</w:t>
      </w:r>
      <w:proofErr w:type="spellStart"/>
      <w:r w:rsidRPr="00F134BD">
        <w:rPr>
          <w:rFonts w:ascii="Calibri" w:hAnsi="Calibri" w:cs="Calibri"/>
          <w:color w:val="000000" w:themeColor="text1"/>
          <w:sz w:val="22"/>
          <w:szCs w:val="22"/>
          <w:lang w:val="en-US"/>
        </w:rPr>
        <w:t>Biorad</w:t>
      </w:r>
      <w:proofErr w:type="spellEnd"/>
      <w:r w:rsidRPr="00F134BD">
        <w:rPr>
          <w:rFonts w:ascii="Calibri" w:hAnsi="Calibri" w:cs="Calibri"/>
          <w:color w:val="000000" w:themeColor="text1"/>
          <w:sz w:val="22"/>
          <w:szCs w:val="22"/>
          <w:lang w:val="en-US"/>
        </w:rPr>
        <w:t>)</w:t>
      </w:r>
      <w:r w:rsidRPr="00F134BD">
        <w:rPr>
          <w:rFonts w:ascii="Calibri" w:hAnsi="Calibri" w:cs="Calibri"/>
          <w:sz w:val="22"/>
          <w:szCs w:val="22"/>
          <w:lang w:val="en-GB"/>
        </w:rPr>
        <w:t xml:space="preserve"> with a Laser excitation at 488nm. Only viable cells were sorted (laser excitation 380 nm) and green GFP+ podocyte fractions were directly frozen on dry ice </w:t>
      </w:r>
      <w:r w:rsidRPr="00F134BD">
        <w:rPr>
          <w:rFonts w:ascii="Calibri" w:hAnsi="Calibri" w:cs="Calibri"/>
          <w:color w:val="000000" w:themeColor="text1"/>
          <w:sz w:val="22"/>
          <w:szCs w:val="22"/>
          <w:lang w:val="en-US"/>
        </w:rPr>
        <w:t xml:space="preserve">and stored at -80°C for further RNA sequencing and proteomics. </w:t>
      </w:r>
      <w:r w:rsidRPr="00F134BD">
        <w:rPr>
          <w:rFonts w:ascii="Calibri" w:hAnsi="Calibri" w:cs="Calibri"/>
          <w:sz w:val="22"/>
          <w:szCs w:val="22"/>
          <w:lang w:val="en-GB"/>
        </w:rPr>
        <w:t xml:space="preserve">Podocytes used for this study displayed a purity of 92-98% as determined by percentage of GFP-positive cells after FACS sorting </w:t>
      </w:r>
      <w:r w:rsidRPr="00F134BD">
        <w:rPr>
          <w:rFonts w:ascii="Calibri" w:hAnsi="Calibri" w:cs="Calibri"/>
          <w:color w:val="0F4761" w:themeColor="accent1" w:themeShade="BF"/>
          <w:sz w:val="22"/>
          <w:szCs w:val="22"/>
          <w:lang w:val="en-GB"/>
        </w:rPr>
        <w:t>Supplementary Figure S1</w:t>
      </w:r>
      <w:r w:rsidRPr="00F134BD">
        <w:rPr>
          <w:rFonts w:ascii="Calibri" w:hAnsi="Calibri" w:cs="Calibri"/>
          <w:sz w:val="22"/>
          <w:szCs w:val="22"/>
          <w:lang w:val="en-GB"/>
        </w:rPr>
        <w:t xml:space="preserve">. The yields of male and female podocytes are presented in </w:t>
      </w:r>
      <w:r w:rsidRPr="00F134BD">
        <w:rPr>
          <w:rFonts w:ascii="Calibri" w:hAnsi="Calibri" w:cs="Calibri"/>
          <w:color w:val="0F4761" w:themeColor="accent1" w:themeShade="BF"/>
          <w:sz w:val="22"/>
          <w:szCs w:val="22"/>
          <w:lang w:val="en-GB"/>
        </w:rPr>
        <w:t xml:space="preserve">Supplementary Table S12, sheet </w:t>
      </w:r>
      <w:proofErr w:type="spellStart"/>
      <w:r w:rsidRPr="00F134BD">
        <w:rPr>
          <w:rFonts w:ascii="Calibri" w:hAnsi="Calibri" w:cs="Calibri"/>
          <w:color w:val="0F4761" w:themeColor="accent1" w:themeShade="BF"/>
          <w:sz w:val="22"/>
          <w:szCs w:val="22"/>
          <w:lang w:val="en-GB"/>
        </w:rPr>
        <w:t>RNA_quality</w:t>
      </w:r>
      <w:proofErr w:type="spellEnd"/>
      <w:r w:rsidRPr="00F134BD">
        <w:rPr>
          <w:rFonts w:ascii="Calibri" w:hAnsi="Calibri" w:cs="Calibri"/>
          <w:color w:val="auto"/>
          <w:sz w:val="22"/>
          <w:szCs w:val="22"/>
          <w:lang w:val="en-GB"/>
        </w:rPr>
        <w:t>.</w:t>
      </w:r>
    </w:p>
    <w:p w14:paraId="1DB22D3D" w14:textId="77777777" w:rsidR="00AD773F" w:rsidRPr="00F134BD" w:rsidRDefault="00AD773F" w:rsidP="00844BB3">
      <w:pPr>
        <w:pStyle w:val="Default"/>
        <w:spacing w:line="480" w:lineRule="auto"/>
        <w:jc w:val="both"/>
        <w:rPr>
          <w:rFonts w:ascii="Calibri" w:hAnsi="Calibri" w:cs="Calibri"/>
          <w:sz w:val="22"/>
          <w:szCs w:val="22"/>
          <w:lang w:val="en-GB"/>
        </w:rPr>
      </w:pPr>
    </w:p>
    <w:p w14:paraId="577E4C96" w14:textId="77777777" w:rsidR="00AD773F" w:rsidRPr="00F134BD" w:rsidRDefault="00AD773F" w:rsidP="00844BB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lastRenderedPageBreak/>
        <w:t xml:space="preserve">RNA isolation and quality control </w:t>
      </w:r>
    </w:p>
    <w:p w14:paraId="234CEA27" w14:textId="7FD5494F" w:rsidR="00AD773F" w:rsidRPr="00F134BD" w:rsidRDefault="00AD773F" w:rsidP="000B5C78">
      <w:pPr>
        <w:pStyle w:val="Default"/>
        <w:spacing w:line="480" w:lineRule="auto"/>
        <w:jc w:val="both"/>
        <w:rPr>
          <w:rFonts w:ascii="Calibri" w:hAnsi="Calibri" w:cs="Calibri"/>
          <w:sz w:val="22"/>
          <w:szCs w:val="22"/>
          <w:lang w:val="en-GB"/>
        </w:rPr>
      </w:pPr>
      <w:r w:rsidRPr="00F134BD">
        <w:rPr>
          <w:rFonts w:ascii="Calibri" w:hAnsi="Calibri" w:cs="Calibri"/>
          <w:sz w:val="22"/>
          <w:szCs w:val="22"/>
          <w:lang w:val="en-GB"/>
        </w:rPr>
        <w:t xml:space="preserve">Total podocyte specific RNA was purified from native podocytes of male and female vehicle- and rapamycin-treated mice Podocytes were separately prepared from each mouse and individual biological replicates subjected to cDNA library preparation and sequencing. After podocyte lysis in </w:t>
      </w:r>
      <w:proofErr w:type="spellStart"/>
      <w:r w:rsidRPr="00F134BD">
        <w:rPr>
          <w:rFonts w:ascii="Calibri" w:hAnsi="Calibri" w:cs="Calibri"/>
          <w:sz w:val="22"/>
          <w:szCs w:val="22"/>
          <w:lang w:val="en-GB"/>
        </w:rPr>
        <w:t>Trizol</w:t>
      </w:r>
      <w:proofErr w:type="spellEnd"/>
      <w:r w:rsidRPr="00F134BD">
        <w:rPr>
          <w:rFonts w:ascii="Calibri" w:hAnsi="Calibri" w:cs="Calibri"/>
          <w:sz w:val="22"/>
          <w:szCs w:val="22"/>
          <w:lang w:val="en-GB"/>
        </w:rPr>
        <w:t>-Ethanol and further purification using Zymo-Spin IC Columns (</w:t>
      </w:r>
      <w:proofErr w:type="spellStart"/>
      <w:r w:rsidRPr="00F134BD">
        <w:rPr>
          <w:rFonts w:ascii="Calibri" w:hAnsi="Calibri" w:cs="Calibri"/>
          <w:sz w:val="22"/>
          <w:szCs w:val="22"/>
          <w:lang w:val="en-GB"/>
        </w:rPr>
        <w:t>Zymo</w:t>
      </w:r>
      <w:proofErr w:type="spellEnd"/>
      <w:r w:rsidRPr="00F134BD">
        <w:rPr>
          <w:rFonts w:ascii="Calibri" w:hAnsi="Calibri" w:cs="Calibri"/>
          <w:sz w:val="22"/>
          <w:szCs w:val="22"/>
          <w:lang w:val="en-GB"/>
        </w:rPr>
        <w:t xml:space="preserve"> Research Europe GmbH, Freiburg, Germany) according to manufacturer´s protocol, RNA was determined by Bioanalyzer runs using Agilent 2100 bioanalyzer. Results proved intact high-quality RNA with RNA integrity number (RIN) 9.2 ± 0.47 in all biological samples (</w:t>
      </w:r>
      <w:r w:rsidRPr="00F134BD">
        <w:rPr>
          <w:rFonts w:ascii="Calibri" w:hAnsi="Calibri" w:cs="Calibri"/>
          <w:color w:val="0F4761" w:themeColor="accent1" w:themeShade="BF"/>
          <w:sz w:val="22"/>
          <w:szCs w:val="22"/>
          <w:lang w:val="en-GB"/>
        </w:rPr>
        <w:t xml:space="preserve">Supplementary Table </w:t>
      </w:r>
      <w:r w:rsidR="003F0A4B" w:rsidRPr="00F134BD">
        <w:rPr>
          <w:rFonts w:ascii="Calibri" w:hAnsi="Calibri" w:cs="Calibri"/>
          <w:color w:val="0F4761" w:themeColor="accent1" w:themeShade="BF"/>
          <w:sz w:val="22"/>
          <w:szCs w:val="22"/>
          <w:lang w:val="en-GB"/>
        </w:rPr>
        <w:t>S</w:t>
      </w:r>
      <w:r w:rsidRPr="00F134BD">
        <w:rPr>
          <w:rFonts w:ascii="Calibri" w:hAnsi="Calibri" w:cs="Calibri"/>
          <w:color w:val="0F4761" w:themeColor="accent1" w:themeShade="BF"/>
          <w:sz w:val="22"/>
          <w:szCs w:val="22"/>
          <w:lang w:val="en-GB"/>
        </w:rPr>
        <w:t>13, sheet “</w:t>
      </w:r>
      <w:proofErr w:type="spellStart"/>
      <w:r w:rsidRPr="00F134BD">
        <w:rPr>
          <w:rFonts w:ascii="Calibri" w:hAnsi="Calibri" w:cs="Calibri"/>
          <w:color w:val="0F4761" w:themeColor="accent1" w:themeShade="BF"/>
          <w:sz w:val="22"/>
          <w:szCs w:val="22"/>
          <w:lang w:val="en-GB"/>
        </w:rPr>
        <w:t>RNA_quality</w:t>
      </w:r>
      <w:proofErr w:type="spellEnd"/>
      <w:r w:rsidRPr="00F134BD">
        <w:rPr>
          <w:rFonts w:ascii="Calibri" w:hAnsi="Calibri" w:cs="Calibri"/>
          <w:color w:val="0F4761" w:themeColor="accent1" w:themeShade="BF"/>
          <w:sz w:val="22"/>
          <w:szCs w:val="22"/>
          <w:lang w:val="en-GB"/>
        </w:rPr>
        <w:t>”</w:t>
      </w:r>
      <w:r w:rsidRPr="00F134BD">
        <w:rPr>
          <w:rFonts w:ascii="Calibri" w:hAnsi="Calibri" w:cs="Calibri"/>
          <w:sz w:val="22"/>
          <w:szCs w:val="22"/>
          <w:lang w:val="en-GB"/>
        </w:rPr>
        <w:t xml:space="preserve">). Primarily 22 mice were allocated to RNA sequencing, however, from one rapamycin-treated male, podocytes could not be isolated due to genotyping error, and a second male vehicle mouse was excluded from sequencing because of low RNA quality. Finally, RNA was sequenced from podocytes of 20 mice (male vehicle = 4; female vehicle n=5; male rapamycin n=5; and female rapamycin n=6). For later podocyte-specific analyses however, one female vehicle mouse </w:t>
      </w:r>
      <w:r w:rsidR="00A244FC" w:rsidRPr="00F134BD">
        <w:rPr>
          <w:rFonts w:ascii="Calibri" w:hAnsi="Calibri" w:cs="Calibri"/>
          <w:sz w:val="22"/>
          <w:szCs w:val="22"/>
          <w:lang w:val="en-GB"/>
        </w:rPr>
        <w:t>[</w:t>
      </w:r>
      <w:r w:rsidR="000B5C78" w:rsidRPr="00F134BD">
        <w:rPr>
          <w:rFonts w:ascii="Calibri" w:hAnsi="Calibri" w:cs="Calibri"/>
          <w:sz w:val="22"/>
          <w:szCs w:val="22"/>
          <w:lang w:val="en-GB"/>
        </w:rPr>
        <w:t xml:space="preserve">sample ID: </w:t>
      </w:r>
      <w:r w:rsidR="000B5C78" w:rsidRPr="00F134BD">
        <w:rPr>
          <w:rFonts w:ascii="Calibri" w:hAnsi="Calibri" w:cs="Calibri"/>
          <w:sz w:val="22"/>
          <w:szCs w:val="22"/>
        </w:rPr>
        <w:t xml:space="preserve">f_vehicle_318-S1-RNA1-mRNA_seq1] </w:t>
      </w:r>
      <w:r w:rsidRPr="00F134BD">
        <w:rPr>
          <w:rFonts w:ascii="Calibri" w:hAnsi="Calibri" w:cs="Calibri"/>
          <w:sz w:val="22"/>
          <w:szCs w:val="22"/>
          <w:lang w:val="en-GB"/>
        </w:rPr>
        <w:t>had to be further excluded when laboratory results were obtained showing micro-albuminuria.</w:t>
      </w:r>
    </w:p>
    <w:p w14:paraId="58BF9942" w14:textId="77777777" w:rsidR="00AD773F" w:rsidRPr="00F134BD" w:rsidRDefault="00AD773F" w:rsidP="614B2467">
      <w:pPr>
        <w:pStyle w:val="Default"/>
        <w:spacing w:line="480" w:lineRule="auto"/>
        <w:jc w:val="both"/>
        <w:rPr>
          <w:rFonts w:ascii="Calibri" w:hAnsi="Calibri" w:cs="Calibri"/>
          <w:sz w:val="22"/>
          <w:szCs w:val="22"/>
          <w:lang w:val="en-GB"/>
        </w:rPr>
      </w:pPr>
    </w:p>
    <w:p w14:paraId="49675091" w14:textId="77777777" w:rsidR="00AD773F" w:rsidRPr="00F134BD" w:rsidRDefault="00AD773F" w:rsidP="688F8DAF">
      <w:pPr>
        <w:pStyle w:val="Default"/>
        <w:spacing w:line="480" w:lineRule="auto"/>
        <w:jc w:val="both"/>
        <w:rPr>
          <w:rFonts w:ascii="Calibri" w:hAnsi="Calibri" w:cs="Calibri"/>
          <w:sz w:val="22"/>
          <w:szCs w:val="22"/>
          <w:lang w:val="en-GB"/>
        </w:rPr>
      </w:pPr>
      <w:r w:rsidRPr="00F134BD">
        <w:rPr>
          <w:rFonts w:ascii="Calibri" w:hAnsi="Calibri" w:cs="Calibri"/>
          <w:sz w:val="22"/>
          <w:szCs w:val="22"/>
          <w:lang w:val="en-GB"/>
        </w:rPr>
        <w:t xml:space="preserve">For qPCR experiments, total RNA was extracted from isolated podocytes prepared for RNA sequencing and from podocytes isolated from additional 12 mice (male vehicle n=4; male rapamycin n=2; female vehicle n=3; and female rapamycin n=3) using </w:t>
      </w:r>
      <w:proofErr w:type="spellStart"/>
      <w:r w:rsidRPr="00F134BD">
        <w:rPr>
          <w:rFonts w:ascii="Calibri" w:hAnsi="Calibri" w:cs="Calibri"/>
          <w:sz w:val="22"/>
          <w:szCs w:val="22"/>
          <w:lang w:val="en-GB"/>
        </w:rPr>
        <w:t>Quiazol</w:t>
      </w:r>
      <w:proofErr w:type="spellEnd"/>
      <w:r w:rsidRPr="00F134BD">
        <w:rPr>
          <w:rFonts w:ascii="Calibri" w:hAnsi="Calibri" w:cs="Calibri"/>
          <w:sz w:val="22"/>
          <w:szCs w:val="22"/>
          <w:lang w:val="en-GB"/>
        </w:rPr>
        <w:t xml:space="preserve"> (</w:t>
      </w:r>
      <w:r w:rsidRPr="00F134BD">
        <w:rPr>
          <w:rFonts w:ascii="Calibri" w:hAnsi="Calibri" w:cs="Calibri"/>
          <w:sz w:val="22"/>
          <w:szCs w:val="22"/>
          <w:shd w:val="clear" w:color="auto" w:fill="FFFFFF"/>
          <w:lang w:val="en-US"/>
        </w:rPr>
        <w:t>Qiagen, Hilden, Germany</w:t>
      </w:r>
      <w:r w:rsidRPr="00F134BD">
        <w:rPr>
          <w:rFonts w:ascii="Calibri" w:hAnsi="Calibri" w:cs="Calibri"/>
          <w:sz w:val="22"/>
          <w:szCs w:val="22"/>
          <w:lang w:val="en-GB"/>
        </w:rPr>
        <w:t xml:space="preserve">) according to the manufacturer´s protocol. RNA pellets were dissolved in 0.1% DEPC water and the concentration was measured by </w:t>
      </w:r>
      <w:proofErr w:type="spellStart"/>
      <w:r w:rsidRPr="00F134BD">
        <w:rPr>
          <w:rFonts w:ascii="Calibri" w:hAnsi="Calibri" w:cs="Calibri"/>
          <w:sz w:val="22"/>
          <w:szCs w:val="22"/>
          <w:lang w:val="en-GB"/>
        </w:rPr>
        <w:t>NanoDrop</w:t>
      </w:r>
      <w:proofErr w:type="spellEnd"/>
      <w:r w:rsidRPr="00F134BD">
        <w:rPr>
          <w:rFonts w:ascii="Calibri" w:hAnsi="Calibri" w:cs="Calibri"/>
          <w:sz w:val="22"/>
          <w:szCs w:val="22"/>
          <w:lang w:val="en-GB"/>
        </w:rPr>
        <w:t xml:space="preserve">® Spectrophotometer. </w:t>
      </w:r>
    </w:p>
    <w:p w14:paraId="5E8A7416" w14:textId="77777777" w:rsidR="00CE0FAA" w:rsidRPr="00F134BD" w:rsidRDefault="00CE0FAA" w:rsidP="688F8DAF">
      <w:pPr>
        <w:pStyle w:val="Default"/>
        <w:spacing w:line="480" w:lineRule="auto"/>
        <w:jc w:val="both"/>
        <w:rPr>
          <w:rFonts w:ascii="Calibri" w:hAnsi="Calibri" w:cs="Calibri"/>
          <w:sz w:val="22"/>
          <w:szCs w:val="22"/>
          <w:lang w:val="en-GB"/>
        </w:rPr>
      </w:pPr>
    </w:p>
    <w:p w14:paraId="32C77741" w14:textId="77777777" w:rsidR="00AD773F" w:rsidRPr="00F134BD" w:rsidRDefault="00AD773F" w:rsidP="00844BB3">
      <w:pPr>
        <w:pStyle w:val="Default"/>
        <w:spacing w:line="480" w:lineRule="auto"/>
        <w:jc w:val="both"/>
        <w:rPr>
          <w:rFonts w:ascii="Calibri" w:hAnsi="Calibri" w:cs="Calibri"/>
          <w:b/>
          <w:bCs/>
          <w:color w:val="auto"/>
          <w:sz w:val="22"/>
          <w:szCs w:val="22"/>
          <w:lang w:val="en-US"/>
        </w:rPr>
      </w:pPr>
      <w:r w:rsidRPr="00F134BD">
        <w:rPr>
          <w:rFonts w:ascii="Calibri" w:hAnsi="Calibri" w:cs="Calibri"/>
          <w:b/>
          <w:bCs/>
          <w:color w:val="auto"/>
          <w:sz w:val="22"/>
          <w:szCs w:val="22"/>
          <w:lang w:val="en-US"/>
        </w:rPr>
        <w:t>Transcriptomics (Processing and analysis of RNA-Seq data)</w:t>
      </w:r>
    </w:p>
    <w:p w14:paraId="2936BB9A" w14:textId="77777777" w:rsidR="00AD773F" w:rsidRPr="00F134BD" w:rsidRDefault="00AD773F" w:rsidP="00844BB3">
      <w:pPr>
        <w:pStyle w:val="Default"/>
        <w:spacing w:line="480" w:lineRule="auto"/>
        <w:jc w:val="both"/>
        <w:rPr>
          <w:rFonts w:ascii="Calibri" w:hAnsi="Calibri" w:cs="Calibri"/>
          <w:color w:val="auto"/>
          <w:sz w:val="22"/>
          <w:szCs w:val="22"/>
          <w:lang w:val="en-US"/>
        </w:rPr>
      </w:pPr>
      <w:r w:rsidRPr="00F134BD">
        <w:rPr>
          <w:rFonts w:ascii="Calibri" w:hAnsi="Calibri" w:cs="Calibri"/>
          <w:color w:val="auto"/>
          <w:sz w:val="22"/>
          <w:szCs w:val="22"/>
          <w:lang w:val="en-GB"/>
        </w:rPr>
        <w:t>After generating cDNA libraries from Poly-A selected mRNA (NEB Next Ultra II Directional RNA Library Prep Kit, New England Biolabs</w:t>
      </w:r>
      <w:r w:rsidRPr="00F134BD">
        <w:rPr>
          <w:rFonts w:ascii="Calibri" w:hAnsi="Calibri" w:cs="Calibri"/>
          <w:color w:val="auto"/>
          <w:sz w:val="22"/>
          <w:szCs w:val="22"/>
          <w:u w:val="single"/>
          <w:lang w:val="en-GB"/>
        </w:rPr>
        <w:t>,</w:t>
      </w:r>
      <w:r w:rsidRPr="00F134BD">
        <w:rPr>
          <w:rFonts w:ascii="Calibri" w:hAnsi="Calibri" w:cs="Calibri"/>
          <w:color w:val="auto"/>
          <w:sz w:val="22"/>
          <w:szCs w:val="22"/>
          <w:lang w:val="en-GB"/>
        </w:rPr>
        <w:t xml:space="preserve"> </w:t>
      </w:r>
      <w:hyperlink r:id="rId10" w:history="1">
        <w:r w:rsidRPr="00F134BD">
          <w:rPr>
            <w:rStyle w:val="Hyperlink"/>
            <w:rFonts w:ascii="Calibri" w:hAnsi="Calibri" w:cs="Calibri"/>
            <w:color w:val="auto"/>
            <w:sz w:val="22"/>
            <w:szCs w:val="22"/>
            <w:u w:val="none"/>
            <w:shd w:val="clear" w:color="auto" w:fill="FFFFFF"/>
            <w:lang w:val="en-US"/>
          </w:rPr>
          <w:t>Massachusetts, United States</w:t>
        </w:r>
      </w:hyperlink>
      <w:r w:rsidRPr="00F134BD">
        <w:rPr>
          <w:rFonts w:ascii="Calibri" w:hAnsi="Calibri" w:cs="Calibri"/>
          <w:color w:val="auto"/>
          <w:sz w:val="22"/>
          <w:szCs w:val="22"/>
          <w:lang w:val="en-GB"/>
        </w:rPr>
        <w:t xml:space="preserve">) the obtained DNA was validated with the Agilent </w:t>
      </w:r>
      <w:proofErr w:type="spellStart"/>
      <w:r w:rsidRPr="00F134BD">
        <w:rPr>
          <w:rFonts w:ascii="Calibri" w:hAnsi="Calibri" w:cs="Calibri"/>
          <w:color w:val="auto"/>
          <w:sz w:val="22"/>
          <w:szCs w:val="22"/>
          <w:lang w:val="en-GB"/>
        </w:rPr>
        <w:lastRenderedPageBreak/>
        <w:t>TapeStation</w:t>
      </w:r>
      <w:proofErr w:type="spellEnd"/>
      <w:r w:rsidRPr="00F134BD">
        <w:rPr>
          <w:rFonts w:ascii="Calibri" w:hAnsi="Calibri" w:cs="Calibri"/>
          <w:color w:val="auto"/>
          <w:sz w:val="22"/>
          <w:szCs w:val="22"/>
          <w:lang w:val="en-GB"/>
        </w:rPr>
        <w:t xml:space="preserve"> platform (</w:t>
      </w:r>
      <w:proofErr w:type="spellStart"/>
      <w:r w:rsidRPr="00F134BD">
        <w:rPr>
          <w:rFonts w:ascii="Calibri" w:hAnsi="Calibri" w:cs="Calibri"/>
          <w:color w:val="auto"/>
          <w:sz w:val="22"/>
          <w:szCs w:val="22"/>
          <w:lang w:val="en-GB"/>
        </w:rPr>
        <w:t>TapeStation</w:t>
      </w:r>
      <w:proofErr w:type="spellEnd"/>
      <w:r w:rsidRPr="00F134BD">
        <w:rPr>
          <w:rFonts w:ascii="Calibri" w:hAnsi="Calibri" w:cs="Calibri"/>
          <w:color w:val="auto"/>
          <w:sz w:val="22"/>
          <w:szCs w:val="22"/>
          <w:lang w:val="en-GB"/>
        </w:rPr>
        <w:t xml:space="preserve"> D1000 HS – Kit) and deep RNA sequencing (2x75 per lane) was carried out on an Illumina HiSeq4000 system (Illumina, </w:t>
      </w:r>
      <w:r w:rsidRPr="00F134BD">
        <w:rPr>
          <w:rFonts w:ascii="Calibri" w:hAnsi="Calibri" w:cs="Calibri"/>
          <w:color w:val="auto"/>
          <w:spacing w:val="-3"/>
          <w:sz w:val="22"/>
          <w:szCs w:val="22"/>
          <w:shd w:val="clear" w:color="auto" w:fill="F9F9F9"/>
          <w:lang w:val="en-US"/>
        </w:rPr>
        <w:t>California, USA)</w:t>
      </w:r>
      <w:r w:rsidRPr="00F134BD">
        <w:rPr>
          <w:rFonts w:ascii="Calibri" w:hAnsi="Calibri" w:cs="Calibri"/>
          <w:color w:val="auto"/>
          <w:sz w:val="22"/>
          <w:szCs w:val="22"/>
          <w:lang w:val="en-GB"/>
        </w:rPr>
        <w:t xml:space="preserve">. Sequencing performance provided 36-46 million </w:t>
      </w:r>
      <w:proofErr w:type="gramStart"/>
      <w:r w:rsidRPr="00F134BD">
        <w:rPr>
          <w:rFonts w:ascii="Calibri" w:hAnsi="Calibri" w:cs="Calibri"/>
          <w:color w:val="auto"/>
          <w:sz w:val="22"/>
          <w:szCs w:val="22"/>
          <w:lang w:val="en-GB"/>
        </w:rPr>
        <w:t>paired-end</w:t>
      </w:r>
      <w:proofErr w:type="gramEnd"/>
      <w:r w:rsidRPr="00F134BD">
        <w:rPr>
          <w:rFonts w:ascii="Calibri" w:hAnsi="Calibri" w:cs="Calibri"/>
          <w:color w:val="auto"/>
          <w:sz w:val="22"/>
          <w:szCs w:val="22"/>
          <w:lang w:val="en-GB"/>
        </w:rPr>
        <w:t xml:space="preserve"> reads per sample detecting 84% of all transcripts </w:t>
      </w:r>
      <w:r w:rsidRPr="00F134BD">
        <w:rPr>
          <w:rFonts w:ascii="Calibri" w:hAnsi="Calibri" w:cs="Calibri"/>
          <w:color w:val="auto"/>
          <w:sz w:val="22"/>
          <w:szCs w:val="22"/>
          <w:lang w:val="en-US"/>
        </w:rPr>
        <w:t xml:space="preserve">uniquely mapping sequences aligned to only one single gene within the genome. </w:t>
      </w:r>
    </w:p>
    <w:p w14:paraId="33C7C542" w14:textId="2FFD9C8F" w:rsidR="00AD773F" w:rsidRPr="00F134BD" w:rsidRDefault="00AD773F" w:rsidP="00844BB3">
      <w:pPr>
        <w:pStyle w:val="Default"/>
        <w:spacing w:line="480" w:lineRule="auto"/>
        <w:jc w:val="both"/>
        <w:rPr>
          <w:rFonts w:ascii="Calibri" w:hAnsi="Calibri" w:cs="Calibri"/>
          <w:color w:val="auto"/>
          <w:sz w:val="22"/>
          <w:szCs w:val="22"/>
          <w:lang w:val="en-US"/>
        </w:rPr>
      </w:pPr>
      <w:r w:rsidRPr="00F134BD">
        <w:rPr>
          <w:rFonts w:ascii="Calibri" w:hAnsi="Calibri" w:cs="Calibri"/>
          <w:color w:val="auto"/>
          <w:sz w:val="22"/>
          <w:szCs w:val="22"/>
          <w:lang w:val="en-US"/>
        </w:rPr>
        <w:t xml:space="preserve">Sequencing reads were mapped to mm10_GRCm38.p4 using STAR 2.5.0b, intersected with </w:t>
      </w:r>
      <w:proofErr w:type="spellStart"/>
      <w:r w:rsidRPr="00F134BD">
        <w:rPr>
          <w:rFonts w:ascii="Calibri" w:hAnsi="Calibri" w:cs="Calibri"/>
          <w:color w:val="auto"/>
          <w:sz w:val="22"/>
          <w:szCs w:val="22"/>
          <w:lang w:val="en-US"/>
        </w:rPr>
        <w:t>Ensembl</w:t>
      </w:r>
      <w:proofErr w:type="spellEnd"/>
      <w:r w:rsidRPr="00F134BD">
        <w:rPr>
          <w:rFonts w:ascii="Calibri" w:hAnsi="Calibri" w:cs="Calibri"/>
          <w:color w:val="auto"/>
          <w:sz w:val="22"/>
          <w:szCs w:val="22"/>
          <w:lang w:val="en-US"/>
        </w:rPr>
        <w:t xml:space="preserve"> GRCm38_mm10 (release 89) gene models using </w:t>
      </w:r>
      <w:proofErr w:type="spellStart"/>
      <w:proofErr w:type="gramStart"/>
      <w:r w:rsidRPr="00F134BD">
        <w:rPr>
          <w:rFonts w:ascii="Calibri" w:hAnsi="Calibri" w:cs="Calibri"/>
          <w:color w:val="auto"/>
          <w:sz w:val="22"/>
          <w:szCs w:val="22"/>
          <w:lang w:val="en-US"/>
        </w:rPr>
        <w:t>GenomicRanges</w:t>
      </w:r>
      <w:proofErr w:type="spellEnd"/>
      <w:r w:rsidRPr="00F134BD">
        <w:rPr>
          <w:rFonts w:ascii="Calibri" w:hAnsi="Calibri" w:cs="Calibri"/>
          <w:noProof/>
          <w:color w:val="auto"/>
          <w:sz w:val="22"/>
          <w:szCs w:val="22"/>
          <w:lang w:val="en-US"/>
        </w:rPr>
        <w:t>[</w:t>
      </w:r>
      <w:proofErr w:type="gramEnd"/>
      <w:r w:rsidRPr="00F134BD">
        <w:rPr>
          <w:rFonts w:ascii="Calibri" w:hAnsi="Calibri" w:cs="Calibri"/>
          <w:noProof/>
          <w:color w:val="auto"/>
          <w:sz w:val="22"/>
          <w:szCs w:val="22"/>
          <w:lang w:val="en-US"/>
        </w:rPr>
        <w:t>3]</w:t>
      </w:r>
      <w:r w:rsidRPr="00F134BD">
        <w:rPr>
          <w:rFonts w:ascii="Calibri" w:hAnsi="Calibri" w:cs="Calibri"/>
          <w:color w:val="auto"/>
          <w:sz w:val="22"/>
          <w:szCs w:val="22"/>
          <w:lang w:val="en-US"/>
        </w:rPr>
        <w:t xml:space="preserve"> and counted with the Bioconductor package </w:t>
      </w:r>
      <w:proofErr w:type="spellStart"/>
      <w:r w:rsidRPr="00F134BD">
        <w:rPr>
          <w:rFonts w:ascii="Calibri" w:hAnsi="Calibri" w:cs="Calibri"/>
          <w:color w:val="auto"/>
          <w:sz w:val="22"/>
          <w:szCs w:val="22"/>
          <w:lang w:val="en-US"/>
        </w:rPr>
        <w:t>Rsubread</w:t>
      </w:r>
      <w:proofErr w:type="spellEnd"/>
      <w:r w:rsidRPr="00F134BD">
        <w:rPr>
          <w:rFonts w:ascii="Calibri" w:hAnsi="Calibri" w:cs="Calibri"/>
          <w:noProof/>
          <w:color w:val="auto"/>
          <w:sz w:val="22"/>
          <w:szCs w:val="22"/>
          <w:lang w:val="en-US"/>
        </w:rPr>
        <w:t>[4]</w:t>
      </w:r>
      <w:r w:rsidRPr="00F134BD">
        <w:rPr>
          <w:rFonts w:ascii="Calibri" w:hAnsi="Calibri" w:cs="Calibri"/>
          <w:color w:val="auto"/>
          <w:sz w:val="22"/>
          <w:szCs w:val="22"/>
          <w:lang w:val="en-US"/>
        </w:rPr>
        <w:t>. Normalization and differential expression computation was done using DESeq2</w:t>
      </w:r>
      <w:r w:rsidRPr="00F134BD">
        <w:rPr>
          <w:rFonts w:ascii="Calibri" w:hAnsi="Calibri" w:cs="Calibri"/>
          <w:noProof/>
          <w:color w:val="auto"/>
          <w:sz w:val="22"/>
          <w:szCs w:val="22"/>
          <w:lang w:val="en-US"/>
        </w:rPr>
        <w:t>[5]</w:t>
      </w:r>
      <w:r w:rsidRPr="00F134BD">
        <w:rPr>
          <w:rFonts w:ascii="Calibri" w:hAnsi="Calibri" w:cs="Calibri"/>
          <w:color w:val="auto"/>
          <w:sz w:val="22"/>
          <w:szCs w:val="22"/>
          <w:lang w:val="en-US"/>
        </w:rPr>
        <w:t>.</w:t>
      </w:r>
      <w:r w:rsidR="004E04BF" w:rsidRPr="00F134BD">
        <w:rPr>
          <w:rFonts w:ascii="Calibri" w:hAnsi="Calibri" w:cs="Calibri"/>
          <w:color w:val="auto"/>
          <w:sz w:val="22"/>
          <w:szCs w:val="22"/>
          <w:lang w:val="en-US"/>
        </w:rPr>
        <w:t xml:space="preserve"> </w:t>
      </w:r>
      <w:r w:rsidR="00484349" w:rsidRPr="00F134BD">
        <w:rPr>
          <w:rFonts w:ascii="Calibri" w:hAnsi="Calibri" w:cs="Calibri"/>
          <w:color w:val="auto"/>
          <w:sz w:val="22"/>
          <w:szCs w:val="22"/>
          <w:lang w:val="en-US"/>
        </w:rPr>
        <w:t>V</w:t>
      </w:r>
      <w:r w:rsidRPr="00F134BD">
        <w:rPr>
          <w:rFonts w:ascii="Calibri" w:hAnsi="Calibri" w:cs="Calibri"/>
          <w:color w:val="auto"/>
          <w:sz w:val="22"/>
          <w:szCs w:val="22"/>
          <w:lang w:val="en-US"/>
        </w:rPr>
        <w:t xml:space="preserve">ersion 1.26.0. Several types of normalized expression values were used: variance-stabilized values obtained by the </w:t>
      </w:r>
      <w:proofErr w:type="spellStart"/>
      <w:r w:rsidRPr="00F134BD">
        <w:rPr>
          <w:rFonts w:ascii="Calibri" w:hAnsi="Calibri" w:cs="Calibri"/>
          <w:color w:val="auto"/>
          <w:sz w:val="22"/>
          <w:szCs w:val="22"/>
          <w:lang w:val="en-US"/>
        </w:rPr>
        <w:t>vst</w:t>
      </w:r>
      <w:proofErr w:type="spellEnd"/>
      <w:r w:rsidRPr="00F134BD">
        <w:rPr>
          <w:rFonts w:ascii="Calibri" w:hAnsi="Calibri" w:cs="Calibri"/>
          <w:color w:val="auto"/>
          <w:sz w:val="22"/>
          <w:szCs w:val="22"/>
          <w:lang w:val="en-US"/>
        </w:rPr>
        <w:t xml:space="preserve"> algorithm (blind mode) implemented in DESeq2 were used for the PCA (500 most varying genes only), and base mean normalized expression over all samples in the model, computed with differential expression, were used for MA plots. Differential expression was computed in separate models that only contained samples from the conditions involved in the contrast of interest. For example, the differential expression results between male and female control animals were computed without samples from treated animals. The interaction model contained all samples, and the interaction term refers to the difference between the treatment effect in males &amp; females. Expression changes of genes were called significant when the </w:t>
      </w:r>
      <w:r w:rsidRPr="00F134BD">
        <w:rPr>
          <w:rFonts w:ascii="Calibri" w:hAnsi="Calibri" w:cs="Calibri"/>
          <w:i/>
          <w:iCs/>
          <w:color w:val="auto"/>
          <w:sz w:val="22"/>
          <w:szCs w:val="22"/>
          <w:lang w:val="en-US"/>
        </w:rPr>
        <w:t>P</w:t>
      </w:r>
      <w:r w:rsidRPr="00F134BD">
        <w:rPr>
          <w:rFonts w:ascii="Calibri" w:hAnsi="Calibri" w:cs="Calibri"/>
          <w:color w:val="auto"/>
          <w:sz w:val="22"/>
          <w:szCs w:val="22"/>
          <w:lang w:val="en-US"/>
        </w:rPr>
        <w:t xml:space="preserve"> value adjusted for multiple correction (Benjamini-Hochberg method) was lower than 0.05. When required, shrinkage was applied to log2-fold changes using the </w:t>
      </w:r>
      <w:proofErr w:type="spellStart"/>
      <w:r w:rsidRPr="00F134BD">
        <w:rPr>
          <w:rFonts w:ascii="Calibri" w:hAnsi="Calibri" w:cs="Calibri"/>
          <w:color w:val="auto"/>
          <w:sz w:val="22"/>
          <w:szCs w:val="22"/>
          <w:lang w:val="en-US"/>
        </w:rPr>
        <w:t>apeglm</w:t>
      </w:r>
      <w:proofErr w:type="spellEnd"/>
      <w:r w:rsidRPr="00F134BD">
        <w:rPr>
          <w:rFonts w:ascii="Calibri" w:hAnsi="Calibri" w:cs="Calibri"/>
          <w:color w:val="auto"/>
          <w:sz w:val="22"/>
          <w:szCs w:val="22"/>
          <w:lang w:val="en-US"/>
        </w:rPr>
        <w:t xml:space="preserve"> </w:t>
      </w:r>
      <w:proofErr w:type="gramStart"/>
      <w:r w:rsidRPr="00F134BD">
        <w:rPr>
          <w:rFonts w:ascii="Calibri" w:hAnsi="Calibri" w:cs="Calibri"/>
          <w:color w:val="auto"/>
          <w:sz w:val="22"/>
          <w:szCs w:val="22"/>
          <w:lang w:val="en-US"/>
        </w:rPr>
        <w:t>algorithm</w:t>
      </w:r>
      <w:r w:rsidRPr="00F134BD">
        <w:rPr>
          <w:rFonts w:ascii="Calibri" w:hAnsi="Calibri" w:cs="Calibri"/>
          <w:noProof/>
          <w:color w:val="auto"/>
          <w:sz w:val="22"/>
          <w:szCs w:val="22"/>
          <w:lang w:val="en-US"/>
        </w:rPr>
        <w:t>[</w:t>
      </w:r>
      <w:proofErr w:type="gramEnd"/>
      <w:r w:rsidRPr="00F134BD">
        <w:rPr>
          <w:rFonts w:ascii="Calibri" w:hAnsi="Calibri" w:cs="Calibri"/>
          <w:noProof/>
          <w:color w:val="auto"/>
          <w:sz w:val="22"/>
          <w:szCs w:val="22"/>
          <w:lang w:val="en-US"/>
        </w:rPr>
        <w:t>6]</w:t>
      </w:r>
      <w:r w:rsidRPr="00F134BD">
        <w:rPr>
          <w:rFonts w:ascii="Calibri" w:hAnsi="Calibri" w:cs="Calibri"/>
          <w:color w:val="auto"/>
          <w:sz w:val="22"/>
          <w:szCs w:val="22"/>
          <w:lang w:val="en-US"/>
        </w:rPr>
        <w:t xml:space="preserve"> version 1.8.0. All normalization and differential expression computations were done on gene models labeled by ENSEMBL gene identifiers. Gene names were obtained from the original ENSEMBL v89 feature set, and from the more recent </w:t>
      </w:r>
      <w:proofErr w:type="spellStart"/>
      <w:r w:rsidRPr="00F134BD">
        <w:rPr>
          <w:rFonts w:ascii="Calibri" w:hAnsi="Calibri" w:cs="Calibri"/>
          <w:color w:val="auto"/>
          <w:sz w:val="22"/>
          <w:szCs w:val="22"/>
          <w:lang w:val="en-US"/>
        </w:rPr>
        <w:t>org.Mm.eg.db</w:t>
      </w:r>
      <w:proofErr w:type="spellEnd"/>
      <w:r w:rsidRPr="00F134BD">
        <w:rPr>
          <w:rFonts w:ascii="Calibri" w:hAnsi="Calibri" w:cs="Calibri"/>
          <w:color w:val="auto"/>
          <w:sz w:val="22"/>
          <w:szCs w:val="22"/>
          <w:lang w:val="en-US"/>
        </w:rPr>
        <w:t xml:space="preserve"> Bioconductor package version 3.13.0. As the latter doesn't guarantee one-to-one mapping between identifiers, the feature with the highest average expression was selected, when a gene symbol was matched by more than one ENSEMBL. The Bioconductor package </w:t>
      </w:r>
      <w:proofErr w:type="spellStart"/>
      <w:proofErr w:type="gramStart"/>
      <w:r w:rsidRPr="00F134BD">
        <w:rPr>
          <w:rFonts w:ascii="Calibri" w:hAnsi="Calibri" w:cs="Calibri"/>
          <w:color w:val="auto"/>
          <w:sz w:val="22"/>
          <w:szCs w:val="22"/>
          <w:lang w:val="en-US"/>
        </w:rPr>
        <w:t>clusterProfiler</w:t>
      </w:r>
      <w:proofErr w:type="spellEnd"/>
      <w:r w:rsidRPr="00F134BD">
        <w:rPr>
          <w:rFonts w:ascii="Calibri" w:hAnsi="Calibri" w:cs="Calibri"/>
          <w:noProof/>
          <w:color w:val="auto"/>
          <w:sz w:val="22"/>
          <w:szCs w:val="22"/>
          <w:lang w:val="en-US"/>
        </w:rPr>
        <w:t>[</w:t>
      </w:r>
      <w:proofErr w:type="gramEnd"/>
      <w:r w:rsidRPr="00F134BD">
        <w:rPr>
          <w:rFonts w:ascii="Calibri" w:hAnsi="Calibri" w:cs="Calibri"/>
          <w:noProof/>
          <w:color w:val="auto"/>
          <w:sz w:val="22"/>
          <w:szCs w:val="22"/>
          <w:lang w:val="en-US"/>
        </w:rPr>
        <w:t>7]</w:t>
      </w:r>
      <w:r w:rsidRPr="00F134BD">
        <w:rPr>
          <w:rFonts w:ascii="Calibri" w:hAnsi="Calibri" w:cs="Calibri"/>
          <w:color w:val="auto"/>
          <w:sz w:val="22"/>
          <w:szCs w:val="22"/>
          <w:lang w:val="en-US"/>
        </w:rPr>
        <w:t xml:space="preserve"> version 3.14.3 was used to assess over-representation and enrichment of Gene Ontology terms available from the Bioconductor package </w:t>
      </w:r>
      <w:proofErr w:type="spellStart"/>
      <w:r w:rsidRPr="00F134BD">
        <w:rPr>
          <w:rFonts w:ascii="Calibri" w:hAnsi="Calibri" w:cs="Calibri"/>
          <w:color w:val="auto"/>
          <w:sz w:val="22"/>
          <w:szCs w:val="22"/>
          <w:lang w:val="en-US"/>
        </w:rPr>
        <w:t>GO.db</w:t>
      </w:r>
      <w:proofErr w:type="spellEnd"/>
      <w:r w:rsidRPr="00F134BD">
        <w:rPr>
          <w:rFonts w:ascii="Calibri" w:hAnsi="Calibri" w:cs="Calibri"/>
          <w:color w:val="auto"/>
          <w:sz w:val="22"/>
          <w:szCs w:val="22"/>
          <w:lang w:val="en-US"/>
        </w:rPr>
        <w:t xml:space="preserve"> version 3.10.0. TPMs were computed from the read </w:t>
      </w:r>
      <w:r w:rsidRPr="00F134BD">
        <w:rPr>
          <w:rFonts w:ascii="Calibri" w:hAnsi="Calibri" w:cs="Calibri"/>
          <w:color w:val="auto"/>
          <w:sz w:val="22"/>
          <w:szCs w:val="22"/>
          <w:lang w:val="en-US"/>
        </w:rPr>
        <w:lastRenderedPageBreak/>
        <w:t xml:space="preserve">counts over the genes, using the gene's total </w:t>
      </w:r>
      <w:proofErr w:type="spellStart"/>
      <w:r w:rsidRPr="00F134BD">
        <w:rPr>
          <w:rFonts w:ascii="Calibri" w:hAnsi="Calibri" w:cs="Calibri"/>
          <w:color w:val="auto"/>
          <w:sz w:val="22"/>
          <w:szCs w:val="22"/>
          <w:lang w:val="en-US"/>
        </w:rPr>
        <w:t>exonic</w:t>
      </w:r>
      <w:proofErr w:type="spellEnd"/>
      <w:r w:rsidRPr="00F134BD">
        <w:rPr>
          <w:rFonts w:ascii="Calibri" w:hAnsi="Calibri" w:cs="Calibri"/>
          <w:color w:val="auto"/>
          <w:sz w:val="22"/>
          <w:szCs w:val="22"/>
          <w:lang w:val="en-US"/>
        </w:rPr>
        <w:t xml:space="preserve"> length for the normalization by length (</w:t>
      </w:r>
      <w:r w:rsidRPr="00F134BD">
        <w:rPr>
          <w:rFonts w:ascii="Calibri" w:hAnsi="Calibri" w:cs="Calibri"/>
          <w:color w:val="0A2F41" w:themeColor="accent1" w:themeShade="80"/>
          <w:sz w:val="22"/>
          <w:szCs w:val="22"/>
          <w:lang w:val="en-GB"/>
        </w:rPr>
        <w:t>Supplementary Table S3</w:t>
      </w:r>
      <w:r w:rsidRPr="00F134BD">
        <w:rPr>
          <w:rFonts w:ascii="Calibri" w:hAnsi="Calibri" w:cs="Calibri"/>
          <w:color w:val="auto"/>
          <w:sz w:val="22"/>
          <w:szCs w:val="22"/>
          <w:lang w:val="en-GB"/>
        </w:rPr>
        <w:t>).</w:t>
      </w:r>
    </w:p>
    <w:p w14:paraId="11E7454E" w14:textId="77777777" w:rsidR="00AD773F" w:rsidRPr="00F134BD" w:rsidRDefault="00AD773F" w:rsidP="00844BB3">
      <w:pPr>
        <w:pStyle w:val="Default"/>
        <w:spacing w:line="480" w:lineRule="auto"/>
        <w:jc w:val="both"/>
        <w:rPr>
          <w:rFonts w:ascii="Calibri" w:hAnsi="Calibri" w:cs="Calibri"/>
          <w:sz w:val="22"/>
          <w:szCs w:val="22"/>
          <w:lang w:val="en-US"/>
        </w:rPr>
      </w:pPr>
    </w:p>
    <w:p w14:paraId="705A6A05" w14:textId="77777777" w:rsidR="00AD773F" w:rsidRPr="00F134BD" w:rsidRDefault="00AD773F" w:rsidP="00844BB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t>Expression ranks for immediate early genes</w:t>
      </w:r>
    </w:p>
    <w:p w14:paraId="57A233DB" w14:textId="38A8F781" w:rsidR="00AD773F" w:rsidRPr="00F134BD" w:rsidRDefault="00AD773F" w:rsidP="00844BB3">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To assess possible differences in stress reaction from cell isolation between the different experimental groups, the dataset was filtered for the immediate early genes, </w:t>
      </w:r>
      <w:r w:rsidRPr="00F134BD">
        <w:rPr>
          <w:rFonts w:ascii="Calibri" w:hAnsi="Calibri" w:cs="Calibri"/>
          <w:i/>
          <w:sz w:val="22"/>
          <w:szCs w:val="22"/>
          <w:lang w:val="en-US"/>
        </w:rPr>
        <w:t>Fos, Jun, Egr1</w:t>
      </w:r>
      <w:r w:rsidRPr="00F134BD">
        <w:rPr>
          <w:rFonts w:ascii="Calibri" w:hAnsi="Calibri" w:cs="Calibri"/>
          <w:sz w:val="22"/>
          <w:szCs w:val="22"/>
          <w:lang w:val="en-US"/>
        </w:rPr>
        <w:t xml:space="preserve"> and </w:t>
      </w:r>
      <w:r w:rsidRPr="00F134BD">
        <w:rPr>
          <w:rFonts w:ascii="Calibri" w:hAnsi="Calibri" w:cs="Calibri"/>
          <w:i/>
          <w:sz w:val="22"/>
          <w:szCs w:val="22"/>
          <w:lang w:val="en-US"/>
        </w:rPr>
        <w:t>Nr4a1</w:t>
      </w:r>
      <w:r w:rsidRPr="00F134BD">
        <w:rPr>
          <w:rFonts w:ascii="Calibri" w:hAnsi="Calibri" w:cs="Calibri"/>
          <w:sz w:val="22"/>
          <w:szCs w:val="22"/>
          <w:lang w:val="en-US"/>
        </w:rPr>
        <w:t xml:space="preserve">. None of them were significantly differently expressed between vehicle groups or treatment effects in each sex. </w:t>
      </w:r>
      <w:r w:rsidRPr="00F134BD">
        <w:rPr>
          <w:rFonts w:ascii="Calibri" w:hAnsi="Calibri" w:cs="Calibri"/>
          <w:color w:val="0F4761" w:themeColor="accent1" w:themeShade="BF"/>
          <w:sz w:val="22"/>
          <w:szCs w:val="22"/>
          <w:lang w:val="en-GB"/>
        </w:rPr>
        <w:t xml:space="preserve">Supplementary Table S13, sheet </w:t>
      </w:r>
      <w:proofErr w:type="spellStart"/>
      <w:r w:rsidRPr="00F134BD">
        <w:rPr>
          <w:rFonts w:ascii="Calibri" w:hAnsi="Calibri" w:cs="Calibri"/>
          <w:color w:val="0F4761" w:themeColor="accent1" w:themeShade="BF"/>
          <w:sz w:val="22"/>
          <w:szCs w:val="22"/>
          <w:lang w:val="en-GB"/>
        </w:rPr>
        <w:t>TPM_immediate_early_genes</w:t>
      </w:r>
      <w:proofErr w:type="spellEnd"/>
      <w:r w:rsidRPr="00F134BD">
        <w:rPr>
          <w:rFonts w:ascii="Calibri" w:hAnsi="Calibri" w:cs="Calibri"/>
          <w:sz w:val="22"/>
          <w:szCs w:val="22"/>
          <w:lang w:val="en-GB"/>
        </w:rPr>
        <w:t xml:space="preserve">. </w:t>
      </w:r>
    </w:p>
    <w:p w14:paraId="04AC4416" w14:textId="77777777" w:rsidR="00AD773F" w:rsidRPr="00F134BD" w:rsidRDefault="00AD773F" w:rsidP="66D474A8">
      <w:pPr>
        <w:pStyle w:val="Default"/>
        <w:spacing w:line="480" w:lineRule="auto"/>
        <w:jc w:val="both"/>
        <w:rPr>
          <w:rFonts w:ascii="Calibri" w:hAnsi="Calibri" w:cs="Calibri"/>
          <w:sz w:val="22"/>
          <w:szCs w:val="22"/>
          <w:lang w:val="en-GB"/>
        </w:rPr>
      </w:pPr>
    </w:p>
    <w:p w14:paraId="5FBCA634" w14:textId="77777777" w:rsidR="00AD773F" w:rsidRPr="00F134BD" w:rsidRDefault="00AD773F" w:rsidP="00844BB3">
      <w:pPr>
        <w:autoSpaceDE w:val="0"/>
        <w:autoSpaceDN w:val="0"/>
        <w:adjustRightInd w:val="0"/>
        <w:spacing w:after="0" w:line="480" w:lineRule="auto"/>
        <w:jc w:val="both"/>
        <w:rPr>
          <w:rFonts w:ascii="Calibri" w:eastAsia="Calibri" w:hAnsi="Calibri" w:cs="Calibri"/>
          <w:b/>
          <w:bCs/>
          <w:color w:val="000000"/>
          <w:lang w:val="en-GB"/>
        </w:rPr>
      </w:pPr>
      <w:r w:rsidRPr="00F134BD">
        <w:rPr>
          <w:rFonts w:ascii="Calibri" w:eastAsia="Calibri" w:hAnsi="Calibri" w:cs="Calibri"/>
          <w:b/>
          <w:bCs/>
          <w:color w:val="000000"/>
          <w:lang w:val="en-GB"/>
        </w:rPr>
        <w:t xml:space="preserve">Quantitative Real-Time PCR analysis </w:t>
      </w:r>
    </w:p>
    <w:p w14:paraId="63410B28" w14:textId="77777777" w:rsidR="00AD773F" w:rsidRPr="00F134BD" w:rsidRDefault="00AD773F" w:rsidP="00C144DC">
      <w:pPr>
        <w:spacing w:after="0" w:line="480" w:lineRule="auto"/>
        <w:jc w:val="both"/>
        <w:rPr>
          <w:rFonts w:ascii="Calibri" w:eastAsia="Times New Roman" w:hAnsi="Calibri" w:cs="Calibri"/>
          <w:color w:val="000000"/>
          <w:lang w:val="en-US"/>
        </w:rPr>
      </w:pPr>
      <w:r w:rsidRPr="00F134BD">
        <w:rPr>
          <w:rFonts w:ascii="Calibri" w:eastAsia="Times New Roman" w:hAnsi="Calibri" w:cs="Calibri"/>
          <w:color w:val="000000"/>
          <w:lang w:val="en-US"/>
        </w:rPr>
        <w:t xml:space="preserve">1µg of total RNA was </w:t>
      </w:r>
      <w:proofErr w:type="gramStart"/>
      <w:r w:rsidRPr="00F134BD">
        <w:rPr>
          <w:rFonts w:ascii="Calibri" w:eastAsia="Times New Roman" w:hAnsi="Calibri" w:cs="Calibri"/>
          <w:color w:val="000000"/>
          <w:lang w:val="en-US"/>
        </w:rPr>
        <w:t>reverse-transcribed</w:t>
      </w:r>
      <w:proofErr w:type="gramEnd"/>
      <w:r w:rsidRPr="00F134BD">
        <w:rPr>
          <w:rFonts w:ascii="Calibri" w:eastAsia="Times New Roman" w:hAnsi="Calibri" w:cs="Calibri"/>
          <w:color w:val="000000"/>
          <w:lang w:val="en-US"/>
        </w:rPr>
        <w:t xml:space="preserve"> to cDNA by M </w:t>
      </w:r>
      <w:proofErr w:type="spellStart"/>
      <w:r w:rsidRPr="00F134BD">
        <w:rPr>
          <w:rFonts w:ascii="Calibri" w:eastAsia="Times New Roman" w:hAnsi="Calibri" w:cs="Calibri"/>
          <w:color w:val="000000"/>
          <w:lang w:val="en-US"/>
        </w:rPr>
        <w:t>MuLV</w:t>
      </w:r>
      <w:proofErr w:type="spellEnd"/>
      <w:r w:rsidRPr="00F134BD">
        <w:rPr>
          <w:rFonts w:ascii="Calibri" w:eastAsia="Times New Roman" w:hAnsi="Calibri" w:cs="Calibri"/>
          <w:color w:val="000000"/>
          <w:lang w:val="en-US"/>
        </w:rPr>
        <w:t xml:space="preserve"> Reverse Transcriptase (</w:t>
      </w:r>
      <w:proofErr w:type="spellStart"/>
      <w:r w:rsidRPr="00F134BD">
        <w:rPr>
          <w:rFonts w:ascii="Calibri" w:eastAsia="Times New Roman" w:hAnsi="Calibri" w:cs="Calibri"/>
          <w:color w:val="000000"/>
          <w:lang w:val="en-US"/>
        </w:rPr>
        <w:t>Thermo</w:t>
      </w:r>
      <w:proofErr w:type="spellEnd"/>
      <w:r w:rsidRPr="00F134BD">
        <w:rPr>
          <w:rFonts w:ascii="Calibri" w:eastAsia="Times New Roman" w:hAnsi="Calibri" w:cs="Calibri"/>
          <w:color w:val="000000"/>
          <w:lang w:val="en-US"/>
        </w:rPr>
        <w:t xml:space="preserve"> fisher science, Germany) using Oligo dT primer, according to the manufactures recommendation.</w:t>
      </w:r>
    </w:p>
    <w:p w14:paraId="5155D772" w14:textId="77777777" w:rsidR="00AD773F" w:rsidRPr="00F134BD" w:rsidRDefault="00AD773F" w:rsidP="000873A1">
      <w:pPr>
        <w:autoSpaceDE w:val="0"/>
        <w:autoSpaceDN w:val="0"/>
        <w:adjustRightInd w:val="0"/>
        <w:spacing w:after="0" w:line="480" w:lineRule="auto"/>
        <w:jc w:val="both"/>
        <w:rPr>
          <w:rFonts w:ascii="Calibri" w:eastAsia="Calibri" w:hAnsi="Calibri" w:cs="Calibri"/>
          <w:color w:val="000000" w:themeColor="text1"/>
          <w:lang w:val="en-GB"/>
        </w:rPr>
      </w:pPr>
      <w:r w:rsidRPr="00F134BD">
        <w:rPr>
          <w:rFonts w:ascii="Calibri" w:eastAsia="Calibri" w:hAnsi="Calibri" w:cs="Calibri"/>
          <w:color w:val="000000" w:themeColor="text1"/>
          <w:lang w:val="en-GB"/>
        </w:rPr>
        <w:t xml:space="preserve">Specific oligonucleotide primers for </w:t>
      </w:r>
      <w:r w:rsidRPr="00F134BD">
        <w:rPr>
          <w:rFonts w:ascii="Calibri" w:eastAsia="Calibri" w:hAnsi="Calibri" w:cs="Calibri"/>
          <w:i/>
          <w:color w:val="000000" w:themeColor="text1"/>
          <w:lang w:val="en-GB"/>
        </w:rPr>
        <w:t>Slc6a6, Tjp1</w:t>
      </w:r>
      <w:r w:rsidRPr="00F134BD">
        <w:rPr>
          <w:rFonts w:ascii="Calibri" w:eastAsia="Calibri" w:hAnsi="Calibri" w:cs="Calibri"/>
          <w:color w:val="000000" w:themeColor="text1"/>
          <w:lang w:val="en-GB"/>
        </w:rPr>
        <w:t xml:space="preserve">, </w:t>
      </w:r>
      <w:r w:rsidRPr="00F134BD">
        <w:rPr>
          <w:rFonts w:ascii="Calibri" w:eastAsia="Calibri" w:hAnsi="Calibri" w:cs="Calibri"/>
          <w:i/>
          <w:color w:val="000000" w:themeColor="text1"/>
          <w:lang w:val="en-GB"/>
        </w:rPr>
        <w:t>Daam2</w:t>
      </w:r>
      <w:r w:rsidRPr="00F134BD">
        <w:rPr>
          <w:rFonts w:ascii="Calibri" w:eastAsia="Calibri" w:hAnsi="Calibri" w:cs="Calibri"/>
          <w:color w:val="000000" w:themeColor="text1"/>
          <w:lang w:val="en-GB"/>
        </w:rPr>
        <w:t xml:space="preserve">, </w:t>
      </w:r>
      <w:proofErr w:type="spellStart"/>
      <w:r w:rsidRPr="00F134BD">
        <w:rPr>
          <w:rFonts w:ascii="Calibri" w:eastAsia="Calibri" w:hAnsi="Calibri" w:cs="Calibri"/>
          <w:i/>
          <w:color w:val="000000" w:themeColor="text1"/>
          <w:lang w:val="en-GB"/>
        </w:rPr>
        <w:t>Ctsl</w:t>
      </w:r>
      <w:proofErr w:type="spellEnd"/>
      <w:r w:rsidRPr="00F134BD">
        <w:rPr>
          <w:rFonts w:ascii="Calibri" w:eastAsia="Calibri" w:hAnsi="Calibri" w:cs="Calibri"/>
          <w:color w:val="000000" w:themeColor="text1"/>
          <w:lang w:val="en-GB"/>
        </w:rPr>
        <w:t xml:space="preserve">, </w:t>
      </w:r>
      <w:r w:rsidRPr="00F134BD">
        <w:rPr>
          <w:rFonts w:ascii="Calibri" w:eastAsia="Calibri" w:hAnsi="Calibri" w:cs="Calibri"/>
          <w:i/>
          <w:color w:val="000000" w:themeColor="text1"/>
          <w:lang w:val="en-GB"/>
        </w:rPr>
        <w:t>Arhgap32</w:t>
      </w:r>
      <w:r w:rsidRPr="00F134BD">
        <w:rPr>
          <w:rFonts w:ascii="Calibri" w:eastAsia="Calibri" w:hAnsi="Calibri" w:cs="Calibri"/>
          <w:color w:val="000000" w:themeColor="text1"/>
          <w:lang w:val="en-GB"/>
        </w:rPr>
        <w:t xml:space="preserve">, </w:t>
      </w:r>
      <w:r w:rsidRPr="00F134BD">
        <w:rPr>
          <w:rFonts w:ascii="Calibri" w:eastAsia="Calibri" w:hAnsi="Calibri" w:cs="Calibri"/>
          <w:i/>
          <w:color w:val="000000" w:themeColor="text1"/>
          <w:lang w:val="en-GB"/>
        </w:rPr>
        <w:t>Cox7a2</w:t>
      </w:r>
      <w:r w:rsidRPr="00F134BD">
        <w:rPr>
          <w:rFonts w:ascii="Calibri" w:eastAsia="Calibri" w:hAnsi="Calibri" w:cs="Calibri"/>
          <w:color w:val="000000" w:themeColor="text1"/>
          <w:lang w:val="en-GB"/>
        </w:rPr>
        <w:t xml:space="preserve"> and  </w:t>
      </w:r>
      <w:r w:rsidRPr="00F134BD">
        <w:rPr>
          <w:rFonts w:ascii="Calibri" w:eastAsia="Calibri" w:hAnsi="Calibri" w:cs="Calibri"/>
          <w:i/>
          <w:color w:val="000000" w:themeColor="text1"/>
          <w:lang w:val="en-GB"/>
        </w:rPr>
        <w:t>Rpl13</w:t>
      </w:r>
      <w:r w:rsidRPr="00F134BD">
        <w:rPr>
          <w:rFonts w:ascii="Calibri" w:eastAsia="Calibri" w:hAnsi="Calibri" w:cs="Calibri"/>
          <w:color w:val="000000" w:themeColor="text1"/>
          <w:lang w:val="en-GB"/>
        </w:rPr>
        <w:t xml:space="preserve"> were designed using the database of the National </w:t>
      </w:r>
      <w:proofErr w:type="spellStart"/>
      <w:r w:rsidRPr="00F134BD">
        <w:rPr>
          <w:rFonts w:ascii="Calibri" w:eastAsia="Calibri" w:hAnsi="Calibri" w:cs="Calibri"/>
          <w:color w:val="000000" w:themeColor="text1"/>
          <w:lang w:val="en-GB"/>
        </w:rPr>
        <w:t>Center</w:t>
      </w:r>
      <w:proofErr w:type="spellEnd"/>
      <w:r w:rsidRPr="00F134BD">
        <w:rPr>
          <w:rFonts w:ascii="Calibri" w:eastAsia="Calibri" w:hAnsi="Calibri" w:cs="Calibri"/>
          <w:color w:val="000000" w:themeColor="text1"/>
          <w:lang w:val="en-GB"/>
        </w:rPr>
        <w:t xml:space="preserve"> for Biotechnology Information (NCBI) (see table below) and the quantitative real time PCR was conducted on a ABI® 7500 Fast Real Time PCR system (Applied Biosystems, Foster City, CA, USA) using SYBER GREEN (</w:t>
      </w:r>
      <w:proofErr w:type="spellStart"/>
      <w:r w:rsidRPr="00F134BD">
        <w:rPr>
          <w:rFonts w:ascii="Calibri" w:hAnsi="Calibri" w:cs="Calibri"/>
          <w:lang w:val="en-US"/>
        </w:rPr>
        <w:t>Thermo</w:t>
      </w:r>
      <w:proofErr w:type="spellEnd"/>
      <w:r w:rsidRPr="00F134BD">
        <w:rPr>
          <w:rFonts w:ascii="Calibri" w:hAnsi="Calibri" w:cs="Calibri"/>
          <w:lang w:val="en-US"/>
        </w:rPr>
        <w:t xml:space="preserve"> fisher science, Germany</w:t>
      </w:r>
      <w:r w:rsidRPr="00F134BD">
        <w:rPr>
          <w:rFonts w:ascii="Calibri" w:eastAsia="Calibri" w:hAnsi="Calibri" w:cs="Calibri"/>
          <w:color w:val="000000" w:themeColor="text1"/>
          <w:lang w:val="en-GB"/>
        </w:rPr>
        <w:t xml:space="preserve">)Each amplification reaction was performed in duplicates and relative mRNA expression levels were normalized to </w:t>
      </w:r>
      <w:proofErr w:type="spellStart"/>
      <w:r w:rsidRPr="00F134BD">
        <w:rPr>
          <w:rFonts w:ascii="Calibri" w:eastAsia="Calibri" w:hAnsi="Calibri" w:cs="Calibri"/>
          <w:i/>
          <w:color w:val="000000" w:themeColor="text1"/>
          <w:lang w:val="en-GB"/>
        </w:rPr>
        <w:t>Hdgf</w:t>
      </w:r>
      <w:proofErr w:type="spellEnd"/>
      <w:r w:rsidRPr="00F134BD">
        <w:rPr>
          <w:rFonts w:ascii="Calibri" w:eastAsia="Calibri" w:hAnsi="Calibri" w:cs="Calibri"/>
          <w:i/>
          <w:color w:val="000000" w:themeColor="text1"/>
          <w:lang w:val="en-GB"/>
        </w:rPr>
        <w:t xml:space="preserve"> </w:t>
      </w:r>
      <w:r w:rsidRPr="00F134BD">
        <w:rPr>
          <w:rFonts w:ascii="Calibri" w:eastAsia="Calibri" w:hAnsi="Calibri" w:cs="Calibri"/>
          <w:color w:val="000000" w:themeColor="text1"/>
          <w:lang w:val="en-GB"/>
        </w:rPr>
        <w:t xml:space="preserve">and </w:t>
      </w:r>
      <w:proofErr w:type="spellStart"/>
      <w:r w:rsidRPr="00F134BD">
        <w:rPr>
          <w:rFonts w:ascii="Calibri" w:eastAsia="Calibri" w:hAnsi="Calibri" w:cs="Calibri"/>
          <w:i/>
          <w:color w:val="000000" w:themeColor="text1"/>
          <w:lang w:val="en-GB"/>
        </w:rPr>
        <w:t>Ywazh</w:t>
      </w:r>
      <w:proofErr w:type="spellEnd"/>
      <w:r w:rsidRPr="00F134BD">
        <w:rPr>
          <w:rFonts w:ascii="Calibri" w:eastAsia="Calibri" w:hAnsi="Calibri" w:cs="Calibri"/>
          <w:color w:val="000000" w:themeColor="text1"/>
          <w:lang w:val="en-GB"/>
        </w:rPr>
        <w:t xml:space="preserve">. The primer sequences were synthesized by </w:t>
      </w:r>
      <w:proofErr w:type="spellStart"/>
      <w:r w:rsidRPr="00F134BD">
        <w:rPr>
          <w:rFonts w:ascii="Calibri" w:eastAsia="Calibri" w:hAnsi="Calibri" w:cs="Calibri"/>
          <w:color w:val="000000" w:themeColor="text1"/>
          <w:lang w:val="en-GB"/>
        </w:rPr>
        <w:t>Biolegio</w:t>
      </w:r>
      <w:proofErr w:type="spellEnd"/>
      <w:r w:rsidRPr="00F134BD">
        <w:rPr>
          <w:rFonts w:ascii="Calibri" w:eastAsia="Calibri" w:hAnsi="Calibri" w:cs="Calibri"/>
          <w:color w:val="000000" w:themeColor="text1"/>
          <w:lang w:val="en-GB"/>
        </w:rPr>
        <w:t xml:space="preserve">, Netherlands at a concentration of 100 </w:t>
      </w:r>
      <w:proofErr w:type="spellStart"/>
      <w:r w:rsidRPr="00F134BD">
        <w:rPr>
          <w:rFonts w:ascii="Calibri" w:eastAsia="Calibri" w:hAnsi="Calibri" w:cs="Calibri"/>
          <w:color w:val="000000" w:themeColor="text1"/>
          <w:lang w:val="en-GB"/>
        </w:rPr>
        <w:t>μM</w:t>
      </w:r>
      <w:proofErr w:type="spellEnd"/>
      <w:r w:rsidRPr="00F134BD">
        <w:rPr>
          <w:rFonts w:ascii="Calibri" w:eastAsia="Calibri" w:hAnsi="Calibri" w:cs="Calibri"/>
          <w:color w:val="000000" w:themeColor="text1"/>
          <w:lang w:val="en-GB"/>
        </w:rPr>
        <w:t xml:space="preserve"> and were diluted to 10 </w:t>
      </w:r>
      <w:proofErr w:type="spellStart"/>
      <w:r w:rsidRPr="00F134BD">
        <w:rPr>
          <w:rFonts w:ascii="Calibri" w:eastAsia="Calibri" w:hAnsi="Calibri" w:cs="Calibri"/>
          <w:color w:val="000000" w:themeColor="text1"/>
          <w:lang w:val="en-GB"/>
        </w:rPr>
        <w:t>μM</w:t>
      </w:r>
      <w:proofErr w:type="spellEnd"/>
      <w:r w:rsidRPr="00F134BD">
        <w:rPr>
          <w:rFonts w:ascii="Calibri" w:eastAsia="Calibri" w:hAnsi="Calibri" w:cs="Calibri"/>
          <w:color w:val="000000" w:themeColor="text1"/>
          <w:lang w:val="en-GB"/>
        </w:rPr>
        <w:t xml:space="preserve"> in ultra-pure water. </w:t>
      </w:r>
    </w:p>
    <w:p w14:paraId="0B63335C" w14:textId="77777777" w:rsidR="00AD773F" w:rsidRDefault="00AD773F" w:rsidP="00844BB3">
      <w:pPr>
        <w:autoSpaceDE w:val="0"/>
        <w:autoSpaceDN w:val="0"/>
        <w:adjustRightInd w:val="0"/>
        <w:spacing w:after="0" w:line="480" w:lineRule="auto"/>
        <w:jc w:val="both"/>
        <w:rPr>
          <w:rFonts w:ascii="Calibri" w:eastAsia="Calibri" w:hAnsi="Calibri" w:cs="Calibri"/>
          <w:color w:val="000000"/>
          <w:lang w:val="en-GB"/>
        </w:rPr>
      </w:pPr>
    </w:p>
    <w:p w14:paraId="566AE4D2" w14:textId="77777777" w:rsidR="00CE0FAA" w:rsidRDefault="00CE0FAA" w:rsidP="00844BB3">
      <w:pPr>
        <w:autoSpaceDE w:val="0"/>
        <w:autoSpaceDN w:val="0"/>
        <w:adjustRightInd w:val="0"/>
        <w:spacing w:after="0" w:line="480" w:lineRule="auto"/>
        <w:jc w:val="both"/>
        <w:rPr>
          <w:rFonts w:ascii="Calibri" w:eastAsia="Calibri" w:hAnsi="Calibri" w:cs="Calibri"/>
          <w:color w:val="000000"/>
          <w:lang w:val="en-GB"/>
        </w:rPr>
      </w:pPr>
    </w:p>
    <w:p w14:paraId="72AEEE0C" w14:textId="77777777" w:rsidR="00CE0FAA" w:rsidRDefault="00CE0FAA" w:rsidP="00844BB3">
      <w:pPr>
        <w:autoSpaceDE w:val="0"/>
        <w:autoSpaceDN w:val="0"/>
        <w:adjustRightInd w:val="0"/>
        <w:spacing w:after="0" w:line="480" w:lineRule="auto"/>
        <w:jc w:val="both"/>
        <w:rPr>
          <w:rFonts w:ascii="Calibri" w:eastAsia="Calibri" w:hAnsi="Calibri" w:cs="Calibri"/>
          <w:color w:val="000000"/>
          <w:lang w:val="en-GB"/>
        </w:rPr>
      </w:pPr>
    </w:p>
    <w:p w14:paraId="62FF1579" w14:textId="77777777" w:rsidR="00CE0FAA" w:rsidRDefault="00CE0FAA" w:rsidP="00844BB3">
      <w:pPr>
        <w:autoSpaceDE w:val="0"/>
        <w:autoSpaceDN w:val="0"/>
        <w:adjustRightInd w:val="0"/>
        <w:spacing w:after="0" w:line="480" w:lineRule="auto"/>
        <w:jc w:val="both"/>
        <w:rPr>
          <w:rFonts w:ascii="Calibri" w:eastAsia="Calibri" w:hAnsi="Calibri" w:cs="Calibri"/>
          <w:color w:val="000000"/>
          <w:lang w:val="en-GB"/>
        </w:rPr>
      </w:pPr>
    </w:p>
    <w:p w14:paraId="46E72ABD" w14:textId="77777777" w:rsidR="00CE0FAA" w:rsidRPr="00F134BD" w:rsidRDefault="00CE0FAA" w:rsidP="00844BB3">
      <w:pPr>
        <w:autoSpaceDE w:val="0"/>
        <w:autoSpaceDN w:val="0"/>
        <w:adjustRightInd w:val="0"/>
        <w:spacing w:after="0" w:line="480" w:lineRule="auto"/>
        <w:jc w:val="both"/>
        <w:rPr>
          <w:rFonts w:ascii="Calibri" w:eastAsia="Calibri" w:hAnsi="Calibri" w:cs="Calibri"/>
          <w:color w:val="000000"/>
          <w:lang w:val="en-GB"/>
        </w:rPr>
      </w:pPr>
    </w:p>
    <w:p w14:paraId="77B5F8A8" w14:textId="77777777" w:rsidR="00AD773F" w:rsidRPr="00F134BD" w:rsidRDefault="00AD773F" w:rsidP="00844BB3">
      <w:pPr>
        <w:pStyle w:val="Default"/>
        <w:spacing w:line="480" w:lineRule="auto"/>
        <w:jc w:val="both"/>
        <w:rPr>
          <w:rFonts w:ascii="Calibri" w:hAnsi="Calibri" w:cs="Calibri"/>
          <w:color w:val="000000" w:themeColor="text1"/>
          <w:sz w:val="22"/>
          <w:szCs w:val="22"/>
          <w:lang w:val="en-GB"/>
        </w:rPr>
      </w:pPr>
      <w:r w:rsidRPr="00F134BD">
        <w:rPr>
          <w:rFonts w:ascii="Calibri" w:hAnsi="Calibri" w:cs="Calibri"/>
          <w:color w:val="000000" w:themeColor="text1"/>
          <w:sz w:val="22"/>
          <w:szCs w:val="22"/>
          <w:lang w:val="en-GB"/>
        </w:rPr>
        <w:lastRenderedPageBreak/>
        <w:t>The following primers were used for qPCR:</w:t>
      </w:r>
    </w:p>
    <w:tbl>
      <w:tblPr>
        <w:tblStyle w:val="Gitternetztabelle2"/>
        <w:tblW w:w="8510" w:type="dxa"/>
        <w:tblLook w:val="04A0" w:firstRow="1" w:lastRow="0" w:firstColumn="1" w:lastColumn="0" w:noHBand="0" w:noVBand="1"/>
      </w:tblPr>
      <w:tblGrid>
        <w:gridCol w:w="1485"/>
        <w:gridCol w:w="3395"/>
        <w:gridCol w:w="3630"/>
      </w:tblGrid>
      <w:tr w:rsidR="00AD773F" w:rsidRPr="00F134BD" w14:paraId="3500D646" w14:textId="77777777" w:rsidTr="003F0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5" w:type="dxa"/>
            <w:hideMark/>
          </w:tcPr>
          <w:p w14:paraId="1B1133A1" w14:textId="77777777" w:rsidR="00AD773F" w:rsidRPr="00F134BD" w:rsidRDefault="00AD773F" w:rsidP="00701642">
            <w:pPr>
              <w:spacing w:before="100" w:beforeAutospacing="1" w:after="100" w:afterAutospacing="1" w:line="480" w:lineRule="auto"/>
              <w:rPr>
                <w:rFonts w:ascii="Calibri" w:hAnsi="Calibri" w:cs="Calibri"/>
              </w:rPr>
            </w:pPr>
            <w:r w:rsidRPr="00F134BD">
              <w:rPr>
                <w:rFonts w:ascii="Calibri" w:hAnsi="Calibri" w:cs="Calibri"/>
              </w:rPr>
              <w:t>Sequences Gene</w:t>
            </w:r>
          </w:p>
        </w:tc>
        <w:tc>
          <w:tcPr>
            <w:tcW w:w="3395" w:type="dxa"/>
            <w:hideMark/>
          </w:tcPr>
          <w:p w14:paraId="7DF65EDB" w14:textId="77777777" w:rsidR="00AD773F" w:rsidRPr="00F134BD" w:rsidRDefault="00AD773F" w:rsidP="00701642">
            <w:pPr>
              <w:spacing w:before="100" w:beforeAutospacing="1" w:after="100" w:afterAutospacing="1" w:line="480" w:lineRule="auto"/>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134BD">
              <w:rPr>
                <w:rFonts w:ascii="Calibri" w:hAnsi="Calibri" w:cs="Calibri"/>
              </w:rPr>
              <w:t xml:space="preserve">Forward primer </w:t>
            </w:r>
            <w:r w:rsidRPr="00F134BD">
              <w:rPr>
                <w:rFonts w:ascii="Calibri" w:hAnsi="Calibri" w:cs="Calibri"/>
                <w:b w:val="0"/>
                <w:bCs w:val="0"/>
              </w:rPr>
              <w:t>( 5’ 3’ )</w:t>
            </w:r>
          </w:p>
        </w:tc>
        <w:tc>
          <w:tcPr>
            <w:tcW w:w="3630" w:type="dxa"/>
            <w:hideMark/>
          </w:tcPr>
          <w:p w14:paraId="6FA200AD" w14:textId="77777777" w:rsidR="00AD773F" w:rsidRPr="00F134BD" w:rsidRDefault="00AD773F" w:rsidP="00701642">
            <w:pPr>
              <w:spacing w:before="100" w:beforeAutospacing="1" w:after="100" w:afterAutospacing="1" w:line="480" w:lineRule="auto"/>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134BD">
              <w:rPr>
                <w:rFonts w:ascii="Calibri" w:hAnsi="Calibri" w:cs="Calibri"/>
              </w:rPr>
              <w:t xml:space="preserve">Reverse primer </w:t>
            </w:r>
            <w:r w:rsidRPr="00F134BD">
              <w:rPr>
                <w:rFonts w:ascii="Calibri" w:hAnsi="Calibri" w:cs="Calibri"/>
                <w:b w:val="0"/>
                <w:bCs w:val="0"/>
              </w:rPr>
              <w:t xml:space="preserve">( 5’ 3’ )  </w:t>
            </w:r>
          </w:p>
        </w:tc>
      </w:tr>
      <w:tr w:rsidR="00AD773F" w:rsidRPr="00F134BD" w14:paraId="49E86115" w14:textId="77777777" w:rsidTr="003F0A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5" w:type="dxa"/>
          </w:tcPr>
          <w:p w14:paraId="7C2904C8" w14:textId="77777777" w:rsidR="00AD773F" w:rsidRPr="00F134BD" w:rsidRDefault="00AD773F" w:rsidP="00701642">
            <w:pPr>
              <w:spacing w:before="100" w:beforeAutospacing="1" w:after="100" w:afterAutospacing="1" w:line="480" w:lineRule="auto"/>
              <w:rPr>
                <w:rFonts w:ascii="Calibri" w:hAnsi="Calibri" w:cs="Calibri"/>
                <w:b w:val="0"/>
                <w:i/>
              </w:rPr>
            </w:pPr>
            <w:r w:rsidRPr="00F134BD">
              <w:rPr>
                <w:rFonts w:ascii="Calibri" w:hAnsi="Calibri" w:cs="Calibri"/>
                <w:i/>
              </w:rPr>
              <w:t>Slc6a6</w:t>
            </w:r>
          </w:p>
        </w:tc>
        <w:tc>
          <w:tcPr>
            <w:tcW w:w="3395" w:type="dxa"/>
          </w:tcPr>
          <w:p w14:paraId="4CA96631" w14:textId="77777777" w:rsidR="00AD773F" w:rsidRPr="00F134BD" w:rsidRDefault="00AD773F" w:rsidP="00701642">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AAAATGGTGGAGGTGCGTTC</w:t>
            </w:r>
          </w:p>
        </w:tc>
        <w:tc>
          <w:tcPr>
            <w:tcW w:w="3630" w:type="dxa"/>
          </w:tcPr>
          <w:p w14:paraId="19C23142" w14:textId="77777777" w:rsidR="00AD773F" w:rsidRPr="00F134BD" w:rsidRDefault="00AD773F" w:rsidP="00701642">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ACACAATGACGATGGATGCG</w:t>
            </w:r>
          </w:p>
        </w:tc>
      </w:tr>
      <w:tr w:rsidR="00AD773F" w:rsidRPr="00F134BD" w14:paraId="75B321CB" w14:textId="77777777" w:rsidTr="003F0A4B">
        <w:tc>
          <w:tcPr>
            <w:cnfStyle w:val="001000000000" w:firstRow="0" w:lastRow="0" w:firstColumn="1" w:lastColumn="0" w:oddVBand="0" w:evenVBand="0" w:oddHBand="0" w:evenHBand="0" w:firstRowFirstColumn="0" w:firstRowLastColumn="0" w:lastRowFirstColumn="0" w:lastRowLastColumn="0"/>
            <w:tcW w:w="1485" w:type="dxa"/>
          </w:tcPr>
          <w:p w14:paraId="72E12DA1" w14:textId="77777777" w:rsidR="00AD773F" w:rsidRPr="00F134BD" w:rsidRDefault="00AD773F" w:rsidP="00701642">
            <w:pPr>
              <w:spacing w:before="100" w:beforeAutospacing="1" w:after="100" w:afterAutospacing="1" w:line="480" w:lineRule="auto"/>
              <w:rPr>
                <w:rFonts w:ascii="Calibri" w:hAnsi="Calibri" w:cs="Calibri"/>
                <w:b w:val="0"/>
                <w:i/>
              </w:rPr>
            </w:pPr>
            <w:r w:rsidRPr="00F134BD">
              <w:rPr>
                <w:rFonts w:ascii="Calibri" w:hAnsi="Calibri" w:cs="Calibri"/>
                <w:i/>
              </w:rPr>
              <w:t>Arhgap32</w:t>
            </w:r>
          </w:p>
        </w:tc>
        <w:tc>
          <w:tcPr>
            <w:tcW w:w="3395" w:type="dxa"/>
          </w:tcPr>
          <w:p w14:paraId="43A072DF" w14:textId="77777777" w:rsidR="00AD773F" w:rsidRPr="00F134BD" w:rsidRDefault="00AD773F" w:rsidP="00701642">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TCCGACCTAGAAGACCCAGA</w:t>
            </w:r>
          </w:p>
        </w:tc>
        <w:tc>
          <w:tcPr>
            <w:tcW w:w="3630" w:type="dxa"/>
          </w:tcPr>
          <w:p w14:paraId="7D63B8BD" w14:textId="77777777" w:rsidR="00AD773F" w:rsidRPr="00F134BD" w:rsidRDefault="00AD773F" w:rsidP="00701642">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 xml:space="preserve">AGTCAACATCCTCAGCCGAA </w:t>
            </w:r>
          </w:p>
        </w:tc>
      </w:tr>
      <w:tr w:rsidR="00AD773F" w:rsidRPr="00F134BD" w14:paraId="22D556A5" w14:textId="77777777" w:rsidTr="003F0A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5" w:type="dxa"/>
          </w:tcPr>
          <w:p w14:paraId="742461C1" w14:textId="77777777" w:rsidR="00AD773F" w:rsidRPr="00F134BD" w:rsidRDefault="00AD773F" w:rsidP="00701642">
            <w:pPr>
              <w:spacing w:before="100" w:beforeAutospacing="1" w:after="100" w:afterAutospacing="1" w:line="480" w:lineRule="auto"/>
              <w:rPr>
                <w:rFonts w:ascii="Calibri" w:hAnsi="Calibri" w:cs="Calibri"/>
                <w:b w:val="0"/>
                <w:i/>
              </w:rPr>
            </w:pPr>
            <w:r w:rsidRPr="00F134BD">
              <w:rPr>
                <w:rFonts w:ascii="Calibri" w:hAnsi="Calibri" w:cs="Calibri"/>
                <w:i/>
              </w:rPr>
              <w:t>Tjp1</w:t>
            </w:r>
          </w:p>
        </w:tc>
        <w:tc>
          <w:tcPr>
            <w:tcW w:w="3395" w:type="dxa"/>
          </w:tcPr>
          <w:p w14:paraId="32C71071" w14:textId="77777777" w:rsidR="00AD773F" w:rsidRPr="00F134BD" w:rsidRDefault="00AD773F" w:rsidP="00701642">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CAACAGGTACAGGCCAGAGG</w:t>
            </w:r>
          </w:p>
        </w:tc>
        <w:tc>
          <w:tcPr>
            <w:tcW w:w="3630" w:type="dxa"/>
          </w:tcPr>
          <w:p w14:paraId="19CE851D" w14:textId="77777777" w:rsidR="00AD773F" w:rsidRPr="00F134BD" w:rsidRDefault="00AD773F" w:rsidP="00701642">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CAGAGGAGGGACAACTGCAG</w:t>
            </w:r>
          </w:p>
        </w:tc>
      </w:tr>
      <w:tr w:rsidR="00AD773F" w:rsidRPr="00F134BD" w14:paraId="1F69F0C9" w14:textId="77777777" w:rsidTr="003F0A4B">
        <w:tc>
          <w:tcPr>
            <w:cnfStyle w:val="001000000000" w:firstRow="0" w:lastRow="0" w:firstColumn="1" w:lastColumn="0" w:oddVBand="0" w:evenVBand="0" w:oddHBand="0" w:evenHBand="0" w:firstRowFirstColumn="0" w:firstRowLastColumn="0" w:lastRowFirstColumn="0" w:lastRowLastColumn="0"/>
            <w:tcW w:w="1485" w:type="dxa"/>
          </w:tcPr>
          <w:p w14:paraId="6D69B8C0" w14:textId="77777777" w:rsidR="00AD773F" w:rsidRPr="00F134BD" w:rsidRDefault="00AD773F" w:rsidP="00701642">
            <w:pPr>
              <w:spacing w:before="100" w:beforeAutospacing="1" w:after="100" w:afterAutospacing="1" w:line="480" w:lineRule="auto"/>
              <w:rPr>
                <w:rFonts w:ascii="Calibri" w:hAnsi="Calibri" w:cs="Calibri"/>
                <w:b w:val="0"/>
                <w:bCs w:val="0"/>
                <w:i/>
              </w:rPr>
            </w:pPr>
            <w:r w:rsidRPr="00F134BD">
              <w:rPr>
                <w:rFonts w:ascii="Calibri" w:eastAsia="Times New Roman" w:hAnsi="Calibri" w:cs="Calibri"/>
                <w:i/>
                <w:lang w:eastAsia="de-DE"/>
              </w:rPr>
              <w:t>RPl13</w:t>
            </w:r>
          </w:p>
        </w:tc>
        <w:tc>
          <w:tcPr>
            <w:tcW w:w="3395" w:type="dxa"/>
          </w:tcPr>
          <w:p w14:paraId="0BE1A287" w14:textId="77777777" w:rsidR="00AD773F" w:rsidRPr="00F134BD" w:rsidRDefault="00AD773F" w:rsidP="00701642">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val="en-US"/>
              </w:rPr>
            </w:pPr>
            <w:r w:rsidRPr="00F134BD">
              <w:rPr>
                <w:rFonts w:ascii="Calibri" w:hAnsi="Calibri" w:cs="Calibri"/>
              </w:rPr>
              <w:t>CCCTCCACCCTATGACAAG</w:t>
            </w:r>
          </w:p>
        </w:tc>
        <w:tc>
          <w:tcPr>
            <w:tcW w:w="3630" w:type="dxa"/>
          </w:tcPr>
          <w:p w14:paraId="6A24C36C" w14:textId="77777777" w:rsidR="00AD773F" w:rsidRPr="00F134BD" w:rsidRDefault="00AD773F" w:rsidP="00701642">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val="en-US"/>
              </w:rPr>
            </w:pPr>
            <w:r w:rsidRPr="00F134BD">
              <w:rPr>
                <w:rFonts w:ascii="Calibri" w:hAnsi="Calibri" w:cs="Calibri"/>
              </w:rPr>
              <w:t>TTCTCCTCCAGAGTGGCTGT</w:t>
            </w:r>
          </w:p>
        </w:tc>
      </w:tr>
      <w:tr w:rsidR="00AD773F" w:rsidRPr="00F134BD" w14:paraId="78E77E7E" w14:textId="77777777" w:rsidTr="003F0A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5" w:type="dxa"/>
          </w:tcPr>
          <w:p w14:paraId="3E470DBC" w14:textId="77777777" w:rsidR="00AD773F" w:rsidRPr="00F134BD" w:rsidRDefault="00AD773F" w:rsidP="00701642">
            <w:pPr>
              <w:spacing w:before="100" w:beforeAutospacing="1" w:after="100" w:afterAutospacing="1" w:line="480" w:lineRule="auto"/>
              <w:rPr>
                <w:rFonts w:ascii="Calibri" w:hAnsi="Calibri" w:cs="Calibri"/>
                <w:b w:val="0"/>
                <w:bCs w:val="0"/>
                <w:i/>
              </w:rPr>
            </w:pPr>
            <w:r w:rsidRPr="00F134BD">
              <w:rPr>
                <w:rFonts w:ascii="Calibri" w:hAnsi="Calibri" w:cs="Calibri"/>
                <w:i/>
              </w:rPr>
              <w:t>Cox7a2</w:t>
            </w:r>
          </w:p>
        </w:tc>
        <w:tc>
          <w:tcPr>
            <w:tcW w:w="3395" w:type="dxa"/>
          </w:tcPr>
          <w:p w14:paraId="46E6C069" w14:textId="77777777" w:rsidR="00AD773F" w:rsidRPr="00F134BD" w:rsidRDefault="00AD773F" w:rsidP="00701642">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GACCATCAGCACCACTTCAC</w:t>
            </w:r>
          </w:p>
        </w:tc>
        <w:tc>
          <w:tcPr>
            <w:tcW w:w="3630" w:type="dxa"/>
          </w:tcPr>
          <w:p w14:paraId="1D705131" w14:textId="77777777" w:rsidR="00AD773F" w:rsidRPr="00F134BD" w:rsidRDefault="00AD773F" w:rsidP="00701642">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CTTCTTGGGAAATGCAGCCA</w:t>
            </w:r>
          </w:p>
        </w:tc>
      </w:tr>
      <w:tr w:rsidR="00AD773F" w:rsidRPr="00F134BD" w14:paraId="5F7E4F2E" w14:textId="77777777" w:rsidTr="003F0A4B">
        <w:tc>
          <w:tcPr>
            <w:cnfStyle w:val="001000000000" w:firstRow="0" w:lastRow="0" w:firstColumn="1" w:lastColumn="0" w:oddVBand="0" w:evenVBand="0" w:oddHBand="0" w:evenHBand="0" w:firstRowFirstColumn="0" w:firstRowLastColumn="0" w:lastRowFirstColumn="0" w:lastRowLastColumn="0"/>
            <w:tcW w:w="1485" w:type="dxa"/>
          </w:tcPr>
          <w:p w14:paraId="63ECA2BB" w14:textId="77777777" w:rsidR="00AD773F" w:rsidRPr="00F134BD" w:rsidRDefault="00AD773F" w:rsidP="00701642">
            <w:pPr>
              <w:spacing w:before="100" w:beforeAutospacing="1" w:after="100" w:afterAutospacing="1" w:line="480" w:lineRule="auto"/>
              <w:rPr>
                <w:rFonts w:ascii="Calibri" w:hAnsi="Calibri" w:cs="Calibri"/>
                <w:b w:val="0"/>
                <w:bCs w:val="0"/>
                <w:i/>
              </w:rPr>
            </w:pPr>
            <w:r w:rsidRPr="00F134BD">
              <w:rPr>
                <w:rFonts w:ascii="Calibri" w:hAnsi="Calibri" w:cs="Calibri"/>
                <w:i/>
              </w:rPr>
              <w:t>Ctsl</w:t>
            </w:r>
          </w:p>
        </w:tc>
        <w:tc>
          <w:tcPr>
            <w:tcW w:w="3395" w:type="dxa"/>
          </w:tcPr>
          <w:p w14:paraId="082BBCA0" w14:textId="77777777" w:rsidR="00AD773F" w:rsidRPr="00F134BD" w:rsidRDefault="00AD773F" w:rsidP="00701642">
            <w:pPr>
              <w:spacing w:before="100" w:beforeAutospacing="1" w:after="100" w:afterAutospacing="1"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134BD">
              <w:rPr>
                <w:rFonts w:ascii="Calibri" w:hAnsi="Calibri" w:cs="Calibri"/>
                <w:color w:val="000000"/>
              </w:rPr>
              <w:t>TGTAGCAGCAAGAACCTCGA</w:t>
            </w:r>
          </w:p>
        </w:tc>
        <w:tc>
          <w:tcPr>
            <w:tcW w:w="3630" w:type="dxa"/>
          </w:tcPr>
          <w:p w14:paraId="10EFEDB1" w14:textId="77777777" w:rsidR="00AD773F" w:rsidRPr="00F134BD" w:rsidRDefault="00AD773F" w:rsidP="00701642">
            <w:pPr>
              <w:spacing w:before="100" w:beforeAutospacing="1" w:after="100" w:afterAutospacing="1"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134BD">
              <w:rPr>
                <w:rFonts w:ascii="Calibri" w:hAnsi="Calibri" w:cs="Calibri"/>
                <w:color w:val="000000"/>
              </w:rPr>
              <w:t>TGTCCCGGTCTTTGGCTATT</w:t>
            </w:r>
          </w:p>
        </w:tc>
      </w:tr>
      <w:tr w:rsidR="00AD773F" w:rsidRPr="00F134BD" w14:paraId="0FFB9274" w14:textId="77777777" w:rsidTr="003F0A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5" w:type="dxa"/>
          </w:tcPr>
          <w:p w14:paraId="0BB0742D" w14:textId="77777777" w:rsidR="00AD773F" w:rsidRPr="00F134BD" w:rsidRDefault="00AD773F" w:rsidP="00701642">
            <w:pPr>
              <w:spacing w:before="100" w:beforeAutospacing="1" w:after="100" w:afterAutospacing="1" w:line="480" w:lineRule="auto"/>
              <w:rPr>
                <w:rFonts w:ascii="Calibri" w:eastAsia="Times New Roman" w:hAnsi="Calibri" w:cs="Calibri"/>
                <w:b w:val="0"/>
                <w:bCs w:val="0"/>
                <w:i/>
                <w:lang w:eastAsia="de-DE"/>
              </w:rPr>
            </w:pPr>
            <w:r w:rsidRPr="00F134BD">
              <w:rPr>
                <w:rFonts w:ascii="Calibri" w:hAnsi="Calibri" w:cs="Calibri"/>
                <w:i/>
              </w:rPr>
              <w:t>Daam2</w:t>
            </w:r>
          </w:p>
        </w:tc>
        <w:tc>
          <w:tcPr>
            <w:tcW w:w="3395" w:type="dxa"/>
          </w:tcPr>
          <w:p w14:paraId="0B659B5F" w14:textId="77777777" w:rsidR="00AD773F" w:rsidRPr="00F134BD" w:rsidRDefault="00AD773F" w:rsidP="00701642">
            <w:pPr>
              <w:spacing w:before="100" w:beforeAutospacing="1" w:after="100" w:afterAutospacing="1"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sidRPr="00F134BD">
              <w:rPr>
                <w:rFonts w:ascii="Calibri" w:hAnsi="Calibri" w:cs="Calibri"/>
                <w:color w:val="000000"/>
              </w:rPr>
              <w:t>AAGCTGCCAAAGTCAACCTG</w:t>
            </w:r>
          </w:p>
        </w:tc>
        <w:tc>
          <w:tcPr>
            <w:tcW w:w="3630" w:type="dxa"/>
          </w:tcPr>
          <w:p w14:paraId="540647C1" w14:textId="77777777" w:rsidR="00AD773F" w:rsidRPr="00F134BD" w:rsidRDefault="00AD773F" w:rsidP="00701642">
            <w:pPr>
              <w:spacing w:before="100" w:beforeAutospacing="1" w:after="100" w:afterAutospacing="1"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de-DE"/>
              </w:rPr>
            </w:pPr>
            <w:r w:rsidRPr="00F134BD">
              <w:rPr>
                <w:rFonts w:ascii="Calibri" w:hAnsi="Calibri" w:cs="Calibri"/>
                <w:color w:val="000000"/>
              </w:rPr>
              <w:t>TCCTGCTCTCCGAAATGTGT</w:t>
            </w:r>
          </w:p>
        </w:tc>
      </w:tr>
      <w:tr w:rsidR="00AD773F" w:rsidRPr="00F134BD" w14:paraId="6118A547" w14:textId="77777777" w:rsidTr="003F0A4B">
        <w:tc>
          <w:tcPr>
            <w:cnfStyle w:val="001000000000" w:firstRow="0" w:lastRow="0" w:firstColumn="1" w:lastColumn="0" w:oddVBand="0" w:evenVBand="0" w:oddHBand="0" w:evenHBand="0" w:firstRowFirstColumn="0" w:firstRowLastColumn="0" w:lastRowFirstColumn="0" w:lastRowLastColumn="0"/>
            <w:tcW w:w="1485" w:type="dxa"/>
          </w:tcPr>
          <w:p w14:paraId="412E2FBA" w14:textId="77777777" w:rsidR="00AD773F" w:rsidRPr="00F134BD" w:rsidRDefault="00AD773F" w:rsidP="00701642">
            <w:pPr>
              <w:spacing w:before="100" w:beforeAutospacing="1" w:after="100" w:afterAutospacing="1" w:line="480" w:lineRule="auto"/>
              <w:rPr>
                <w:rFonts w:ascii="Calibri" w:hAnsi="Calibri" w:cs="Calibri"/>
                <w:b w:val="0"/>
                <w:i/>
              </w:rPr>
            </w:pPr>
            <w:r w:rsidRPr="00F134BD">
              <w:rPr>
                <w:rFonts w:ascii="Calibri" w:hAnsi="Calibri" w:cs="Calibri"/>
                <w:i/>
              </w:rPr>
              <w:t>Ywhaz</w:t>
            </w:r>
          </w:p>
        </w:tc>
        <w:tc>
          <w:tcPr>
            <w:tcW w:w="3395" w:type="dxa"/>
          </w:tcPr>
          <w:p w14:paraId="23E9C644" w14:textId="77777777" w:rsidR="00AD773F" w:rsidRPr="00F134BD" w:rsidRDefault="00AD773F" w:rsidP="00701642">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TCTGGCCCTCAACTTCTCTG</w:t>
            </w:r>
          </w:p>
        </w:tc>
        <w:tc>
          <w:tcPr>
            <w:tcW w:w="3630" w:type="dxa"/>
          </w:tcPr>
          <w:p w14:paraId="5A67F46B" w14:textId="77777777" w:rsidR="00AD773F" w:rsidRPr="00F134BD" w:rsidRDefault="00AD773F" w:rsidP="00701642">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CCTGCTTCTGCTTCATCTCC</w:t>
            </w:r>
          </w:p>
        </w:tc>
      </w:tr>
      <w:tr w:rsidR="00AD773F" w:rsidRPr="00F134BD" w14:paraId="15A4C1D6" w14:textId="77777777" w:rsidTr="003F0A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5" w:type="dxa"/>
          </w:tcPr>
          <w:p w14:paraId="09899107" w14:textId="77777777" w:rsidR="00AD773F" w:rsidRPr="00F134BD" w:rsidRDefault="00AD773F" w:rsidP="00701642">
            <w:pPr>
              <w:spacing w:before="100" w:beforeAutospacing="1" w:after="100" w:afterAutospacing="1" w:line="480" w:lineRule="auto"/>
              <w:rPr>
                <w:rFonts w:ascii="Calibri" w:hAnsi="Calibri" w:cs="Calibri"/>
                <w:b w:val="0"/>
                <w:bCs w:val="0"/>
                <w:i/>
              </w:rPr>
            </w:pPr>
            <w:r w:rsidRPr="00F134BD">
              <w:rPr>
                <w:rFonts w:ascii="Calibri" w:hAnsi="Calibri" w:cs="Calibri"/>
                <w:i/>
              </w:rPr>
              <w:t>Hdgf</w:t>
            </w:r>
          </w:p>
        </w:tc>
        <w:tc>
          <w:tcPr>
            <w:tcW w:w="3395" w:type="dxa"/>
          </w:tcPr>
          <w:p w14:paraId="7D8D7329" w14:textId="77777777" w:rsidR="00AD773F" w:rsidRPr="00F134BD" w:rsidRDefault="00AD773F" w:rsidP="00701642">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ACTCCCCTAAACGTCCCAAG</w:t>
            </w:r>
          </w:p>
        </w:tc>
        <w:tc>
          <w:tcPr>
            <w:tcW w:w="3630" w:type="dxa"/>
          </w:tcPr>
          <w:p w14:paraId="3687DFE2" w14:textId="77777777" w:rsidR="00AD773F" w:rsidRPr="00F134BD" w:rsidRDefault="00AD773F" w:rsidP="00701642">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US"/>
              </w:rPr>
            </w:pPr>
            <w:r w:rsidRPr="00F134BD">
              <w:rPr>
                <w:rFonts w:ascii="Calibri" w:hAnsi="Calibri" w:cs="Calibri"/>
                <w:color w:val="000000"/>
              </w:rPr>
              <w:t>TCTCATGATCTCTGACGCCC</w:t>
            </w:r>
          </w:p>
        </w:tc>
      </w:tr>
    </w:tbl>
    <w:p w14:paraId="6CACF552" w14:textId="77777777" w:rsidR="00AD773F" w:rsidRPr="00F134BD" w:rsidRDefault="00AD773F" w:rsidP="00844BB3">
      <w:pPr>
        <w:pStyle w:val="Default"/>
        <w:spacing w:line="480" w:lineRule="auto"/>
        <w:jc w:val="both"/>
        <w:rPr>
          <w:rFonts w:ascii="Calibri" w:hAnsi="Calibri" w:cs="Calibri"/>
          <w:b/>
          <w:sz w:val="22"/>
          <w:szCs w:val="22"/>
          <w:lang w:val="en-US"/>
        </w:rPr>
      </w:pPr>
    </w:p>
    <w:p w14:paraId="424C4F0A" w14:textId="77777777" w:rsidR="00AD773F" w:rsidRPr="00F134BD" w:rsidRDefault="00AD773F" w:rsidP="00844BB3">
      <w:pPr>
        <w:pStyle w:val="Default"/>
        <w:spacing w:line="480" w:lineRule="auto"/>
        <w:jc w:val="both"/>
        <w:rPr>
          <w:rFonts w:ascii="Calibri" w:hAnsi="Calibri" w:cs="Calibri"/>
          <w:b/>
          <w:sz w:val="22"/>
          <w:szCs w:val="22"/>
          <w:lang w:val="en-US"/>
        </w:rPr>
      </w:pPr>
    </w:p>
    <w:p w14:paraId="0480FD0A" w14:textId="77777777" w:rsidR="00AD773F" w:rsidRPr="00F134BD" w:rsidRDefault="00AD773F" w:rsidP="00844BB3">
      <w:pPr>
        <w:pStyle w:val="Default"/>
        <w:spacing w:line="480" w:lineRule="auto"/>
        <w:jc w:val="both"/>
        <w:rPr>
          <w:rFonts w:ascii="Calibri" w:hAnsi="Calibri" w:cs="Calibri"/>
          <w:b/>
          <w:sz w:val="22"/>
          <w:szCs w:val="22"/>
          <w:lang w:val="en-US"/>
        </w:rPr>
      </w:pPr>
      <w:r w:rsidRPr="00F134BD">
        <w:rPr>
          <w:rFonts w:ascii="Calibri" w:hAnsi="Calibri" w:cs="Calibri"/>
          <w:b/>
          <w:sz w:val="22"/>
          <w:szCs w:val="22"/>
          <w:lang w:val="en-US"/>
        </w:rPr>
        <w:t>Protein sample preparation and proteomics analysis</w:t>
      </w:r>
    </w:p>
    <w:p w14:paraId="63782A45" w14:textId="77777777" w:rsidR="00AD773F" w:rsidRPr="00F134BD" w:rsidRDefault="00AD773F" w:rsidP="614B2467">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Flash-frozen FACS-sorted podocyte pellets (n=3 male vehicle and n=3 female vehicle) were solubilized with 40 </w:t>
      </w:r>
      <w:r w:rsidRPr="00F134BD">
        <w:rPr>
          <w:rFonts w:ascii="Calibri" w:hAnsi="Calibri" w:cs="Calibri"/>
          <w:i/>
          <w:iCs/>
          <w:sz w:val="22"/>
          <w:szCs w:val="22"/>
          <w:lang w:val="en-US"/>
        </w:rPr>
        <w:t>µ</w:t>
      </w:r>
      <w:r w:rsidRPr="00F134BD">
        <w:rPr>
          <w:rFonts w:ascii="Calibri" w:hAnsi="Calibri" w:cs="Calibri"/>
          <w:sz w:val="22"/>
          <w:szCs w:val="22"/>
          <w:lang w:val="en-US"/>
        </w:rPr>
        <w:t xml:space="preserve">L 8% SDS and heated at 95°C for 5 minutes to solubilize and </w:t>
      </w:r>
      <w:r w:rsidRPr="00F134BD">
        <w:rPr>
          <w:rFonts w:ascii="Calibri" w:hAnsi="Calibri" w:cs="Calibri"/>
          <w:color w:val="auto"/>
          <w:sz w:val="22"/>
          <w:szCs w:val="22"/>
          <w:lang w:val="en-US"/>
        </w:rPr>
        <w:t xml:space="preserve">denature all proteins. Next, 25 </w:t>
      </w:r>
      <w:r w:rsidRPr="00F134BD">
        <w:rPr>
          <w:rFonts w:ascii="Calibri" w:hAnsi="Calibri" w:cs="Calibri"/>
          <w:i/>
          <w:iCs/>
          <w:color w:val="auto"/>
          <w:sz w:val="22"/>
          <w:szCs w:val="22"/>
          <w:lang w:val="en-US"/>
        </w:rPr>
        <w:t>µ</w:t>
      </w:r>
      <w:r w:rsidRPr="00F134BD">
        <w:rPr>
          <w:rFonts w:ascii="Calibri" w:hAnsi="Calibri" w:cs="Calibri"/>
          <w:color w:val="auto"/>
          <w:sz w:val="22"/>
          <w:szCs w:val="22"/>
          <w:lang w:val="en-US"/>
        </w:rPr>
        <w:t xml:space="preserve">U Benzonase was added to the solution, and samples were reduced with 5 mM </w:t>
      </w:r>
      <w:r w:rsidRPr="00F134BD">
        <w:rPr>
          <w:rFonts w:ascii="Calibri" w:hAnsi="Calibri" w:cs="Calibri"/>
          <w:color w:val="auto"/>
          <w:sz w:val="22"/>
          <w:szCs w:val="22"/>
          <w:shd w:val="clear" w:color="auto" w:fill="FFFFFF"/>
          <w:lang w:val="en-US"/>
        </w:rPr>
        <w:t>Dithiothreitol</w:t>
      </w:r>
      <w:r w:rsidRPr="00F134BD">
        <w:rPr>
          <w:rFonts w:ascii="Calibri" w:hAnsi="Calibri" w:cs="Calibri"/>
          <w:color w:val="auto"/>
          <w:sz w:val="22"/>
          <w:szCs w:val="22"/>
          <w:lang w:val="en-US"/>
        </w:rPr>
        <w:t xml:space="preserve"> (DTT) at 37°C for 30 minutes. Then, proteins were alkylated at room temperature with 10 mM </w:t>
      </w:r>
      <w:r w:rsidRPr="00F134BD">
        <w:rPr>
          <w:rFonts w:ascii="Calibri" w:hAnsi="Calibri" w:cs="Calibri"/>
          <w:color w:val="auto"/>
          <w:sz w:val="22"/>
          <w:szCs w:val="22"/>
          <w:shd w:val="clear" w:color="auto" w:fill="FFFFFF"/>
          <w:lang w:val="en-US"/>
        </w:rPr>
        <w:t>Indole-3-Acetic Acid</w:t>
      </w:r>
      <w:r w:rsidRPr="00F134BD">
        <w:rPr>
          <w:rFonts w:ascii="Calibri" w:hAnsi="Calibri" w:cs="Calibri"/>
          <w:color w:val="auto"/>
          <w:sz w:val="22"/>
          <w:szCs w:val="22"/>
          <w:lang w:val="en-US"/>
        </w:rPr>
        <w:t xml:space="preserve"> (IAA) in the dark. Proteins were prepared and digested using Trypsin and </w:t>
      </w:r>
      <w:proofErr w:type="spellStart"/>
      <w:r w:rsidRPr="00F134BD">
        <w:rPr>
          <w:rFonts w:ascii="Calibri" w:hAnsi="Calibri" w:cs="Calibri"/>
          <w:color w:val="auto"/>
          <w:sz w:val="22"/>
          <w:szCs w:val="22"/>
          <w:lang w:val="en-US"/>
        </w:rPr>
        <w:t>LysC</w:t>
      </w:r>
      <w:proofErr w:type="spellEnd"/>
      <w:r w:rsidRPr="00F134BD">
        <w:rPr>
          <w:rFonts w:ascii="Calibri" w:hAnsi="Calibri" w:cs="Calibri"/>
          <w:color w:val="auto"/>
          <w:sz w:val="22"/>
          <w:szCs w:val="22"/>
          <w:lang w:val="en-US"/>
        </w:rPr>
        <w:t xml:space="preserve"> using the SP3 ultrasensitive </w:t>
      </w:r>
      <w:r w:rsidRPr="00F134BD">
        <w:rPr>
          <w:rFonts w:ascii="Calibri" w:hAnsi="Calibri" w:cs="Calibri"/>
          <w:sz w:val="22"/>
          <w:szCs w:val="22"/>
          <w:lang w:val="en-US"/>
        </w:rPr>
        <w:t xml:space="preserve">proteomics technique as previously described. FACS-sorted podocytes were prepared using SP3-bead preparation as previously </w:t>
      </w:r>
      <w:proofErr w:type="gramStart"/>
      <w:r w:rsidRPr="00F134BD">
        <w:rPr>
          <w:rFonts w:ascii="Calibri" w:hAnsi="Calibri" w:cs="Calibri"/>
          <w:sz w:val="22"/>
          <w:szCs w:val="22"/>
          <w:lang w:val="en-US"/>
        </w:rPr>
        <w:t>described[</w:t>
      </w:r>
      <w:proofErr w:type="gramEnd"/>
      <w:r w:rsidRPr="00F134BD">
        <w:rPr>
          <w:rFonts w:ascii="Calibri" w:hAnsi="Calibri" w:cs="Calibri"/>
          <w:sz w:val="22"/>
          <w:szCs w:val="22"/>
          <w:lang w:val="en-US"/>
        </w:rPr>
        <w:t>8] with modifications[9]. Proteomics data acquisition was performed on a quadrupole Orbitrap hybrid mass spectrometer (</w:t>
      </w:r>
      <w:proofErr w:type="spellStart"/>
      <w:r w:rsidRPr="00F134BD">
        <w:rPr>
          <w:rFonts w:ascii="Calibri" w:hAnsi="Calibri" w:cs="Calibri"/>
          <w:sz w:val="22"/>
          <w:szCs w:val="22"/>
          <w:lang w:val="en-US"/>
        </w:rPr>
        <w:t>QExactive</w:t>
      </w:r>
      <w:proofErr w:type="spellEnd"/>
      <w:r w:rsidRPr="00F134BD">
        <w:rPr>
          <w:rFonts w:ascii="Calibri" w:hAnsi="Calibri" w:cs="Calibri"/>
          <w:sz w:val="22"/>
          <w:szCs w:val="22"/>
          <w:lang w:val="en-US"/>
        </w:rPr>
        <w:t xml:space="preserve"> Plus, </w:t>
      </w:r>
      <w:proofErr w:type="spellStart"/>
      <w:r w:rsidRPr="00F134BD">
        <w:rPr>
          <w:rFonts w:ascii="Calibri" w:hAnsi="Calibri" w:cs="Calibri"/>
          <w:sz w:val="22"/>
          <w:szCs w:val="22"/>
          <w:lang w:val="en-US"/>
        </w:rPr>
        <w:t>Thermofisher</w:t>
      </w:r>
      <w:proofErr w:type="spellEnd"/>
      <w:r w:rsidRPr="00F134BD">
        <w:rPr>
          <w:rFonts w:ascii="Calibri" w:hAnsi="Calibri" w:cs="Calibri"/>
          <w:sz w:val="22"/>
          <w:szCs w:val="22"/>
          <w:lang w:val="en-US"/>
        </w:rPr>
        <w:t xml:space="preserve"> science, Germany) coupled to an </w:t>
      </w:r>
      <w:proofErr w:type="spellStart"/>
      <w:r w:rsidRPr="00F134BD">
        <w:rPr>
          <w:rFonts w:ascii="Calibri" w:hAnsi="Calibri" w:cs="Calibri"/>
          <w:sz w:val="22"/>
          <w:szCs w:val="22"/>
          <w:lang w:val="en-US"/>
        </w:rPr>
        <w:t>easynLC</w:t>
      </w:r>
      <w:proofErr w:type="spellEnd"/>
      <w:r w:rsidRPr="00F134BD">
        <w:rPr>
          <w:rFonts w:ascii="Calibri" w:hAnsi="Calibri" w:cs="Calibri"/>
          <w:sz w:val="22"/>
          <w:szCs w:val="22"/>
          <w:lang w:val="en-US"/>
        </w:rPr>
        <w:t xml:space="preserve"> as previously </w:t>
      </w:r>
      <w:proofErr w:type="gramStart"/>
      <w:r w:rsidRPr="00F134BD">
        <w:rPr>
          <w:rFonts w:ascii="Calibri" w:hAnsi="Calibri" w:cs="Calibri"/>
          <w:sz w:val="22"/>
          <w:szCs w:val="22"/>
          <w:lang w:val="en-US"/>
        </w:rPr>
        <w:t>described[</w:t>
      </w:r>
      <w:proofErr w:type="gramEnd"/>
      <w:r w:rsidRPr="00F134BD">
        <w:rPr>
          <w:rFonts w:ascii="Calibri" w:hAnsi="Calibri" w:cs="Calibri"/>
          <w:sz w:val="22"/>
          <w:szCs w:val="22"/>
          <w:lang w:val="en-US"/>
        </w:rPr>
        <w:t xml:space="preserve">10]. Quantitative analysis was performed using </w:t>
      </w:r>
      <w:proofErr w:type="spellStart"/>
      <w:r w:rsidRPr="00F134BD">
        <w:rPr>
          <w:rFonts w:ascii="Calibri" w:hAnsi="Calibri" w:cs="Calibri"/>
          <w:sz w:val="22"/>
          <w:szCs w:val="22"/>
          <w:lang w:val="en-US"/>
        </w:rPr>
        <w:t>MaxQuant</w:t>
      </w:r>
      <w:proofErr w:type="spellEnd"/>
      <w:r w:rsidRPr="00F134BD">
        <w:rPr>
          <w:rFonts w:ascii="Calibri" w:hAnsi="Calibri" w:cs="Calibri"/>
          <w:sz w:val="22"/>
          <w:szCs w:val="22"/>
          <w:lang w:val="en-US"/>
        </w:rPr>
        <w:t xml:space="preserve">. </w:t>
      </w:r>
      <w:r w:rsidRPr="00F134BD">
        <w:rPr>
          <w:rFonts w:ascii="Calibri" w:hAnsi="Calibri" w:cs="Calibri"/>
          <w:sz w:val="22"/>
          <w:szCs w:val="22"/>
          <w:lang w:val="en-US"/>
        </w:rPr>
        <w:lastRenderedPageBreak/>
        <w:t xml:space="preserve">Raw files were searched against a database consisting of a mouse </w:t>
      </w:r>
      <w:proofErr w:type="spellStart"/>
      <w:r w:rsidRPr="00F134BD">
        <w:rPr>
          <w:rFonts w:ascii="Calibri" w:hAnsi="Calibri" w:cs="Calibri"/>
          <w:sz w:val="22"/>
          <w:szCs w:val="22"/>
          <w:lang w:val="en-US"/>
        </w:rPr>
        <w:t>Uniprot</w:t>
      </w:r>
      <w:proofErr w:type="spellEnd"/>
      <w:r w:rsidRPr="00F134BD">
        <w:rPr>
          <w:rFonts w:ascii="Calibri" w:hAnsi="Calibri" w:cs="Calibri"/>
          <w:sz w:val="22"/>
          <w:szCs w:val="22"/>
          <w:lang w:val="en-US"/>
        </w:rPr>
        <w:t xml:space="preserve"> reference database without isoforms (downloaded in January 2017) and with common contaminants. Default search parameters were used, including methionine oxidation as a variable modification, cysteine alkylation as a fixed modification. False discovery rate (FDR) was set to 0.01 for peptide spectrum, site, and protein identification using the target decoy approach. Match between run options was enabled. The search option also included removal of all peptides that were identified by one peptide and by post-translational modification only. The label-free quantitative (LFQ) algorithm option was enabled to obtain label-free quantification intensities. Protein expression was further analyzed using Perseus 1.5.5.3 and the 2D-Go enrichment </w:t>
      </w:r>
      <w:proofErr w:type="gramStart"/>
      <w:r w:rsidRPr="00F134BD">
        <w:rPr>
          <w:rFonts w:ascii="Calibri" w:hAnsi="Calibri" w:cs="Calibri"/>
          <w:sz w:val="22"/>
          <w:szCs w:val="22"/>
          <w:lang w:val="en-US"/>
        </w:rPr>
        <w:t>algorithm[</w:t>
      </w:r>
      <w:proofErr w:type="gramEnd"/>
      <w:r w:rsidRPr="00F134BD">
        <w:rPr>
          <w:rFonts w:ascii="Calibri" w:hAnsi="Calibri" w:cs="Calibri"/>
          <w:sz w:val="22"/>
          <w:szCs w:val="22"/>
          <w:lang w:val="en-US"/>
        </w:rPr>
        <w:t xml:space="preserve">11]. </w:t>
      </w:r>
    </w:p>
    <w:p w14:paraId="13FA7767" w14:textId="77777777" w:rsidR="00AD773F" w:rsidRPr="00F134BD" w:rsidRDefault="00AD773F" w:rsidP="688F8DAF">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Selected sexually dimorphic podocyte-specific protein expression data of proteomics were validated by western blot analyses (</w:t>
      </w:r>
      <w:r w:rsidRPr="00F134BD">
        <w:rPr>
          <w:rFonts w:ascii="Calibri" w:hAnsi="Calibri" w:cs="Calibri"/>
          <w:color w:val="0F4761" w:themeColor="accent1" w:themeShade="BF"/>
          <w:sz w:val="22"/>
          <w:szCs w:val="22"/>
          <w:lang w:val="en-GB"/>
        </w:rPr>
        <w:t>Supplementary Figure S4</w:t>
      </w:r>
      <w:r w:rsidRPr="00F134BD">
        <w:rPr>
          <w:rFonts w:ascii="Calibri" w:hAnsi="Calibri" w:cs="Calibri"/>
          <w:sz w:val="22"/>
          <w:szCs w:val="22"/>
          <w:lang w:val="en-US"/>
        </w:rPr>
        <w:t>).</w:t>
      </w:r>
    </w:p>
    <w:p w14:paraId="0AC37832" w14:textId="77777777" w:rsidR="00AD773F" w:rsidRPr="00F134BD" w:rsidRDefault="00AD773F" w:rsidP="00844BB3">
      <w:pPr>
        <w:pStyle w:val="Default"/>
        <w:spacing w:line="480" w:lineRule="auto"/>
        <w:jc w:val="both"/>
        <w:rPr>
          <w:rFonts w:ascii="Calibri" w:hAnsi="Calibri" w:cs="Calibri"/>
          <w:sz w:val="22"/>
          <w:szCs w:val="22"/>
          <w:lang w:val="en-US"/>
        </w:rPr>
      </w:pPr>
    </w:p>
    <w:p w14:paraId="07E6DE79" w14:textId="77777777" w:rsidR="00AD773F" w:rsidRPr="00F134BD" w:rsidRDefault="00AD773F" w:rsidP="00844BB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t>Functional enrichment analysis</w:t>
      </w:r>
      <w:r w:rsidRPr="00F134BD">
        <w:rPr>
          <w:rFonts w:ascii="Calibri" w:hAnsi="Calibri" w:cs="Calibri"/>
          <w:b/>
          <w:bCs/>
          <w:sz w:val="22"/>
          <w:szCs w:val="22"/>
          <w:lang w:val="en-US"/>
        </w:rPr>
        <w:tab/>
      </w:r>
    </w:p>
    <w:p w14:paraId="3EF1864C" w14:textId="77777777" w:rsidR="00AD773F" w:rsidRPr="00F134BD" w:rsidRDefault="00AD773F" w:rsidP="00844BB3">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GO annotations were retrieved from EnrichR </w:t>
      </w:r>
      <w:proofErr w:type="gramStart"/>
      <w:r w:rsidRPr="00F134BD">
        <w:rPr>
          <w:rFonts w:ascii="Calibri" w:hAnsi="Calibri" w:cs="Calibri"/>
          <w:sz w:val="22"/>
          <w:szCs w:val="22"/>
          <w:lang w:val="en-US"/>
        </w:rPr>
        <w:t>database</w:t>
      </w:r>
      <w:r w:rsidRPr="00F134BD">
        <w:rPr>
          <w:rFonts w:ascii="Calibri" w:hAnsi="Calibri" w:cs="Calibri"/>
          <w:noProof/>
          <w:sz w:val="22"/>
          <w:szCs w:val="22"/>
          <w:lang w:val="en-US"/>
        </w:rPr>
        <w:t>[</w:t>
      </w:r>
      <w:proofErr w:type="gramEnd"/>
      <w:r w:rsidRPr="00F134BD">
        <w:rPr>
          <w:rFonts w:ascii="Calibri" w:hAnsi="Calibri" w:cs="Calibri"/>
          <w:noProof/>
          <w:sz w:val="22"/>
          <w:szCs w:val="22"/>
          <w:lang w:val="en-US"/>
        </w:rPr>
        <w:t>12-14]</w:t>
      </w:r>
      <w:r w:rsidRPr="00F134BD">
        <w:rPr>
          <w:rFonts w:ascii="Calibri" w:hAnsi="Calibri" w:cs="Calibri"/>
          <w:sz w:val="22"/>
          <w:szCs w:val="22"/>
          <w:lang w:val="en-US"/>
        </w:rPr>
        <w:t xml:space="preserve"> and PANTHER database</w:t>
      </w:r>
      <w:r w:rsidRPr="00F134BD">
        <w:rPr>
          <w:rFonts w:ascii="Calibri" w:hAnsi="Calibri" w:cs="Calibri"/>
          <w:noProof/>
          <w:sz w:val="22"/>
          <w:szCs w:val="22"/>
          <w:lang w:val="en-US"/>
        </w:rPr>
        <w:t>[15-17]</w:t>
      </w:r>
      <w:r w:rsidRPr="00F134BD">
        <w:rPr>
          <w:rFonts w:ascii="Calibri" w:hAnsi="Calibri" w:cs="Calibri"/>
          <w:sz w:val="22"/>
          <w:szCs w:val="22"/>
          <w:lang w:val="en-US"/>
        </w:rPr>
        <w:t xml:space="preserve"> (accessed February 2021) with use of Mus musculus species genes. KEGG_mus_2019, </w:t>
      </w:r>
      <w:proofErr w:type="spellStart"/>
      <w:r w:rsidRPr="00F134BD">
        <w:rPr>
          <w:rFonts w:ascii="Calibri" w:hAnsi="Calibri" w:cs="Calibri"/>
          <w:sz w:val="22"/>
          <w:szCs w:val="22"/>
          <w:lang w:val="en-US"/>
        </w:rPr>
        <w:t>WikiPathways_mus</w:t>
      </w:r>
      <w:proofErr w:type="spellEnd"/>
      <w:r w:rsidRPr="00F134BD">
        <w:rPr>
          <w:rFonts w:ascii="Calibri" w:hAnsi="Calibri" w:cs="Calibri"/>
          <w:sz w:val="22"/>
          <w:szCs w:val="22"/>
          <w:lang w:val="en-US"/>
        </w:rPr>
        <w:t xml:space="preserve"> 2018 and Panther GO-slim (updated in 2020) were used for GO enrichment analyses. Statistical significance was set as P-value &lt;0.05 with an overlap of more than 4 genes compared with background list (10682 genes for vehicle comparison). Moreover, correction for multiple testing by FDR value &lt;0.05 was obtained (for male and female overexpression GOs with cut point &lt;0.1). Gene set enrichment analysis for whole transcriptome for rapamycin effect on both male and female transcriptome was done using GSEA </w:t>
      </w:r>
      <w:proofErr w:type="gramStart"/>
      <w:r w:rsidRPr="00F134BD">
        <w:rPr>
          <w:rFonts w:ascii="Calibri" w:hAnsi="Calibri" w:cs="Calibri"/>
          <w:sz w:val="22"/>
          <w:szCs w:val="22"/>
          <w:lang w:val="en-US"/>
        </w:rPr>
        <w:t>software</w:t>
      </w:r>
      <w:r w:rsidRPr="00F134BD">
        <w:rPr>
          <w:rFonts w:ascii="Calibri" w:hAnsi="Calibri" w:cs="Calibri"/>
          <w:noProof/>
          <w:sz w:val="22"/>
          <w:szCs w:val="22"/>
          <w:lang w:val="en-US"/>
        </w:rPr>
        <w:t>[</w:t>
      </w:r>
      <w:proofErr w:type="gramEnd"/>
      <w:r w:rsidRPr="00F134BD">
        <w:rPr>
          <w:rFonts w:ascii="Calibri" w:hAnsi="Calibri" w:cs="Calibri"/>
          <w:noProof/>
          <w:sz w:val="22"/>
          <w:szCs w:val="22"/>
          <w:lang w:val="en-US"/>
        </w:rPr>
        <w:t>18, 19]</w:t>
      </w:r>
      <w:r w:rsidRPr="00F134BD">
        <w:rPr>
          <w:rFonts w:ascii="Calibri" w:hAnsi="Calibri" w:cs="Calibri"/>
          <w:sz w:val="22"/>
          <w:szCs w:val="22"/>
          <w:lang w:val="en-US"/>
        </w:rPr>
        <w:t xml:space="preserve">. Proteomics data biological process GO enrichment analysis were retrieved from EnrichR. All proteins with FC&gt;2 </w:t>
      </w:r>
      <w:proofErr w:type="gramStart"/>
      <w:r w:rsidRPr="00F134BD">
        <w:rPr>
          <w:rFonts w:ascii="Calibri" w:hAnsi="Calibri" w:cs="Calibri"/>
          <w:sz w:val="22"/>
          <w:szCs w:val="22"/>
          <w:lang w:val="en-US"/>
        </w:rPr>
        <w:t>were</w:t>
      </w:r>
      <w:proofErr w:type="gramEnd"/>
      <w:r w:rsidRPr="00F134BD">
        <w:rPr>
          <w:rFonts w:ascii="Calibri" w:hAnsi="Calibri" w:cs="Calibri"/>
          <w:sz w:val="22"/>
          <w:szCs w:val="22"/>
          <w:lang w:val="en-US"/>
        </w:rPr>
        <w:t xml:space="preserve"> included in the analysis. Statistical significance was set as P-value&lt;0.05 with an overlap of more than 6 genes compared with background list (2700 proteins). Further analysis for possible sexual dimorphism on rapamycin effect on different activation of canonical pathways and </w:t>
      </w:r>
      <w:r w:rsidRPr="00F134BD">
        <w:rPr>
          <w:rFonts w:ascii="Calibri" w:hAnsi="Calibri" w:cs="Calibri"/>
          <w:sz w:val="22"/>
          <w:szCs w:val="22"/>
          <w:lang w:val="en-US"/>
        </w:rPr>
        <w:lastRenderedPageBreak/>
        <w:t xml:space="preserve">upstream regulators were performed using </w:t>
      </w:r>
      <w:r w:rsidRPr="00F134BD">
        <w:rPr>
          <w:rFonts w:ascii="Calibri" w:hAnsi="Calibri" w:cs="Calibri"/>
          <w:color w:val="222222"/>
          <w:sz w:val="22"/>
          <w:szCs w:val="22"/>
          <w:lang w:val="en-US"/>
        </w:rPr>
        <w:t xml:space="preserve">QIAGEN’s Ingenuity® Pathway Analysis (IPA®, QIAGEN Redwood City, </w:t>
      </w:r>
      <w:hyperlink w:history="1">
        <w:r w:rsidRPr="00F134BD">
          <w:rPr>
            <w:rStyle w:val="Hyperlink"/>
            <w:rFonts w:ascii="Calibri" w:hAnsi="Calibri" w:cs="Calibri"/>
            <w:color w:val="auto"/>
            <w:spacing w:val="8"/>
            <w:sz w:val="22"/>
            <w:szCs w:val="22"/>
            <w:u w:val="none"/>
            <w:shd w:val="clear" w:color="auto" w:fill="FFFFFF"/>
            <w:lang w:val="en-US"/>
          </w:rPr>
          <w:t xml:space="preserve">United </w:t>
        </w:r>
        <w:proofErr w:type="gramStart"/>
        <w:r w:rsidRPr="00F134BD">
          <w:rPr>
            <w:rStyle w:val="Hyperlink"/>
            <w:rFonts w:ascii="Calibri" w:hAnsi="Calibri" w:cs="Calibri"/>
            <w:color w:val="auto"/>
            <w:spacing w:val="8"/>
            <w:sz w:val="22"/>
            <w:szCs w:val="22"/>
            <w:u w:val="none"/>
            <w:shd w:val="clear" w:color="auto" w:fill="FFFFFF"/>
            <w:lang w:val="en-US"/>
          </w:rPr>
          <w:t>States)</w:t>
        </w:r>
        <w:r w:rsidRPr="00F134BD">
          <w:rPr>
            <w:rStyle w:val="Hyperlink"/>
            <w:rFonts w:ascii="Calibri" w:hAnsi="Calibri" w:cs="Calibri"/>
            <w:spacing w:val="8"/>
            <w:sz w:val="22"/>
            <w:szCs w:val="22"/>
            <w:u w:val="none"/>
            <w:shd w:val="clear" w:color="auto" w:fill="FFFFFF"/>
            <w:lang w:val="en-US"/>
          </w:rPr>
          <w:t>(</w:t>
        </w:r>
        <w:proofErr w:type="gramEnd"/>
        <w:r w:rsidRPr="00F134BD" w:rsidDel="00D04F7E">
          <w:rPr>
            <w:rStyle w:val="Hyperlink"/>
            <w:rFonts w:ascii="Calibri" w:hAnsi="Calibri" w:cs="Calibri"/>
            <w:sz w:val="22"/>
            <w:szCs w:val="22"/>
            <w:u w:val="none"/>
            <w:lang w:val="en-US"/>
          </w:rPr>
          <w:t xml:space="preserve"> </w:t>
        </w:r>
        <w:r w:rsidRPr="00F134BD">
          <w:rPr>
            <w:rStyle w:val="Hyperlink"/>
            <w:rFonts w:ascii="Calibri" w:hAnsi="Calibri" w:cs="Calibri"/>
            <w:sz w:val="22"/>
            <w:szCs w:val="22"/>
            <w:u w:val="none"/>
            <w:lang w:val="en-US"/>
          </w:rPr>
          <w:t>ww.qiagen.com/ingenuity</w:t>
        </w:r>
      </w:hyperlink>
      <w:r w:rsidRPr="00F134BD">
        <w:rPr>
          <w:rFonts w:ascii="Calibri" w:hAnsi="Calibri" w:cs="Calibri"/>
          <w:color w:val="222222"/>
          <w:sz w:val="22"/>
          <w:szCs w:val="22"/>
          <w:lang w:val="en-US"/>
        </w:rPr>
        <w:t>) tools.</w:t>
      </w:r>
    </w:p>
    <w:p w14:paraId="52B9F03E" w14:textId="77777777" w:rsidR="00AD773F" w:rsidRPr="00F134BD" w:rsidRDefault="00AD773F" w:rsidP="00844BB3">
      <w:pPr>
        <w:pStyle w:val="Default"/>
        <w:spacing w:line="480" w:lineRule="auto"/>
        <w:jc w:val="both"/>
        <w:rPr>
          <w:rFonts w:ascii="Calibri" w:hAnsi="Calibri" w:cs="Calibri"/>
          <w:sz w:val="22"/>
          <w:szCs w:val="22"/>
          <w:lang w:val="en-US"/>
        </w:rPr>
      </w:pPr>
    </w:p>
    <w:p w14:paraId="4242642C" w14:textId="77777777" w:rsidR="00AD773F" w:rsidRPr="00F134BD" w:rsidRDefault="00AD773F" w:rsidP="00844BB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t>Western blot analysis</w:t>
      </w:r>
    </w:p>
    <w:p w14:paraId="0809CA2C" w14:textId="77777777" w:rsidR="00AD773F" w:rsidRPr="00F134BD" w:rsidRDefault="00AD773F" w:rsidP="688F8DAF">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Kidney cortex tissues was homogenized in RIPA lysis buffer (50 mM </w:t>
      </w:r>
      <w:proofErr w:type="spellStart"/>
      <w:r w:rsidRPr="00F134BD">
        <w:rPr>
          <w:rFonts w:ascii="Calibri" w:hAnsi="Calibri" w:cs="Calibri"/>
          <w:sz w:val="22"/>
          <w:szCs w:val="22"/>
          <w:lang w:val="en-US"/>
        </w:rPr>
        <w:t>TrisHCl</w:t>
      </w:r>
      <w:proofErr w:type="spellEnd"/>
      <w:r w:rsidRPr="00F134BD">
        <w:rPr>
          <w:rFonts w:ascii="Calibri" w:hAnsi="Calibri" w:cs="Calibri"/>
          <w:sz w:val="22"/>
          <w:szCs w:val="22"/>
          <w:lang w:val="en-US"/>
        </w:rPr>
        <w:t xml:space="preserve"> pH 8.0, 150 mM sodium chloride, 5 mM EDTA, 1% NP-40, 0,5 % Sodium deoxycholate, 0,1 % SDS with inhibitors (</w:t>
      </w:r>
      <w:r w:rsidRPr="00F134BD">
        <w:rPr>
          <w:rFonts w:ascii="Calibri" w:hAnsi="Calibri" w:cs="Calibri"/>
          <w:sz w:val="22"/>
          <w:szCs w:val="22"/>
          <w:lang w:val="en-US" w:eastAsia="zh-CN"/>
        </w:rPr>
        <w:t>5 mM sodium fluoride, 10 mM</w:t>
      </w:r>
      <w:r w:rsidRPr="00F134BD">
        <w:rPr>
          <w:rFonts w:ascii="Calibri" w:hAnsi="Calibri" w:cs="Calibri"/>
          <w:sz w:val="22"/>
          <w:szCs w:val="22"/>
          <w:lang w:val="en-US"/>
        </w:rPr>
        <w:t xml:space="preserve"> </w:t>
      </w:r>
      <w:r w:rsidRPr="00F134BD">
        <w:rPr>
          <w:rFonts w:ascii="Calibri" w:hAnsi="Calibri" w:cs="Calibri"/>
          <w:sz w:val="22"/>
          <w:szCs w:val="22"/>
        </w:rPr>
        <w:t>β</w:t>
      </w:r>
      <w:r w:rsidRPr="00F134BD">
        <w:rPr>
          <w:rFonts w:ascii="Calibri" w:hAnsi="Calibri" w:cs="Calibri"/>
          <w:sz w:val="22"/>
          <w:szCs w:val="22"/>
          <w:lang w:val="en-US"/>
        </w:rPr>
        <w:t xml:space="preserve">-glycerophosphate, </w:t>
      </w:r>
      <w:r w:rsidRPr="00F134BD">
        <w:rPr>
          <w:rFonts w:ascii="Calibri" w:hAnsi="Calibri" w:cs="Calibri"/>
          <w:sz w:val="22"/>
          <w:szCs w:val="22"/>
          <w:lang w:val="en-US" w:eastAsia="zh-CN"/>
        </w:rPr>
        <w:t>1 mM</w:t>
      </w:r>
      <w:r w:rsidRPr="00F134BD">
        <w:rPr>
          <w:rFonts w:ascii="Calibri" w:hAnsi="Calibri" w:cs="Calibri"/>
          <w:sz w:val="22"/>
          <w:szCs w:val="22"/>
          <w:lang w:val="en-US"/>
        </w:rPr>
        <w:t xml:space="preserve"> sodium orthovanadate</w:t>
      </w:r>
      <w:r w:rsidRPr="00F134BD">
        <w:rPr>
          <w:rFonts w:ascii="Calibri" w:hAnsi="Calibri" w:cs="Calibri"/>
          <w:sz w:val="22"/>
          <w:szCs w:val="22"/>
          <w:vertAlign w:val="subscript"/>
          <w:lang w:val="en-US"/>
        </w:rPr>
        <w:t xml:space="preserve">, </w:t>
      </w:r>
      <w:r w:rsidRPr="00F134BD">
        <w:rPr>
          <w:rFonts w:ascii="Calibri" w:hAnsi="Calibri" w:cs="Calibri"/>
          <w:sz w:val="22"/>
          <w:szCs w:val="22"/>
          <w:lang w:val="en-US" w:eastAsia="zh-CN"/>
        </w:rPr>
        <w:t>2.5 mM s</w:t>
      </w:r>
      <w:r w:rsidRPr="00F134BD">
        <w:rPr>
          <w:rFonts w:ascii="Calibri" w:hAnsi="Calibri" w:cs="Calibri"/>
          <w:sz w:val="22"/>
          <w:szCs w:val="22"/>
          <w:lang w:val="en-US"/>
        </w:rPr>
        <w:t xml:space="preserve">odium pyrophosphate)). The homogenization was carried out using mechanical tissue disruptor (MP Biomedical </w:t>
      </w:r>
      <w:proofErr w:type="spellStart"/>
      <w:r w:rsidRPr="00F134BD">
        <w:rPr>
          <w:rFonts w:ascii="Calibri" w:hAnsi="Calibri" w:cs="Calibri"/>
          <w:sz w:val="22"/>
          <w:szCs w:val="22"/>
          <w:lang w:val="en-US"/>
        </w:rPr>
        <w:t>FastPrep</w:t>
      </w:r>
      <w:proofErr w:type="spellEnd"/>
      <w:r w:rsidRPr="00F134BD">
        <w:rPr>
          <w:rFonts w:ascii="Calibri" w:hAnsi="Calibri" w:cs="Calibri"/>
          <w:sz w:val="22"/>
          <w:szCs w:val="22"/>
          <w:lang w:val="en-US"/>
        </w:rPr>
        <w:t xml:space="preserve"> 24 Tissue Homogenizer). Protein concentration was determined by protein assay (</w:t>
      </w:r>
      <w:proofErr w:type="spellStart"/>
      <w:r w:rsidRPr="00F134BD">
        <w:rPr>
          <w:rFonts w:ascii="Calibri" w:hAnsi="Calibri" w:cs="Calibri"/>
          <w:sz w:val="22"/>
          <w:szCs w:val="22"/>
          <w:lang w:val="en-US"/>
        </w:rPr>
        <w:t>BioRad</w:t>
      </w:r>
      <w:proofErr w:type="spellEnd"/>
      <w:r w:rsidRPr="00F134BD">
        <w:rPr>
          <w:rFonts w:ascii="Calibri" w:hAnsi="Calibri" w:cs="Calibri"/>
          <w:sz w:val="22"/>
          <w:szCs w:val="22"/>
          <w:lang w:val="en-US"/>
        </w:rPr>
        <w:t xml:space="preserve"> laboratories, Munich, Germany). 60 </w:t>
      </w:r>
      <w:r w:rsidRPr="00F134BD">
        <w:rPr>
          <w:rFonts w:ascii="Calibri" w:hAnsi="Calibri" w:cs="Calibri"/>
          <w:sz w:val="22"/>
          <w:szCs w:val="22"/>
        </w:rPr>
        <w:t>μ</w:t>
      </w:r>
      <w:r w:rsidRPr="00F134BD">
        <w:rPr>
          <w:rFonts w:ascii="Calibri" w:hAnsi="Calibri" w:cs="Calibri"/>
          <w:sz w:val="22"/>
          <w:szCs w:val="22"/>
          <w:lang w:val="en-US"/>
        </w:rPr>
        <w:t>g of protein was loaded onto 8-12% Bis-</w:t>
      </w:r>
      <w:proofErr w:type="gramStart"/>
      <w:r w:rsidRPr="00F134BD">
        <w:rPr>
          <w:rFonts w:ascii="Calibri" w:hAnsi="Calibri" w:cs="Calibri"/>
          <w:sz w:val="22"/>
          <w:szCs w:val="22"/>
          <w:lang w:val="en-US"/>
        </w:rPr>
        <w:t>Tris</w:t>
      </w:r>
      <w:proofErr w:type="gramEnd"/>
      <w:r w:rsidRPr="00F134BD">
        <w:rPr>
          <w:rFonts w:ascii="Calibri" w:hAnsi="Calibri" w:cs="Calibri"/>
          <w:sz w:val="22"/>
          <w:szCs w:val="22"/>
          <w:lang w:val="en-US"/>
        </w:rPr>
        <w:t xml:space="preserve"> polyacrylamide gels and separated by </w:t>
      </w:r>
      <w:r w:rsidRPr="00F134BD">
        <w:rPr>
          <w:rFonts w:ascii="Calibri" w:hAnsi="Calibri" w:cs="Calibri"/>
          <w:sz w:val="22"/>
          <w:szCs w:val="22"/>
          <w:shd w:val="clear" w:color="auto" w:fill="FFFFFF"/>
          <w:lang w:val="en-US"/>
        </w:rPr>
        <w:t>gel electrophoresis</w:t>
      </w:r>
      <w:r w:rsidRPr="00F134BD">
        <w:rPr>
          <w:rFonts w:ascii="Calibri" w:hAnsi="Calibri" w:cs="Calibri"/>
          <w:sz w:val="22"/>
          <w:szCs w:val="22"/>
          <w:lang w:val="en-US"/>
        </w:rPr>
        <w:t xml:space="preserve">, followed by transfer onto </w:t>
      </w:r>
      <w:r w:rsidRPr="00F134BD">
        <w:rPr>
          <w:rFonts w:ascii="Calibri" w:hAnsi="Calibri" w:cs="Calibri"/>
          <w:sz w:val="22"/>
          <w:szCs w:val="22"/>
          <w:shd w:val="clear" w:color="auto" w:fill="FFFFFF"/>
          <w:lang w:val="en-US"/>
        </w:rPr>
        <w:t>Polyvinylidene fluoride (PVDF)</w:t>
      </w:r>
      <w:r w:rsidRPr="00F134BD">
        <w:rPr>
          <w:rFonts w:ascii="Calibri" w:hAnsi="Calibri" w:cs="Calibri"/>
          <w:sz w:val="22"/>
          <w:szCs w:val="22"/>
          <w:lang w:val="en-US"/>
        </w:rPr>
        <w:t xml:space="preserve"> membrane (Healthcare, Amersham, UK</w:t>
      </w:r>
      <w:r w:rsidRPr="00F134BD">
        <w:rPr>
          <w:rFonts w:ascii="Calibri" w:hAnsi="Calibri" w:cs="Calibri"/>
          <w:sz w:val="22"/>
          <w:szCs w:val="22"/>
          <w:shd w:val="clear" w:color="auto" w:fill="FFFFFF"/>
          <w:lang w:val="en-US"/>
        </w:rPr>
        <w:t>). Blotting and immunostaining were performed according to standard protocol. The following primary antibodies were used; GAPDH (</w:t>
      </w:r>
      <w:proofErr w:type="spellStart"/>
      <w:r w:rsidRPr="00F134BD">
        <w:rPr>
          <w:rFonts w:ascii="Calibri" w:hAnsi="Calibri" w:cs="Calibri"/>
          <w:sz w:val="22"/>
          <w:szCs w:val="22"/>
          <w:lang w:val="en-US"/>
        </w:rPr>
        <w:t>Hytest</w:t>
      </w:r>
      <w:proofErr w:type="spellEnd"/>
      <w:r w:rsidRPr="00F134BD">
        <w:rPr>
          <w:rFonts w:ascii="Calibri" w:hAnsi="Calibri" w:cs="Calibri"/>
          <w:sz w:val="22"/>
          <w:szCs w:val="22"/>
          <w:lang w:val="en-US"/>
        </w:rPr>
        <w:t xml:space="preserve"> 5G4</w:t>
      </w:r>
      <w:r w:rsidRPr="00F134BD">
        <w:rPr>
          <w:rFonts w:ascii="Calibri" w:hAnsi="Calibri" w:cs="Calibri"/>
          <w:sz w:val="22"/>
          <w:szCs w:val="22"/>
          <w:shd w:val="clear" w:color="auto" w:fill="FFFFFF"/>
          <w:lang w:val="en-US"/>
        </w:rPr>
        <w:t xml:space="preserve">), </w:t>
      </w:r>
      <w:r w:rsidRPr="00F134BD">
        <w:rPr>
          <w:rFonts w:ascii="Calibri" w:hAnsi="Calibri" w:cs="Calibri"/>
          <w:sz w:val="22"/>
          <w:szCs w:val="22"/>
          <w:lang w:val="en-US"/>
        </w:rPr>
        <w:t xml:space="preserve">Phosphorylated P70S6K Thr389 (R&amp;D AF8963), P70S6K (R&amp;D AF8962) </w:t>
      </w:r>
      <w:proofErr w:type="spellStart"/>
      <w:proofErr w:type="gramStart"/>
      <w:r w:rsidRPr="00F134BD">
        <w:rPr>
          <w:rFonts w:ascii="Calibri" w:hAnsi="Calibri" w:cs="Calibri"/>
          <w:sz w:val="22"/>
          <w:szCs w:val="22"/>
          <w:lang w:val="en-US"/>
        </w:rPr>
        <w:t>pAMPK</w:t>
      </w:r>
      <w:proofErr w:type="spellEnd"/>
      <w:r w:rsidRPr="00F134BD">
        <w:rPr>
          <w:rFonts w:ascii="Calibri" w:hAnsi="Calibri" w:cs="Calibri"/>
          <w:sz w:val="22"/>
          <w:szCs w:val="22"/>
          <w:lang w:val="en-US"/>
        </w:rPr>
        <w:t xml:space="preserve">  Thr</w:t>
      </w:r>
      <w:proofErr w:type="gramEnd"/>
      <w:r w:rsidRPr="00F134BD">
        <w:rPr>
          <w:rFonts w:ascii="Calibri" w:hAnsi="Calibri" w:cs="Calibri"/>
          <w:sz w:val="22"/>
          <w:szCs w:val="22"/>
          <w:lang w:val="en-US"/>
        </w:rPr>
        <w:t>172 (</w:t>
      </w:r>
      <w:r w:rsidRPr="00F134BD">
        <w:rPr>
          <w:rFonts w:ascii="Calibri" w:hAnsi="Calibri" w:cs="Calibri"/>
          <w:color w:val="000000" w:themeColor="text1"/>
          <w:sz w:val="22"/>
          <w:szCs w:val="22"/>
          <w:lang w:val="en-US"/>
        </w:rPr>
        <w:t>Cell signaling 2535</w:t>
      </w:r>
      <w:r w:rsidRPr="00F134BD">
        <w:rPr>
          <w:rFonts w:ascii="Calibri" w:hAnsi="Calibri" w:cs="Calibri"/>
          <w:sz w:val="22"/>
          <w:szCs w:val="22"/>
          <w:lang w:val="en-US"/>
        </w:rPr>
        <w:t xml:space="preserve">), </w:t>
      </w:r>
      <w:r w:rsidRPr="00F134BD">
        <w:rPr>
          <w:rFonts w:ascii="Calibri" w:hAnsi="Calibri" w:cs="Calibri"/>
          <w:color w:val="000000" w:themeColor="text1"/>
          <w:sz w:val="22"/>
          <w:szCs w:val="22"/>
          <w:lang w:val="en-US"/>
        </w:rPr>
        <w:t>AMPK (Cell signaling 2532),</w:t>
      </w:r>
      <w:r w:rsidRPr="00F134BD">
        <w:rPr>
          <w:rFonts w:ascii="Calibri" w:hAnsi="Calibri" w:cs="Calibri"/>
          <w:sz w:val="22"/>
          <w:szCs w:val="22"/>
          <w:lang w:val="en-US"/>
        </w:rPr>
        <w:t xml:space="preserve"> Laminin </w:t>
      </w:r>
      <w:r w:rsidRPr="00F134BD">
        <w:rPr>
          <w:rFonts w:ascii="Calibri" w:hAnsi="Calibri" w:cs="Calibri"/>
          <w:sz w:val="22"/>
          <w:szCs w:val="22"/>
        </w:rPr>
        <w:t>β</w:t>
      </w:r>
      <w:r w:rsidRPr="00F134BD">
        <w:rPr>
          <w:rFonts w:ascii="Calibri" w:hAnsi="Calibri" w:cs="Calibri"/>
          <w:sz w:val="22"/>
          <w:szCs w:val="22"/>
          <w:lang w:val="en-US"/>
        </w:rPr>
        <w:t>2 (Santa Cruz (C4) 59980), Nephrin (Abcam 58968), Synaptopodin (Santa Cruz (D-9) 515842), ZO-1 (Invitrogen 61-7300), ACTN4 (Abcam 59468).</w:t>
      </w:r>
    </w:p>
    <w:p w14:paraId="7A9DB9D2" w14:textId="77777777" w:rsidR="00AD773F" w:rsidRPr="00F134BD" w:rsidRDefault="00AD773F" w:rsidP="00B9447A">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All primary antibodies were diluted 1:1000 and incubated overnight at 4°C. 1:15000 and 1:20000 Peroxidase-conjugated </w:t>
      </w:r>
      <w:proofErr w:type="spellStart"/>
      <w:r w:rsidRPr="00F134BD">
        <w:rPr>
          <w:rFonts w:ascii="Calibri" w:hAnsi="Calibri" w:cs="Calibri"/>
          <w:sz w:val="22"/>
          <w:szCs w:val="22"/>
          <w:lang w:val="en-US"/>
        </w:rPr>
        <w:t>AffiniPure</w:t>
      </w:r>
      <w:proofErr w:type="spellEnd"/>
      <w:r w:rsidRPr="00F134BD">
        <w:rPr>
          <w:rFonts w:ascii="Calibri" w:hAnsi="Calibri" w:cs="Calibri"/>
          <w:sz w:val="22"/>
          <w:szCs w:val="22"/>
          <w:lang w:val="en-US"/>
        </w:rPr>
        <w:t xml:space="preserve"> Donkey Anti-Rabbit IgG and Anti-mouse secondary antibodies were incubated for 1-2 hours at room temperature (</w:t>
      </w:r>
      <w:proofErr w:type="spellStart"/>
      <w:r w:rsidRPr="00F134BD">
        <w:rPr>
          <w:rFonts w:ascii="Calibri" w:hAnsi="Calibri" w:cs="Calibri"/>
          <w:sz w:val="22"/>
          <w:szCs w:val="22"/>
          <w:lang w:val="en-US"/>
        </w:rPr>
        <w:t>Dianova</w:t>
      </w:r>
      <w:proofErr w:type="spellEnd"/>
      <w:r w:rsidRPr="00F134BD">
        <w:rPr>
          <w:rFonts w:ascii="Calibri" w:hAnsi="Calibri" w:cs="Calibri"/>
          <w:sz w:val="22"/>
          <w:szCs w:val="22"/>
          <w:lang w:val="en-US"/>
        </w:rPr>
        <w:t xml:space="preserve"> GmbH, Hamburg, Germany). Bands were visualized with a </w:t>
      </w:r>
      <w:proofErr w:type="spellStart"/>
      <w:r w:rsidRPr="00F134BD">
        <w:rPr>
          <w:rFonts w:ascii="Calibri" w:hAnsi="Calibri" w:cs="Calibri"/>
          <w:sz w:val="22"/>
          <w:szCs w:val="22"/>
          <w:lang w:val="en-US"/>
        </w:rPr>
        <w:t>SuperSignal</w:t>
      </w:r>
      <w:proofErr w:type="spellEnd"/>
      <w:r w:rsidRPr="00F134BD">
        <w:rPr>
          <w:rFonts w:ascii="Calibri" w:hAnsi="Calibri" w:cs="Calibri"/>
          <w:sz w:val="22"/>
          <w:szCs w:val="22"/>
          <w:lang w:val="en-US"/>
        </w:rPr>
        <w:t xml:space="preserve"> West Pico Plus (</w:t>
      </w:r>
      <w:proofErr w:type="spellStart"/>
      <w:r w:rsidRPr="00F134BD">
        <w:rPr>
          <w:rFonts w:ascii="Calibri" w:hAnsi="Calibri" w:cs="Calibri"/>
          <w:sz w:val="22"/>
          <w:szCs w:val="22"/>
          <w:lang w:val="en-US"/>
        </w:rPr>
        <w:t>Thermo</w:t>
      </w:r>
      <w:proofErr w:type="spellEnd"/>
      <w:r w:rsidRPr="00F134BD">
        <w:rPr>
          <w:rFonts w:ascii="Calibri" w:hAnsi="Calibri" w:cs="Calibri"/>
          <w:sz w:val="22"/>
          <w:szCs w:val="22"/>
          <w:lang w:val="en-US"/>
        </w:rPr>
        <w:t xml:space="preserve"> fisher science, Germany) enhanced chemiluminescence system according to the manufacturer's instructions The development procedure was supported with the digital image system of </w:t>
      </w:r>
      <w:proofErr w:type="spellStart"/>
      <w:r w:rsidRPr="00F134BD">
        <w:rPr>
          <w:rFonts w:ascii="Calibri" w:hAnsi="Calibri" w:cs="Calibri"/>
          <w:sz w:val="22"/>
          <w:szCs w:val="22"/>
          <w:lang w:val="en-US"/>
        </w:rPr>
        <w:t>Syngene</w:t>
      </w:r>
      <w:proofErr w:type="spellEnd"/>
      <w:r w:rsidRPr="00F134BD">
        <w:rPr>
          <w:rFonts w:ascii="Calibri" w:hAnsi="Calibri" w:cs="Calibri"/>
          <w:sz w:val="22"/>
          <w:szCs w:val="22"/>
          <w:lang w:val="en-US"/>
        </w:rPr>
        <w:t xml:space="preserve"> </w:t>
      </w:r>
      <w:proofErr w:type="gramStart"/>
      <w:r w:rsidRPr="00F134BD">
        <w:rPr>
          <w:rFonts w:ascii="Calibri" w:hAnsi="Calibri" w:cs="Calibri"/>
          <w:sz w:val="22"/>
          <w:szCs w:val="22"/>
          <w:lang w:val="en-US"/>
        </w:rPr>
        <w:t>G:BOX</w:t>
      </w:r>
      <w:proofErr w:type="gramEnd"/>
      <w:r w:rsidRPr="00F134BD">
        <w:rPr>
          <w:rFonts w:ascii="Calibri" w:hAnsi="Calibri" w:cs="Calibri"/>
          <w:sz w:val="22"/>
          <w:szCs w:val="22"/>
          <w:lang w:val="en-US"/>
        </w:rPr>
        <w:t xml:space="preserve"> </w:t>
      </w:r>
      <w:proofErr w:type="spellStart"/>
      <w:r w:rsidRPr="00F134BD">
        <w:rPr>
          <w:rFonts w:ascii="Calibri" w:hAnsi="Calibri" w:cs="Calibri"/>
          <w:sz w:val="22"/>
          <w:szCs w:val="22"/>
          <w:lang w:val="en-US"/>
        </w:rPr>
        <w:t>Chemi</w:t>
      </w:r>
      <w:proofErr w:type="spellEnd"/>
      <w:r w:rsidRPr="00F134BD">
        <w:rPr>
          <w:rFonts w:ascii="Calibri" w:hAnsi="Calibri" w:cs="Calibri"/>
          <w:sz w:val="22"/>
          <w:szCs w:val="22"/>
          <w:lang w:val="en-US"/>
        </w:rPr>
        <w:t xml:space="preserve"> XRQ  (VWR, Germany). When further antigen detection was required, membranes were incubated in glycine stripping buffer for 30 minutes at 52°C. After further washing cycles and blocking, the membranes were reused for subsequent antibody probes.</w:t>
      </w:r>
    </w:p>
    <w:p w14:paraId="0FEEA434" w14:textId="5DF8ADE5" w:rsidR="00AD773F" w:rsidRPr="00F134BD" w:rsidRDefault="00AD773F" w:rsidP="688F8DAF">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lastRenderedPageBreak/>
        <w:t>All protein lysates for western blots shown in this manuscript (Figure</w:t>
      </w:r>
      <w:r w:rsidR="002C2066" w:rsidRPr="00F134BD">
        <w:rPr>
          <w:rFonts w:ascii="Calibri" w:hAnsi="Calibri" w:cs="Calibri"/>
          <w:sz w:val="22"/>
          <w:szCs w:val="22"/>
          <w:lang w:val="en-US"/>
        </w:rPr>
        <w:t xml:space="preserve"> </w:t>
      </w:r>
      <w:r w:rsidRPr="00F134BD">
        <w:rPr>
          <w:rFonts w:ascii="Calibri" w:hAnsi="Calibri" w:cs="Calibri"/>
          <w:sz w:val="22"/>
          <w:szCs w:val="22"/>
          <w:lang w:val="en-US"/>
        </w:rPr>
        <w:t>1f, Figure</w:t>
      </w:r>
      <w:r w:rsidR="002C2066" w:rsidRPr="00F134BD">
        <w:rPr>
          <w:rFonts w:ascii="Calibri" w:hAnsi="Calibri" w:cs="Calibri"/>
          <w:sz w:val="22"/>
          <w:szCs w:val="22"/>
          <w:lang w:val="en-US"/>
        </w:rPr>
        <w:t xml:space="preserve"> </w:t>
      </w:r>
      <w:r w:rsidRPr="00F134BD">
        <w:rPr>
          <w:rFonts w:ascii="Calibri" w:hAnsi="Calibri" w:cs="Calibri"/>
          <w:sz w:val="22"/>
          <w:szCs w:val="22"/>
          <w:lang w:val="en-US"/>
        </w:rPr>
        <w:t>S5 and Figure</w:t>
      </w:r>
      <w:r w:rsidR="002C2066" w:rsidRPr="00F134BD">
        <w:rPr>
          <w:rFonts w:ascii="Calibri" w:hAnsi="Calibri" w:cs="Calibri"/>
          <w:sz w:val="22"/>
          <w:szCs w:val="22"/>
          <w:lang w:val="en-US"/>
        </w:rPr>
        <w:t xml:space="preserve"> </w:t>
      </w:r>
      <w:r w:rsidRPr="00F134BD">
        <w:rPr>
          <w:rFonts w:ascii="Calibri" w:hAnsi="Calibri" w:cs="Calibri"/>
          <w:sz w:val="22"/>
          <w:szCs w:val="22"/>
          <w:lang w:val="en-US"/>
        </w:rPr>
        <w:t xml:space="preserve">S7 were loaded on the same gel for all antibodies of interest, except for </w:t>
      </w:r>
      <w:proofErr w:type="spellStart"/>
      <w:r w:rsidRPr="00F134BD">
        <w:rPr>
          <w:rFonts w:ascii="Calibri" w:hAnsi="Calibri" w:cs="Calibri"/>
          <w:sz w:val="22"/>
          <w:szCs w:val="22"/>
          <w:lang w:val="en-US"/>
        </w:rPr>
        <w:t>pAMPK</w:t>
      </w:r>
      <w:proofErr w:type="spellEnd"/>
      <w:r w:rsidRPr="00F134BD">
        <w:rPr>
          <w:rFonts w:ascii="Calibri" w:hAnsi="Calibri" w:cs="Calibri"/>
          <w:sz w:val="22"/>
          <w:szCs w:val="22"/>
          <w:lang w:val="en-US"/>
        </w:rPr>
        <w:t xml:space="preserve"> rapamycin effect in Figure</w:t>
      </w:r>
      <w:r w:rsidR="002C2066" w:rsidRPr="00F134BD">
        <w:rPr>
          <w:rFonts w:ascii="Calibri" w:hAnsi="Calibri" w:cs="Calibri"/>
          <w:sz w:val="22"/>
          <w:szCs w:val="22"/>
          <w:lang w:val="en-US"/>
        </w:rPr>
        <w:t xml:space="preserve"> </w:t>
      </w:r>
      <w:r w:rsidRPr="00F134BD">
        <w:rPr>
          <w:rFonts w:ascii="Calibri" w:hAnsi="Calibri" w:cs="Calibri"/>
          <w:sz w:val="22"/>
          <w:szCs w:val="22"/>
          <w:lang w:val="en-US"/>
        </w:rPr>
        <w:t>S7, male and female lysate samples were run for each sex on separate gels.</w:t>
      </w:r>
    </w:p>
    <w:p w14:paraId="511E1C8E" w14:textId="77777777" w:rsidR="00AD773F" w:rsidRPr="00F134BD" w:rsidRDefault="00AD773F" w:rsidP="688F8DAF">
      <w:pPr>
        <w:pStyle w:val="Default"/>
        <w:spacing w:line="480" w:lineRule="auto"/>
        <w:jc w:val="both"/>
        <w:rPr>
          <w:rFonts w:ascii="Calibri" w:hAnsi="Calibri" w:cs="Calibri"/>
          <w:b/>
          <w:bCs/>
          <w:sz w:val="22"/>
          <w:szCs w:val="22"/>
          <w:lang w:val="en-US"/>
        </w:rPr>
      </w:pPr>
    </w:p>
    <w:p w14:paraId="0B3A603C" w14:textId="77777777" w:rsidR="00AD773F" w:rsidRPr="00F134BD" w:rsidRDefault="00AD773F" w:rsidP="00844BB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t>Histological analyses</w:t>
      </w:r>
    </w:p>
    <w:p w14:paraId="598A9FCF" w14:textId="77777777" w:rsidR="00AD773F" w:rsidRPr="00F134BD" w:rsidRDefault="00AD773F" w:rsidP="009E6EC3">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Tissues were processed with standard protocol using </w:t>
      </w:r>
      <w:proofErr w:type="spellStart"/>
      <w:r w:rsidRPr="00F134BD">
        <w:rPr>
          <w:rFonts w:ascii="Calibri" w:hAnsi="Calibri" w:cs="Calibri"/>
          <w:sz w:val="22"/>
          <w:szCs w:val="22"/>
          <w:lang w:val="en-US"/>
        </w:rPr>
        <w:t>Thermo</w:t>
      </w:r>
      <w:proofErr w:type="spellEnd"/>
      <w:r w:rsidRPr="00F134BD">
        <w:rPr>
          <w:rFonts w:ascii="Calibri" w:hAnsi="Calibri" w:cs="Calibri"/>
          <w:sz w:val="22"/>
          <w:szCs w:val="22"/>
          <w:lang w:val="en-US"/>
        </w:rPr>
        <w:t xml:space="preserve"> scientific </w:t>
      </w:r>
      <w:proofErr w:type="spellStart"/>
      <w:proofErr w:type="gramStart"/>
      <w:r w:rsidRPr="00F134BD">
        <w:rPr>
          <w:rFonts w:ascii="Calibri" w:hAnsi="Calibri" w:cs="Calibri"/>
          <w:sz w:val="22"/>
          <w:szCs w:val="22"/>
          <w:lang w:val="en-US"/>
        </w:rPr>
        <w:t>HistoStar</w:t>
      </w:r>
      <w:r w:rsidRPr="00F134BD">
        <w:rPr>
          <w:rFonts w:ascii="Calibri" w:hAnsi="Calibri" w:cs="Calibri"/>
          <w:sz w:val="22"/>
          <w:szCs w:val="22"/>
          <w:vertAlign w:val="superscript"/>
          <w:lang w:val="en-US"/>
        </w:rPr>
        <w:t>Tm</w:t>
      </w:r>
      <w:proofErr w:type="spellEnd"/>
      <w:r w:rsidRPr="00F134BD">
        <w:rPr>
          <w:rFonts w:ascii="Calibri" w:hAnsi="Calibri" w:cs="Calibri"/>
          <w:sz w:val="22"/>
          <w:szCs w:val="22"/>
          <w:lang w:val="en-US"/>
        </w:rPr>
        <w:t xml:space="preserve">  A</w:t>
      </w:r>
      <w:proofErr w:type="gramEnd"/>
      <w:r w:rsidRPr="00F134BD">
        <w:rPr>
          <w:rFonts w:ascii="Calibri" w:hAnsi="Calibri" w:cs="Calibri"/>
          <w:sz w:val="22"/>
          <w:szCs w:val="22"/>
          <w:lang w:val="en-US"/>
        </w:rPr>
        <w:t>810101000 issue 2 (</w:t>
      </w:r>
      <w:proofErr w:type="spellStart"/>
      <w:r w:rsidRPr="00F134BD">
        <w:rPr>
          <w:rFonts w:ascii="Calibri" w:hAnsi="Calibri" w:cs="Calibri"/>
          <w:sz w:val="22"/>
          <w:szCs w:val="22"/>
          <w:lang w:val="en-US"/>
        </w:rPr>
        <w:t>Thermo</w:t>
      </w:r>
      <w:proofErr w:type="spellEnd"/>
      <w:r w:rsidRPr="00F134BD">
        <w:rPr>
          <w:rFonts w:ascii="Calibri" w:hAnsi="Calibri" w:cs="Calibri"/>
          <w:sz w:val="22"/>
          <w:szCs w:val="22"/>
          <w:lang w:val="en-US"/>
        </w:rPr>
        <w:t xml:space="preserve"> fisher science, Germany), and stored at 4°C. Paraffin-blocks were cut into 4 </w:t>
      </w:r>
      <w:r w:rsidRPr="00F134BD">
        <w:rPr>
          <w:rFonts w:ascii="Calibri" w:hAnsi="Calibri" w:cs="Calibri"/>
          <w:sz w:val="22"/>
          <w:szCs w:val="22"/>
        </w:rPr>
        <w:t>μ</w:t>
      </w:r>
      <w:r w:rsidRPr="00F134BD">
        <w:rPr>
          <w:rFonts w:ascii="Calibri" w:hAnsi="Calibri" w:cs="Calibri"/>
          <w:sz w:val="22"/>
          <w:szCs w:val="22"/>
          <w:lang w:val="en-US"/>
        </w:rPr>
        <w:t>m-thick sections with a microtome (</w:t>
      </w:r>
      <w:proofErr w:type="spellStart"/>
      <w:r w:rsidRPr="00F134BD">
        <w:rPr>
          <w:rFonts w:ascii="Calibri" w:hAnsi="Calibri" w:cs="Calibri"/>
          <w:sz w:val="22"/>
          <w:szCs w:val="22"/>
          <w:lang w:val="en-US"/>
        </w:rPr>
        <w:t>Thermo</w:t>
      </w:r>
      <w:proofErr w:type="spellEnd"/>
      <w:r w:rsidRPr="00F134BD">
        <w:rPr>
          <w:rFonts w:ascii="Calibri" w:hAnsi="Calibri" w:cs="Calibri"/>
          <w:sz w:val="22"/>
          <w:szCs w:val="22"/>
          <w:lang w:val="en-US"/>
        </w:rPr>
        <w:t xml:space="preserve"> fisher science, Germany), transferred to microscope slides and dried over night at room temperature. Paraffin-embedded kidney tissue sections were stained with PAS staining and </w:t>
      </w:r>
      <w:proofErr w:type="spellStart"/>
      <w:r w:rsidRPr="00F134BD">
        <w:rPr>
          <w:rFonts w:ascii="Calibri" w:hAnsi="Calibri" w:cs="Calibri"/>
          <w:sz w:val="22"/>
          <w:szCs w:val="22"/>
          <w:lang w:val="en-US"/>
        </w:rPr>
        <w:t>Picro</w:t>
      </w:r>
      <w:proofErr w:type="spellEnd"/>
      <w:r w:rsidRPr="00F134BD">
        <w:rPr>
          <w:rFonts w:ascii="Calibri" w:hAnsi="Calibri" w:cs="Calibri"/>
          <w:sz w:val="22"/>
          <w:szCs w:val="22"/>
          <w:lang w:val="en-US"/>
        </w:rPr>
        <w:t xml:space="preserve"> red Sirius staining according to standard protocol. Images were evaluated in at least 50 glomeruli of each mouse Field of view (</w:t>
      </w:r>
      <w:proofErr w:type="spellStart"/>
      <w:r w:rsidRPr="00F134BD">
        <w:rPr>
          <w:rFonts w:ascii="Calibri" w:hAnsi="Calibri" w:cs="Calibri"/>
          <w:sz w:val="22"/>
          <w:szCs w:val="22"/>
          <w:lang w:val="en-US"/>
        </w:rPr>
        <w:t>FoV</w:t>
      </w:r>
      <w:proofErr w:type="spellEnd"/>
      <w:r w:rsidRPr="00F134BD">
        <w:rPr>
          <w:rFonts w:ascii="Calibri" w:hAnsi="Calibri" w:cs="Calibri"/>
          <w:sz w:val="22"/>
          <w:szCs w:val="22"/>
          <w:lang w:val="en-US"/>
        </w:rPr>
        <w:t xml:space="preserve">) at 200× magnification under a microscope (Zeiss, Jena, Germany). </w:t>
      </w:r>
    </w:p>
    <w:p w14:paraId="3621A303" w14:textId="77777777" w:rsidR="00AD773F" w:rsidRPr="00F134BD" w:rsidRDefault="00AD773F" w:rsidP="009E6EC3">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Further, 4 µm thick </w:t>
      </w:r>
      <w:proofErr w:type="spellStart"/>
      <w:r w:rsidRPr="00F134BD">
        <w:rPr>
          <w:rFonts w:ascii="Calibri" w:hAnsi="Calibri" w:cs="Calibri"/>
          <w:sz w:val="22"/>
          <w:szCs w:val="22"/>
          <w:lang w:val="en-US"/>
        </w:rPr>
        <w:t>Cryo</w:t>
      </w:r>
      <w:proofErr w:type="spellEnd"/>
      <w:r w:rsidRPr="00F134BD">
        <w:rPr>
          <w:rFonts w:ascii="Calibri" w:hAnsi="Calibri" w:cs="Calibri"/>
          <w:sz w:val="22"/>
          <w:szCs w:val="22"/>
          <w:lang w:val="en-US"/>
        </w:rPr>
        <w:t xml:space="preserve"> sections were performed from kidney cortex tissue from Cre-positive and Cre-negative NPHS2 mice embedded in O.C.T. and used for fluorescence microscopy to detect genetic labelling and fluorescent co-staining with synaptopodin antibodies. Sections were fixed using 4 % formaldehyde followed by permeabilization with 0.3 % Triton X100. After blocking with normal goat serum, sections were incubated with or without synaptopodin antibody (Santa Cruz (D-9): </w:t>
      </w:r>
      <w:proofErr w:type="spellStart"/>
      <w:r w:rsidRPr="00F134BD">
        <w:rPr>
          <w:rFonts w:ascii="Calibri" w:hAnsi="Calibri" w:cs="Calibri"/>
          <w:sz w:val="22"/>
          <w:szCs w:val="22"/>
          <w:lang w:val="en-US"/>
        </w:rPr>
        <w:t>sc</w:t>
      </w:r>
      <w:proofErr w:type="spellEnd"/>
      <w:r w:rsidRPr="00F134BD">
        <w:rPr>
          <w:rFonts w:ascii="Calibri" w:hAnsi="Calibri" w:cs="Calibri"/>
          <w:sz w:val="22"/>
          <w:szCs w:val="22"/>
          <w:lang w:val="en-US"/>
        </w:rPr>
        <w:t xml:space="preserve"> 515842 1:50) overnight at 4°C. Then, sections were incubated for 1-2 hours at room temperature with Alexa </w:t>
      </w:r>
      <w:proofErr w:type="spellStart"/>
      <w:r w:rsidRPr="00F134BD">
        <w:rPr>
          <w:rFonts w:ascii="Calibri" w:hAnsi="Calibri" w:cs="Calibri"/>
          <w:sz w:val="22"/>
          <w:szCs w:val="22"/>
          <w:lang w:val="en-US"/>
        </w:rPr>
        <w:t>FluorTM</w:t>
      </w:r>
      <w:proofErr w:type="spellEnd"/>
      <w:r w:rsidRPr="00F134BD">
        <w:rPr>
          <w:rFonts w:ascii="Calibri" w:hAnsi="Calibri" w:cs="Calibri"/>
          <w:sz w:val="22"/>
          <w:szCs w:val="22"/>
          <w:lang w:val="en-US"/>
        </w:rPr>
        <w:t xml:space="preserve"> 633 (</w:t>
      </w:r>
      <w:proofErr w:type="spellStart"/>
      <w:r w:rsidRPr="00F134BD">
        <w:rPr>
          <w:rFonts w:ascii="Calibri" w:hAnsi="Calibri" w:cs="Calibri"/>
          <w:sz w:val="22"/>
          <w:szCs w:val="22"/>
          <w:lang w:val="en-US"/>
        </w:rPr>
        <w:t>Thermo</w:t>
      </w:r>
      <w:proofErr w:type="spellEnd"/>
      <w:r w:rsidRPr="00F134BD">
        <w:rPr>
          <w:rFonts w:ascii="Calibri" w:hAnsi="Calibri" w:cs="Calibri"/>
          <w:sz w:val="22"/>
          <w:szCs w:val="22"/>
          <w:lang w:val="en-US"/>
        </w:rPr>
        <w:t xml:space="preserve"> fisher science, Germany). After washing three times with PBS for 5 min, nuclear counterstaining was performed with DAPI for 5 min and then slides were mounted with Aqua </w:t>
      </w:r>
      <w:proofErr w:type="spellStart"/>
      <w:r w:rsidRPr="00F134BD">
        <w:rPr>
          <w:rFonts w:ascii="Calibri" w:hAnsi="Calibri" w:cs="Calibri"/>
          <w:sz w:val="22"/>
          <w:szCs w:val="22"/>
          <w:lang w:val="en-US"/>
        </w:rPr>
        <w:t>polymount</w:t>
      </w:r>
      <w:proofErr w:type="spellEnd"/>
      <w:r w:rsidRPr="00F134BD">
        <w:rPr>
          <w:rFonts w:ascii="Calibri" w:hAnsi="Calibri" w:cs="Calibri"/>
          <w:sz w:val="22"/>
          <w:szCs w:val="22"/>
          <w:lang w:val="en-US"/>
        </w:rPr>
        <w:t xml:space="preserve"> mounting medium. Images were evaluated at 200x magnification under a fluorescence microscope (Zeiss, Jena, Germany).</w:t>
      </w:r>
    </w:p>
    <w:p w14:paraId="437789A0" w14:textId="77777777" w:rsidR="00AD773F" w:rsidRPr="00F134BD" w:rsidRDefault="00AD773F" w:rsidP="009E6EC3">
      <w:pPr>
        <w:pStyle w:val="Default"/>
        <w:spacing w:line="480" w:lineRule="auto"/>
        <w:jc w:val="both"/>
        <w:rPr>
          <w:rFonts w:ascii="Calibri" w:hAnsi="Calibri" w:cs="Calibri"/>
          <w:sz w:val="22"/>
          <w:szCs w:val="22"/>
          <w:lang w:val="en-US"/>
        </w:rPr>
      </w:pPr>
    </w:p>
    <w:p w14:paraId="5BE7894D" w14:textId="77777777" w:rsidR="00AD773F" w:rsidRPr="00F134BD" w:rsidRDefault="00AD773F" w:rsidP="009E6EC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t xml:space="preserve">Electron microscopy </w:t>
      </w:r>
    </w:p>
    <w:p w14:paraId="5C8B486E" w14:textId="3B877C50" w:rsidR="00AD773F" w:rsidRPr="00F134BD" w:rsidRDefault="00AD773F" w:rsidP="00844BB3">
      <w:pPr>
        <w:pStyle w:val="Default"/>
        <w:spacing w:line="480" w:lineRule="auto"/>
        <w:jc w:val="both"/>
        <w:rPr>
          <w:rFonts w:ascii="Calibri" w:hAnsi="Calibri" w:cs="Calibri"/>
          <w:color w:val="505050"/>
          <w:sz w:val="22"/>
          <w:szCs w:val="22"/>
          <w:lang w:val="en"/>
        </w:rPr>
      </w:pPr>
      <w:r w:rsidRPr="00F134BD">
        <w:rPr>
          <w:rFonts w:ascii="Calibri" w:hAnsi="Calibri" w:cs="Calibri"/>
          <w:sz w:val="22"/>
          <w:szCs w:val="22"/>
          <w:lang w:val="en-US"/>
        </w:rPr>
        <w:t xml:space="preserve">A total of eight mice (two vehicle and two rapamycin treated mice for each sex) wase used for electron microscopic examination. </w:t>
      </w:r>
      <w:r w:rsidR="004E04BF" w:rsidRPr="00F134BD">
        <w:rPr>
          <w:rFonts w:ascii="Calibri" w:hAnsi="Calibri" w:cs="Calibri"/>
          <w:sz w:val="22"/>
          <w:szCs w:val="22"/>
          <w:lang w:val="en-US"/>
        </w:rPr>
        <w:t xml:space="preserve">After </w:t>
      </w:r>
      <w:r w:rsidRPr="00F134BD">
        <w:rPr>
          <w:rFonts w:ascii="Calibri" w:hAnsi="Calibri" w:cs="Calibri"/>
          <w:sz w:val="22"/>
          <w:szCs w:val="22"/>
          <w:lang w:val="en-US"/>
        </w:rPr>
        <w:t xml:space="preserve">three weeks of treatment, mice were anesthetized with ketamine and </w:t>
      </w:r>
      <w:r w:rsidRPr="00F134BD">
        <w:rPr>
          <w:rFonts w:ascii="Calibri" w:hAnsi="Calibri" w:cs="Calibri"/>
          <w:sz w:val="22"/>
          <w:szCs w:val="22"/>
          <w:lang w:val="en-US"/>
        </w:rPr>
        <w:lastRenderedPageBreak/>
        <w:t xml:space="preserve">perfusion-fixed with 3% paraformaldehyde in 0.1M Na-cacodylate buffer applied via catheter inserted in the </w:t>
      </w:r>
      <w:r w:rsidRPr="00F134BD">
        <w:rPr>
          <w:rFonts w:ascii="Calibri" w:hAnsi="Calibri" w:cs="Calibri"/>
          <w:color w:val="auto"/>
          <w:sz w:val="22"/>
          <w:szCs w:val="22"/>
          <w:lang w:val="en-US"/>
        </w:rPr>
        <w:t>abdominal aorta. Kidneys were post-fixed with 1.5% glutaraldehyde in PBS/picric acid, embedded in EPON812 (Sigma-Aldrich, Germany), ultrathin</w:t>
      </w:r>
      <w:r w:rsidRPr="00F134BD">
        <w:rPr>
          <w:rFonts w:ascii="Calibri" w:hAnsi="Calibri" w:cs="Calibri"/>
          <w:sz w:val="22"/>
          <w:szCs w:val="22"/>
          <w:lang w:val="en-US"/>
        </w:rPr>
        <w:t xml:space="preserve">-sectioned and examined with a Zeiss EM912 transmission electron microscope as </w:t>
      </w:r>
      <w:r w:rsidR="00C755FC" w:rsidRPr="00F134BD">
        <w:rPr>
          <w:rFonts w:ascii="Calibri" w:hAnsi="Calibri" w:cs="Calibri"/>
          <w:sz w:val="22"/>
          <w:szCs w:val="22"/>
          <w:lang w:val="en-US"/>
        </w:rPr>
        <w:t xml:space="preserve">previously </w:t>
      </w:r>
      <w:r w:rsidRPr="00F134BD">
        <w:rPr>
          <w:rFonts w:ascii="Calibri" w:hAnsi="Calibri" w:cs="Calibri"/>
          <w:sz w:val="22"/>
          <w:szCs w:val="22"/>
          <w:lang w:val="en-US"/>
        </w:rPr>
        <w:t xml:space="preserve">described </w:t>
      </w:r>
      <w:r w:rsidRPr="00F134BD">
        <w:rPr>
          <w:rFonts w:ascii="Calibri" w:hAnsi="Calibri" w:cs="Calibri"/>
          <w:noProof/>
          <w:sz w:val="22"/>
          <w:szCs w:val="22"/>
          <w:lang w:val="en-US"/>
        </w:rPr>
        <w:t>[20]</w:t>
      </w:r>
      <w:r w:rsidRPr="00F134BD">
        <w:rPr>
          <w:rFonts w:ascii="Calibri" w:hAnsi="Calibri" w:cs="Calibri"/>
          <w:sz w:val="22"/>
          <w:szCs w:val="22"/>
          <w:lang w:val="en-US"/>
        </w:rPr>
        <w:t xml:space="preserve">. </w:t>
      </w:r>
    </w:p>
    <w:p w14:paraId="66668EA8" w14:textId="77777777" w:rsidR="00AD773F" w:rsidRPr="00F134BD" w:rsidRDefault="00AD773F" w:rsidP="00844BB3">
      <w:pPr>
        <w:pStyle w:val="Default"/>
        <w:spacing w:line="480" w:lineRule="auto"/>
        <w:jc w:val="both"/>
        <w:rPr>
          <w:rFonts w:ascii="Calibri" w:hAnsi="Calibri" w:cs="Calibri"/>
          <w:sz w:val="22"/>
          <w:szCs w:val="22"/>
          <w:lang w:val="en-US"/>
        </w:rPr>
      </w:pPr>
    </w:p>
    <w:p w14:paraId="077BB60D" w14:textId="77777777" w:rsidR="00AD773F" w:rsidRPr="00F134BD" w:rsidRDefault="00AD773F" w:rsidP="00844BB3">
      <w:pPr>
        <w:pStyle w:val="Default"/>
        <w:spacing w:line="480" w:lineRule="auto"/>
        <w:jc w:val="both"/>
        <w:rPr>
          <w:rFonts w:ascii="Calibri" w:hAnsi="Calibri" w:cs="Calibri"/>
          <w:b/>
          <w:sz w:val="22"/>
          <w:szCs w:val="22"/>
          <w:lang w:val="en-US"/>
        </w:rPr>
      </w:pPr>
      <w:r w:rsidRPr="00F134BD">
        <w:rPr>
          <w:rFonts w:ascii="Calibri" w:hAnsi="Calibri" w:cs="Calibri"/>
          <w:b/>
          <w:sz w:val="22"/>
          <w:szCs w:val="22"/>
          <w:lang w:val="en-US"/>
        </w:rPr>
        <w:t xml:space="preserve">Metabolomics </w:t>
      </w:r>
    </w:p>
    <w:p w14:paraId="3003BD3B" w14:textId="77777777" w:rsidR="00AD773F" w:rsidRPr="00F134BD" w:rsidRDefault="00AD773F" w:rsidP="614B2467">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Metabolomics was performed as described previously [21]. In summary, 50 mg of podocytes-enriched cortex kidney tissue was used from male vehicle (n=6), male rapamycin (n=6), female vehicle (n=7), and female rapamycin (n=5). The tissue was </w:t>
      </w:r>
      <w:proofErr w:type="spellStart"/>
      <w:r w:rsidRPr="00F134BD">
        <w:rPr>
          <w:rFonts w:ascii="Calibri" w:hAnsi="Calibri" w:cs="Calibri"/>
          <w:sz w:val="22"/>
          <w:szCs w:val="22"/>
          <w:lang w:val="en-US"/>
        </w:rPr>
        <w:t>lyzed</w:t>
      </w:r>
      <w:proofErr w:type="spellEnd"/>
      <w:r w:rsidRPr="00F134BD">
        <w:rPr>
          <w:rFonts w:ascii="Calibri" w:hAnsi="Calibri" w:cs="Calibri"/>
          <w:sz w:val="22"/>
          <w:szCs w:val="22"/>
          <w:lang w:val="en-US"/>
        </w:rPr>
        <w:t xml:space="preserve"> by addition of 1 mL/50 mg tissue </w:t>
      </w:r>
      <w:proofErr w:type="spellStart"/>
      <w:proofErr w:type="gramStart"/>
      <w:r w:rsidRPr="00F134BD">
        <w:rPr>
          <w:rFonts w:ascii="Calibri" w:hAnsi="Calibri" w:cs="Calibri"/>
          <w:sz w:val="22"/>
          <w:szCs w:val="22"/>
          <w:lang w:val="en-US"/>
        </w:rPr>
        <w:t>Methanol:Chloroform</w:t>
      </w:r>
      <w:proofErr w:type="gramEnd"/>
      <w:r w:rsidRPr="00F134BD">
        <w:rPr>
          <w:rFonts w:ascii="Calibri" w:hAnsi="Calibri" w:cs="Calibri"/>
          <w:sz w:val="22"/>
          <w:szCs w:val="22"/>
          <w:lang w:val="en-US"/>
        </w:rPr>
        <w:t>:Water</w:t>
      </w:r>
      <w:proofErr w:type="spellEnd"/>
      <w:r w:rsidRPr="00F134BD">
        <w:rPr>
          <w:rFonts w:ascii="Calibri" w:hAnsi="Calibri" w:cs="Calibri"/>
          <w:sz w:val="22"/>
          <w:szCs w:val="22"/>
          <w:lang w:val="en-US"/>
        </w:rPr>
        <w:t xml:space="preserve"> (5:2:1, v/v/v) mixture </w:t>
      </w:r>
      <w:r w:rsidRPr="00F134BD">
        <w:rPr>
          <w:rFonts w:ascii="Calibri" w:hAnsi="Calibri" w:cs="Calibri"/>
          <w:sz w:val="22"/>
          <w:szCs w:val="22"/>
          <w:lang w:val="en-GB"/>
        </w:rPr>
        <w:t>containing 2 µg/mL cinnamic acid as internal standard</w:t>
      </w:r>
      <w:r w:rsidRPr="00F134BD">
        <w:rPr>
          <w:rFonts w:ascii="Calibri" w:hAnsi="Calibri" w:cs="Calibri"/>
          <w:sz w:val="22"/>
          <w:szCs w:val="22"/>
          <w:lang w:val="en-US"/>
        </w:rPr>
        <w:t xml:space="preserve">. Samples were extracted using </w:t>
      </w:r>
      <w:proofErr w:type="spellStart"/>
      <w:r w:rsidRPr="00F134BD">
        <w:rPr>
          <w:rFonts w:ascii="Calibri" w:hAnsi="Calibri" w:cs="Calibri"/>
          <w:sz w:val="22"/>
          <w:szCs w:val="22"/>
          <w:lang w:val="en-US"/>
        </w:rPr>
        <w:t>Precellys</w:t>
      </w:r>
      <w:proofErr w:type="spellEnd"/>
      <w:r w:rsidRPr="00F134BD">
        <w:rPr>
          <w:rFonts w:ascii="Calibri" w:hAnsi="Calibri" w:cs="Calibri"/>
          <w:sz w:val="22"/>
          <w:szCs w:val="22"/>
          <w:lang w:val="en-US"/>
        </w:rPr>
        <w:t xml:space="preserve"> 24 Tissue </w:t>
      </w:r>
      <w:proofErr w:type="spellStart"/>
      <w:r w:rsidRPr="00F134BD">
        <w:rPr>
          <w:rFonts w:ascii="Calibri" w:hAnsi="Calibri" w:cs="Calibri"/>
          <w:sz w:val="22"/>
          <w:szCs w:val="22"/>
          <w:lang w:val="en-US"/>
        </w:rPr>
        <w:t>Lyser</w:t>
      </w:r>
      <w:proofErr w:type="spellEnd"/>
      <w:r w:rsidRPr="00F134BD">
        <w:rPr>
          <w:rFonts w:ascii="Calibri" w:hAnsi="Calibri" w:cs="Calibri"/>
          <w:sz w:val="22"/>
          <w:szCs w:val="22"/>
          <w:lang w:val="en-US"/>
        </w:rPr>
        <w:t xml:space="preserve"> (</w:t>
      </w:r>
      <w:proofErr w:type="spellStart"/>
      <w:r w:rsidRPr="00F134BD">
        <w:rPr>
          <w:rFonts w:ascii="Calibri" w:hAnsi="Calibri" w:cs="Calibri"/>
          <w:sz w:val="22"/>
          <w:szCs w:val="22"/>
          <w:lang w:val="en-US"/>
        </w:rPr>
        <w:t>Peqlab</w:t>
      </w:r>
      <w:proofErr w:type="spellEnd"/>
      <w:r w:rsidRPr="00F134BD">
        <w:rPr>
          <w:rFonts w:ascii="Calibri" w:hAnsi="Calibri" w:cs="Calibri"/>
          <w:sz w:val="22"/>
          <w:szCs w:val="22"/>
          <w:lang w:val="en-US"/>
        </w:rPr>
        <w:t>) combined with a nitrogen cooling unit (</w:t>
      </w:r>
      <w:proofErr w:type="spellStart"/>
      <w:r w:rsidRPr="00F134BD">
        <w:rPr>
          <w:rFonts w:ascii="Calibri" w:hAnsi="Calibri" w:cs="Calibri"/>
          <w:sz w:val="22"/>
          <w:szCs w:val="22"/>
          <w:lang w:val="en-US"/>
        </w:rPr>
        <w:t>Cryolys</w:t>
      </w:r>
      <w:proofErr w:type="spellEnd"/>
      <w:r w:rsidRPr="00F134BD">
        <w:rPr>
          <w:rFonts w:ascii="Calibri" w:hAnsi="Calibri" w:cs="Calibri"/>
          <w:sz w:val="22"/>
          <w:szCs w:val="22"/>
          <w:lang w:val="en-US"/>
        </w:rPr>
        <w:t xml:space="preserve">). Samples were incubated for 30 min at 4°C with shaking. 500 µL/50 mg tissue of water was added followed by incubation for 15 min at 4°C with shaking. The vials were centrifuged at 18,213 x g at 4°C. After extraction, 200 µL of polar phases were dried at 30°C at a speed of 1,550 x g at 0.1 mbar using a rotational vacuum concentrator (RVC 2-33 </w:t>
      </w:r>
      <w:proofErr w:type="spellStart"/>
      <w:r w:rsidRPr="00F134BD">
        <w:rPr>
          <w:rFonts w:ascii="Calibri" w:hAnsi="Calibri" w:cs="Calibri"/>
          <w:sz w:val="22"/>
          <w:szCs w:val="22"/>
          <w:lang w:val="en-US"/>
        </w:rPr>
        <w:t>CDplus</w:t>
      </w:r>
      <w:proofErr w:type="spellEnd"/>
      <w:r w:rsidRPr="00F134BD">
        <w:rPr>
          <w:rFonts w:ascii="Calibri" w:hAnsi="Calibri" w:cs="Calibri"/>
          <w:sz w:val="22"/>
          <w:szCs w:val="22"/>
          <w:lang w:val="en-US"/>
        </w:rPr>
        <w:t>, Christ, Osterode am Harz, Germany). Samples were pooled after extraction and used as a quality control sample to test the technical variability. They were prepared alongside the samples in the same way.</w:t>
      </w:r>
    </w:p>
    <w:p w14:paraId="1A7F563B" w14:textId="77777777" w:rsidR="00AD773F" w:rsidRPr="00F134BD" w:rsidRDefault="00AD773F" w:rsidP="00844BB3">
      <w:pPr>
        <w:pStyle w:val="Default"/>
        <w:spacing w:line="480" w:lineRule="auto"/>
        <w:jc w:val="both"/>
        <w:rPr>
          <w:rFonts w:ascii="Calibri" w:hAnsi="Calibri" w:cs="Calibri"/>
          <w:sz w:val="22"/>
          <w:szCs w:val="22"/>
          <w:lang w:val="en-US"/>
        </w:rPr>
      </w:pPr>
    </w:p>
    <w:p w14:paraId="221BC816" w14:textId="77777777" w:rsidR="00AD773F" w:rsidRPr="00F134BD" w:rsidRDefault="00AD773F" w:rsidP="00844BB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t>Gas chromatography-mass spectrometry (GC-MS) measurement</w:t>
      </w:r>
    </w:p>
    <w:p w14:paraId="1ED7C5BE" w14:textId="01F61E17" w:rsidR="00AD773F" w:rsidRPr="00F134BD" w:rsidRDefault="00AD773F" w:rsidP="00844BB3">
      <w:pPr>
        <w:pStyle w:val="Default"/>
        <w:spacing w:line="480" w:lineRule="auto"/>
        <w:jc w:val="both"/>
        <w:rPr>
          <w:rFonts w:ascii="Calibri" w:hAnsi="Calibri" w:cs="Calibri"/>
          <w:sz w:val="22"/>
          <w:szCs w:val="22"/>
          <w:lang w:val="en-US"/>
        </w:rPr>
      </w:pPr>
      <w:r w:rsidRPr="00F134BD">
        <w:rPr>
          <w:rFonts w:ascii="Calibri" w:hAnsi="Calibri" w:cs="Calibri"/>
          <w:sz w:val="22"/>
          <w:szCs w:val="22"/>
          <w:lang w:val="en-US"/>
        </w:rPr>
        <w:t xml:space="preserve">All polar extracts were stored dry at -80°C until analysis. Extracts were removed from the freezer and dried in a rotational vacuum concentrator for 60 min before further processing to ensure there was no residual water which may influence derivatization efficiency. Dried extracts were dissolved in 15 µL of </w:t>
      </w:r>
      <w:proofErr w:type="spellStart"/>
      <w:r w:rsidRPr="00F134BD">
        <w:rPr>
          <w:rFonts w:ascii="Calibri" w:hAnsi="Calibri" w:cs="Calibri"/>
          <w:sz w:val="22"/>
          <w:szCs w:val="22"/>
          <w:lang w:val="en-US"/>
        </w:rPr>
        <w:t>methoxyamine</w:t>
      </w:r>
      <w:proofErr w:type="spellEnd"/>
      <w:r w:rsidRPr="00F134BD">
        <w:rPr>
          <w:rFonts w:ascii="Calibri" w:hAnsi="Calibri" w:cs="Calibri"/>
          <w:sz w:val="22"/>
          <w:szCs w:val="22"/>
          <w:lang w:val="en-US"/>
        </w:rPr>
        <w:t xml:space="preserve"> hydrochloride solution (40 mg/mL in pyridine) and incubated for 90 min at 30°C with constant shaking, followed by the addition of 50 µL of N-methyl-N-[trimethylsilyl]tri</w:t>
      </w:r>
      <w:r w:rsidRPr="00F134BD">
        <w:rPr>
          <w:rFonts w:ascii="Calibri" w:hAnsi="Calibri" w:cs="Calibri"/>
          <w:sz w:val="22"/>
          <w:szCs w:val="22"/>
        </w:rPr>
        <w:t>ﬂ</w:t>
      </w:r>
      <w:proofErr w:type="spellStart"/>
      <w:r w:rsidRPr="00F134BD">
        <w:rPr>
          <w:rFonts w:ascii="Calibri" w:hAnsi="Calibri" w:cs="Calibri"/>
          <w:sz w:val="22"/>
          <w:szCs w:val="22"/>
          <w:lang w:val="en-US"/>
        </w:rPr>
        <w:t>uoroacetamide</w:t>
      </w:r>
      <w:proofErr w:type="spellEnd"/>
      <w:r w:rsidRPr="00F134BD">
        <w:rPr>
          <w:rFonts w:ascii="Calibri" w:hAnsi="Calibri" w:cs="Calibri"/>
          <w:sz w:val="22"/>
          <w:szCs w:val="22"/>
          <w:lang w:val="en-US"/>
        </w:rPr>
        <w:t xml:space="preserve"> </w:t>
      </w:r>
      <w:r w:rsidRPr="00F134BD">
        <w:rPr>
          <w:rFonts w:ascii="Calibri" w:hAnsi="Calibri" w:cs="Calibri"/>
          <w:sz w:val="22"/>
          <w:szCs w:val="22"/>
          <w:lang w:val="en-US"/>
        </w:rPr>
        <w:lastRenderedPageBreak/>
        <w:t xml:space="preserve">(MSTFA) and incubation at 37°C for 60 min. The extracts were centrifuged for 10 min at 18,213 x g, and aliquots of 25 µL were transferred into glass vials for GC-MS measurement. An identification mixture for reliable compound identification was prepared and derivatized in the same </w:t>
      </w:r>
      <w:proofErr w:type="gramStart"/>
      <w:r w:rsidRPr="00F134BD">
        <w:rPr>
          <w:rFonts w:ascii="Calibri" w:hAnsi="Calibri" w:cs="Calibri"/>
          <w:sz w:val="22"/>
          <w:szCs w:val="22"/>
          <w:lang w:val="en-US"/>
        </w:rPr>
        <w:t>way</w:t>
      </w:r>
      <w:r w:rsidRPr="00F134BD">
        <w:rPr>
          <w:rFonts w:ascii="Calibri" w:hAnsi="Calibri" w:cs="Calibri"/>
          <w:noProof/>
          <w:sz w:val="22"/>
          <w:szCs w:val="22"/>
          <w:lang w:val="en-US"/>
        </w:rPr>
        <w:t>[</w:t>
      </w:r>
      <w:proofErr w:type="gramEnd"/>
      <w:r w:rsidRPr="00F134BD">
        <w:rPr>
          <w:rFonts w:ascii="Calibri" w:hAnsi="Calibri" w:cs="Calibri"/>
          <w:noProof/>
          <w:sz w:val="22"/>
          <w:szCs w:val="22"/>
          <w:lang w:val="en-US"/>
        </w:rPr>
        <w:t>22]</w:t>
      </w:r>
      <w:r w:rsidRPr="00F134BD">
        <w:rPr>
          <w:rFonts w:ascii="Calibri" w:hAnsi="Calibri" w:cs="Calibri"/>
          <w:sz w:val="22"/>
          <w:szCs w:val="22"/>
          <w:lang w:val="en-US"/>
        </w:rPr>
        <w:t xml:space="preserve"> and an alkane mixture for reliable retention index calculation was included. Metabolite analysis was performed on a Pegasus 4D </w:t>
      </w:r>
      <w:proofErr w:type="spellStart"/>
      <w:r w:rsidRPr="00F134BD">
        <w:rPr>
          <w:rFonts w:ascii="Calibri" w:hAnsi="Calibri" w:cs="Calibri"/>
          <w:sz w:val="22"/>
          <w:szCs w:val="22"/>
          <w:lang w:val="en-US"/>
        </w:rPr>
        <w:t>GCxGC</w:t>
      </w:r>
      <w:proofErr w:type="spellEnd"/>
      <w:r w:rsidRPr="00F134BD">
        <w:rPr>
          <w:rFonts w:ascii="Calibri" w:hAnsi="Calibri" w:cs="Calibri"/>
          <w:sz w:val="22"/>
          <w:szCs w:val="22"/>
          <w:lang w:val="en-US"/>
        </w:rPr>
        <w:t xml:space="preserve"> TOFMS-System (LECO Corporation, St. Joseph, MN, USA) complemented with an auto-sampler (Gerstel MPS </w:t>
      </w:r>
      <w:proofErr w:type="spellStart"/>
      <w:r w:rsidRPr="00F134BD">
        <w:rPr>
          <w:rFonts w:ascii="Calibri" w:hAnsi="Calibri" w:cs="Calibri"/>
          <w:sz w:val="22"/>
          <w:szCs w:val="22"/>
          <w:lang w:val="en-US"/>
        </w:rPr>
        <w:t>DualHead</w:t>
      </w:r>
      <w:proofErr w:type="spellEnd"/>
      <w:r w:rsidRPr="00F134BD">
        <w:rPr>
          <w:rFonts w:ascii="Calibri" w:hAnsi="Calibri" w:cs="Calibri"/>
          <w:sz w:val="22"/>
          <w:szCs w:val="22"/>
          <w:lang w:val="en-US"/>
        </w:rPr>
        <w:t xml:space="preserve"> with CAS4 injector, </w:t>
      </w:r>
      <w:proofErr w:type="spellStart"/>
      <w:r w:rsidRPr="00F134BD">
        <w:rPr>
          <w:rFonts w:ascii="Calibri" w:hAnsi="Calibri" w:cs="Calibri"/>
          <w:sz w:val="22"/>
          <w:szCs w:val="22"/>
          <w:lang w:val="en-US"/>
        </w:rPr>
        <w:t>Mühlheim</w:t>
      </w:r>
      <w:proofErr w:type="spellEnd"/>
      <w:r w:rsidRPr="00F134BD">
        <w:rPr>
          <w:rFonts w:ascii="Calibri" w:hAnsi="Calibri" w:cs="Calibri"/>
          <w:sz w:val="22"/>
          <w:szCs w:val="22"/>
          <w:lang w:val="en-US"/>
        </w:rPr>
        <w:t xml:space="preserve"> an der Ruhr, Germany). The samples were injected in split mode (split 1:5, injection volume 1 µL) in a temperature-controlled injector with a </w:t>
      </w:r>
      <w:proofErr w:type="spellStart"/>
      <w:r w:rsidRPr="00F134BD">
        <w:rPr>
          <w:rFonts w:ascii="Calibri" w:hAnsi="Calibri" w:cs="Calibri"/>
          <w:sz w:val="22"/>
          <w:szCs w:val="22"/>
          <w:lang w:val="en-US"/>
        </w:rPr>
        <w:t>ba</w:t>
      </w:r>
      <w:proofErr w:type="spellEnd"/>
      <w:r w:rsidRPr="00F134BD">
        <w:rPr>
          <w:rFonts w:ascii="Calibri" w:hAnsi="Calibri" w:cs="Calibri"/>
          <w:sz w:val="22"/>
          <w:szCs w:val="22"/>
        </w:rPr>
        <w:t>ﬄ</w:t>
      </w:r>
      <w:r w:rsidRPr="00F134BD">
        <w:rPr>
          <w:rFonts w:ascii="Calibri" w:hAnsi="Calibri" w:cs="Calibri"/>
          <w:sz w:val="22"/>
          <w:szCs w:val="22"/>
          <w:lang w:val="en-US"/>
        </w:rPr>
        <w:t xml:space="preserve">ed glass liner (Gerstel, </w:t>
      </w:r>
      <w:proofErr w:type="spellStart"/>
      <w:r w:rsidRPr="00F134BD">
        <w:rPr>
          <w:rFonts w:ascii="Calibri" w:hAnsi="Calibri" w:cs="Calibri"/>
          <w:sz w:val="22"/>
          <w:szCs w:val="22"/>
          <w:lang w:val="en-US"/>
        </w:rPr>
        <w:t>Mühlheim</w:t>
      </w:r>
      <w:proofErr w:type="spellEnd"/>
      <w:r w:rsidRPr="00F134BD">
        <w:rPr>
          <w:rFonts w:ascii="Calibri" w:hAnsi="Calibri" w:cs="Calibri"/>
          <w:sz w:val="22"/>
          <w:szCs w:val="22"/>
          <w:lang w:val="en-US"/>
        </w:rPr>
        <w:t xml:space="preserve"> an der Ruhr, Germany). </w:t>
      </w:r>
      <w:r w:rsidRPr="00F134BD">
        <w:rPr>
          <w:rFonts w:ascii="Calibri" w:eastAsiaTheme="minorEastAsia" w:hAnsi="Calibri" w:cs="Calibri"/>
          <w:sz w:val="22"/>
          <w:szCs w:val="22"/>
          <w:lang w:val="en-US"/>
        </w:rPr>
        <w:t xml:space="preserve">The following temperature program was applied during sample injection: </w:t>
      </w:r>
      <w:r w:rsidRPr="00F134BD">
        <w:rPr>
          <w:rFonts w:ascii="Calibri" w:hAnsi="Calibri" w:cs="Calibri"/>
          <w:sz w:val="22"/>
          <w:szCs w:val="22"/>
          <w:lang w:val="en-US"/>
        </w:rPr>
        <w:t xml:space="preserve"> the column was allowed to equilibrate at 68°C for 2 minutes followed by a first temperature gradient with a rate of increase of 5°C/min until a maximum of 120°C was reached. Subsequently the rate increased to 7 °C/min up to a maximum temperature of 200°C. This was immediately followed by a third gradient of 12°C/min up to a maximum temperature of 320°C with a hold time of 7.5 min. </w:t>
      </w:r>
      <w:r w:rsidRPr="00F134BD">
        <w:rPr>
          <w:rFonts w:ascii="Calibri" w:eastAsiaTheme="minorEastAsia" w:hAnsi="Calibri" w:cs="Calibri"/>
          <w:sz w:val="22"/>
          <w:szCs w:val="22"/>
          <w:lang w:val="en-US"/>
        </w:rPr>
        <w:t xml:space="preserve">Gas chromatographic separation was performed on an Agilent 7890 (Agilent Technologies, Santa Clara, CA, USA), equipped with a VF-5 </w:t>
      </w:r>
      <w:proofErr w:type="spellStart"/>
      <w:r w:rsidRPr="00F134BD">
        <w:rPr>
          <w:rFonts w:ascii="Calibri" w:eastAsiaTheme="minorEastAsia" w:hAnsi="Calibri" w:cs="Calibri"/>
          <w:sz w:val="22"/>
          <w:szCs w:val="22"/>
          <w:lang w:val="en-US"/>
        </w:rPr>
        <w:t>ms</w:t>
      </w:r>
      <w:proofErr w:type="spellEnd"/>
      <w:r w:rsidRPr="00F134BD">
        <w:rPr>
          <w:rFonts w:ascii="Calibri" w:eastAsiaTheme="minorEastAsia" w:hAnsi="Calibri" w:cs="Calibri"/>
          <w:sz w:val="22"/>
          <w:szCs w:val="22"/>
          <w:lang w:val="en-US"/>
        </w:rPr>
        <w:t xml:space="preserve"> column (Agilent Technologies, Santa Clara, CA, USA) of 30 m length, 250 µm inner diameter, and 0.25 µm </w:t>
      </w:r>
      <w:r w:rsidRPr="00F134BD">
        <w:rPr>
          <w:rFonts w:ascii="Calibri" w:eastAsiaTheme="minorEastAsia" w:hAnsi="Calibri" w:cs="Calibri"/>
          <w:sz w:val="22"/>
          <w:szCs w:val="22"/>
        </w:rPr>
        <w:t>ﬁ</w:t>
      </w:r>
      <w:proofErr w:type="spellStart"/>
      <w:r w:rsidRPr="00F134BD">
        <w:rPr>
          <w:rFonts w:ascii="Calibri" w:eastAsiaTheme="minorEastAsia" w:hAnsi="Calibri" w:cs="Calibri"/>
          <w:sz w:val="22"/>
          <w:szCs w:val="22"/>
          <w:lang w:val="en-US"/>
        </w:rPr>
        <w:t>lm</w:t>
      </w:r>
      <w:proofErr w:type="spellEnd"/>
      <w:r w:rsidRPr="00F134BD">
        <w:rPr>
          <w:rFonts w:ascii="Calibri" w:eastAsiaTheme="minorEastAsia" w:hAnsi="Calibri" w:cs="Calibri"/>
          <w:sz w:val="22"/>
          <w:szCs w:val="22"/>
          <w:lang w:val="en-US"/>
        </w:rPr>
        <w:t xml:space="preserve"> thickness. </w:t>
      </w:r>
      <w:r w:rsidRPr="00F134BD">
        <w:rPr>
          <w:rFonts w:ascii="Calibri" w:hAnsi="Calibri" w:cs="Calibri"/>
          <w:sz w:val="22"/>
          <w:szCs w:val="22"/>
          <w:lang w:val="en-US"/>
        </w:rPr>
        <w:t xml:space="preserve">Helium was used as the carrier gas with a </w:t>
      </w:r>
      <w:r w:rsidRPr="00F134BD">
        <w:rPr>
          <w:rFonts w:ascii="Calibri" w:hAnsi="Calibri" w:cs="Calibri"/>
          <w:sz w:val="22"/>
          <w:szCs w:val="22"/>
        </w:rPr>
        <w:t>ﬂ</w:t>
      </w:r>
      <w:r w:rsidRPr="00F134BD">
        <w:rPr>
          <w:rFonts w:ascii="Calibri" w:hAnsi="Calibri" w:cs="Calibri"/>
          <w:sz w:val="22"/>
          <w:szCs w:val="22"/>
          <w:lang w:val="en-US"/>
        </w:rPr>
        <w:t xml:space="preserve">ow rate of 1.2 mL/min. The spectra were recorded in a mass range of 60 to 600 m/z with 10 spectra/sec. The GC-MS chromatograms were processed with the </w:t>
      </w:r>
      <w:proofErr w:type="spellStart"/>
      <w:r w:rsidRPr="00F134BD">
        <w:rPr>
          <w:rFonts w:ascii="Calibri" w:hAnsi="Calibri" w:cs="Calibri"/>
          <w:sz w:val="22"/>
          <w:szCs w:val="22"/>
          <w:lang w:val="en-US"/>
        </w:rPr>
        <w:t>ChromaTOF</w:t>
      </w:r>
      <w:proofErr w:type="spellEnd"/>
      <w:r w:rsidRPr="00F134BD">
        <w:rPr>
          <w:rFonts w:ascii="Calibri" w:hAnsi="Calibri" w:cs="Calibri"/>
          <w:sz w:val="22"/>
          <w:szCs w:val="22"/>
          <w:lang w:val="en-US"/>
        </w:rPr>
        <w:t xml:space="preserve"> software (LECO Corporation, St. Joseph, MN, USA) including baseline assessment, peak picking and computation of the area and height of peaks without a calibration by using an in-house created reference and library containing the top 3 masses by intensity for 42 metabolites (55 derivatives) related to the central carbon metabolism (</w:t>
      </w:r>
      <w:proofErr w:type="spellStart"/>
      <w:r w:rsidRPr="00F134BD">
        <w:rPr>
          <w:rFonts w:ascii="Calibri" w:hAnsi="Calibri" w:cs="Calibri"/>
          <w:color w:val="156082" w:themeColor="accent1"/>
          <w:sz w:val="22"/>
          <w:szCs w:val="22"/>
          <w:lang w:val="en-US"/>
        </w:rPr>
        <w:t>Supplem</w:t>
      </w:r>
      <w:r w:rsidRPr="00F134BD">
        <w:rPr>
          <w:rFonts w:ascii="Calibri" w:hAnsi="Calibri" w:cs="Calibri"/>
          <w:color w:val="0F4761" w:themeColor="accent1" w:themeShade="BF"/>
          <w:sz w:val="22"/>
          <w:szCs w:val="22"/>
          <w:lang w:val="en-GB"/>
        </w:rPr>
        <w:t>entary</w:t>
      </w:r>
      <w:proofErr w:type="spellEnd"/>
      <w:r w:rsidRPr="00F134BD">
        <w:rPr>
          <w:rFonts w:ascii="Calibri" w:hAnsi="Calibri" w:cs="Calibri"/>
          <w:color w:val="0F4761" w:themeColor="accent1" w:themeShade="BF"/>
          <w:sz w:val="22"/>
          <w:szCs w:val="22"/>
          <w:lang w:val="en-GB"/>
        </w:rPr>
        <w:t xml:space="preserve"> Table S12, Sheet “metabolite list”</w:t>
      </w:r>
      <w:r w:rsidRPr="00F134BD">
        <w:rPr>
          <w:rFonts w:ascii="Calibri" w:hAnsi="Calibri" w:cs="Calibri"/>
          <w:sz w:val="22"/>
          <w:szCs w:val="22"/>
          <w:lang w:val="en-US"/>
        </w:rPr>
        <w:t xml:space="preserve">). The data were exported and merged by an </w:t>
      </w:r>
      <w:r w:rsidRPr="00F134BD">
        <w:rPr>
          <w:rFonts w:ascii="Calibri" w:hAnsi="Calibri" w:cs="Calibri"/>
          <w:i/>
          <w:sz w:val="22"/>
          <w:szCs w:val="22"/>
          <w:lang w:val="en-US"/>
        </w:rPr>
        <w:t>in-house</w:t>
      </w:r>
      <w:r w:rsidRPr="00F134BD">
        <w:rPr>
          <w:rFonts w:ascii="Calibri" w:hAnsi="Calibri" w:cs="Calibri"/>
          <w:sz w:val="22"/>
          <w:szCs w:val="22"/>
          <w:lang w:val="en-US"/>
        </w:rPr>
        <w:t xml:space="preserve"> written R script. The metabolites were considered valid when they appeared in minimum of n=3 biological replicates. Quality control samples were run at the beginning and end of the analyses and every 12 samples. Data were normalized to cinnamic acid (internal standard). Relative quantities were </w:t>
      </w:r>
      <w:r w:rsidRPr="00F134BD">
        <w:rPr>
          <w:rFonts w:ascii="Calibri" w:hAnsi="Calibri" w:cs="Calibri"/>
          <w:sz w:val="22"/>
          <w:szCs w:val="22"/>
          <w:lang w:val="en-US"/>
        </w:rPr>
        <w:lastRenderedPageBreak/>
        <w:t>used. Outlier detection was done using GraphPad (https://www.graphpad.com/quickcalcs/Grubbs1.cfm). Wilcoxon rank sum test (</w:t>
      </w:r>
      <w:r w:rsidRPr="00F134BD">
        <w:rPr>
          <w:rFonts w:ascii="Calibri" w:hAnsi="Calibri" w:cs="Calibri"/>
          <w:i/>
          <w:sz w:val="22"/>
          <w:szCs w:val="22"/>
          <w:lang w:val="en-US"/>
        </w:rPr>
        <w:t>P</w:t>
      </w:r>
      <w:r w:rsidRPr="00F134BD">
        <w:rPr>
          <w:rFonts w:ascii="Calibri" w:hAnsi="Calibri" w:cs="Calibri"/>
          <w:sz w:val="22"/>
          <w:szCs w:val="22"/>
          <w:lang w:val="en-US"/>
        </w:rPr>
        <w:t>-value &lt; 0.05) was used for statistics between the different conditions. The ratios between females and males or rapamycin and control were calculated. For better visualization the log2 from the ratio was generated.</w:t>
      </w:r>
    </w:p>
    <w:p w14:paraId="56C9C404" w14:textId="77777777" w:rsidR="00AD773F" w:rsidRPr="00F134BD" w:rsidRDefault="00AD773F" w:rsidP="00844BB3">
      <w:pPr>
        <w:spacing w:after="0" w:line="480" w:lineRule="auto"/>
        <w:rPr>
          <w:rFonts w:ascii="Calibri" w:hAnsi="Calibri" w:cs="Calibri"/>
          <w:b/>
          <w:lang w:val="en-US"/>
        </w:rPr>
      </w:pPr>
    </w:p>
    <w:p w14:paraId="1571BDEC" w14:textId="77777777" w:rsidR="00AD773F" w:rsidRPr="00F134BD" w:rsidRDefault="00AD773F" w:rsidP="00844BB3">
      <w:pPr>
        <w:pStyle w:val="Default"/>
        <w:spacing w:line="480" w:lineRule="auto"/>
        <w:jc w:val="both"/>
        <w:rPr>
          <w:rFonts w:ascii="Calibri" w:hAnsi="Calibri" w:cs="Calibri"/>
          <w:b/>
          <w:bCs/>
          <w:sz w:val="22"/>
          <w:szCs w:val="22"/>
          <w:lang w:val="en-US"/>
        </w:rPr>
      </w:pPr>
      <w:r w:rsidRPr="00F134BD">
        <w:rPr>
          <w:rFonts w:ascii="Calibri" w:hAnsi="Calibri" w:cs="Calibri"/>
          <w:b/>
          <w:bCs/>
          <w:sz w:val="22"/>
          <w:szCs w:val="22"/>
          <w:lang w:val="en-US"/>
        </w:rPr>
        <w:t>Statistics</w:t>
      </w:r>
    </w:p>
    <w:p w14:paraId="478FD2DD" w14:textId="77777777" w:rsidR="00AD773F" w:rsidRPr="00F134BD" w:rsidRDefault="00AD773F" w:rsidP="688F8DAF">
      <w:pPr>
        <w:pStyle w:val="Default"/>
        <w:spacing w:line="480" w:lineRule="auto"/>
        <w:jc w:val="both"/>
        <w:rPr>
          <w:rFonts w:ascii="Calibri" w:hAnsi="Calibri" w:cs="Calibri"/>
          <w:color w:val="auto"/>
          <w:sz w:val="22"/>
          <w:szCs w:val="22"/>
          <w:lang w:val="en-US"/>
        </w:rPr>
      </w:pPr>
      <w:r w:rsidRPr="00F134BD">
        <w:rPr>
          <w:rFonts w:ascii="Calibri" w:hAnsi="Calibri" w:cs="Calibri"/>
          <w:sz w:val="22"/>
          <w:szCs w:val="22"/>
          <w:lang w:val="en-US"/>
        </w:rPr>
        <w:t>For quantitative data, statistical tests (Wilcoxon ranked sum test, Kruskal-</w:t>
      </w:r>
      <w:proofErr w:type="gramStart"/>
      <w:r w:rsidRPr="00F134BD">
        <w:rPr>
          <w:rFonts w:ascii="Calibri" w:hAnsi="Calibri" w:cs="Calibri"/>
          <w:sz w:val="22"/>
          <w:szCs w:val="22"/>
          <w:lang w:val="en-US"/>
        </w:rPr>
        <w:t>Wallis</w:t>
      </w:r>
      <w:proofErr w:type="gramEnd"/>
      <w:r w:rsidRPr="00F134BD">
        <w:rPr>
          <w:rFonts w:ascii="Calibri" w:hAnsi="Calibri" w:cs="Calibri"/>
          <w:sz w:val="22"/>
          <w:szCs w:val="22"/>
          <w:lang w:val="en-US"/>
        </w:rPr>
        <w:t xml:space="preserve"> test and linear regression using R package </w:t>
      </w:r>
      <w:proofErr w:type="spellStart"/>
      <w:r w:rsidRPr="00F134BD">
        <w:rPr>
          <w:rFonts w:ascii="Calibri" w:hAnsi="Calibri" w:cs="Calibri"/>
          <w:color w:val="auto"/>
          <w:sz w:val="22"/>
          <w:szCs w:val="22"/>
          <w:lang w:val="en-US"/>
        </w:rPr>
        <w:t>tidyverse</w:t>
      </w:r>
      <w:proofErr w:type="spellEnd"/>
      <w:r w:rsidRPr="00F134BD">
        <w:rPr>
          <w:rFonts w:ascii="Calibri" w:hAnsi="Calibri" w:cs="Calibri"/>
          <w:color w:val="auto"/>
          <w:sz w:val="22"/>
          <w:szCs w:val="22"/>
          <w:lang w:val="en-US"/>
        </w:rPr>
        <w:t xml:space="preserve">, R version 4.0.0) and </w:t>
      </w:r>
      <w:r w:rsidRPr="00F134BD">
        <w:rPr>
          <w:rFonts w:ascii="Calibri" w:eastAsiaTheme="minorEastAsia" w:hAnsi="Calibri" w:cs="Calibri"/>
          <w:color w:val="auto"/>
          <w:sz w:val="22"/>
          <w:szCs w:val="22"/>
          <w:lang w:val="en-US"/>
        </w:rPr>
        <w:t>Graph Pad 9 (Prism, San Diego, CA, USA) was used for the statistical analysis</w:t>
      </w:r>
      <w:r w:rsidRPr="00F134BD">
        <w:rPr>
          <w:rFonts w:ascii="Calibri" w:hAnsi="Calibri" w:cs="Calibri"/>
          <w:color w:val="auto"/>
          <w:sz w:val="22"/>
          <w:szCs w:val="22"/>
          <w:lang w:val="en-US"/>
        </w:rPr>
        <w:t xml:space="preserve">. </w:t>
      </w:r>
      <w:r w:rsidRPr="00F134BD">
        <w:rPr>
          <w:rFonts w:ascii="Calibri" w:hAnsi="Calibri" w:cs="Calibri"/>
          <w:i/>
          <w:iCs/>
          <w:color w:val="auto"/>
          <w:sz w:val="22"/>
          <w:szCs w:val="22"/>
          <w:lang w:val="en-US"/>
        </w:rPr>
        <w:t>P</w:t>
      </w:r>
      <w:r w:rsidRPr="00F134BD">
        <w:rPr>
          <w:rFonts w:ascii="Calibri" w:hAnsi="Calibri" w:cs="Calibri"/>
          <w:color w:val="auto"/>
          <w:sz w:val="22"/>
          <w:szCs w:val="22"/>
          <w:lang w:val="en-US"/>
        </w:rPr>
        <w:t xml:space="preserve">-value&lt;0.05 was considered significant. For large-scale data, correction for multiple testing was performed as described in the respective omics method sections. </w:t>
      </w:r>
    </w:p>
    <w:p w14:paraId="39AE2443" w14:textId="61B93B1C" w:rsidR="003F0A4B" w:rsidRPr="00F134BD" w:rsidRDefault="00AD773F" w:rsidP="005649DF">
      <w:pPr>
        <w:shd w:val="clear" w:color="auto" w:fill="FFFFFF" w:themeFill="background1"/>
        <w:spacing w:after="0" w:line="480" w:lineRule="auto"/>
        <w:jc w:val="both"/>
        <w:rPr>
          <w:rFonts w:ascii="Calibri" w:eastAsiaTheme="minorEastAsia" w:hAnsi="Calibri" w:cs="Calibri"/>
          <w:lang w:val="en-US"/>
        </w:rPr>
      </w:pPr>
      <w:r w:rsidRPr="00F134BD">
        <w:rPr>
          <w:rFonts w:ascii="Calibri" w:eastAsiaTheme="minorEastAsia" w:hAnsi="Calibri" w:cs="Calibri"/>
          <w:lang w:val="en-US"/>
        </w:rPr>
        <w:t xml:space="preserve">ANOVA test was used to compare the four experimental groups and </w:t>
      </w:r>
      <w:r w:rsidRPr="00F134BD">
        <w:rPr>
          <w:rFonts w:ascii="Calibri" w:eastAsia="Aptos Narrow" w:hAnsi="Calibri" w:cs="Calibri"/>
          <w:lang w:val="en-US"/>
        </w:rPr>
        <w:t>Bonferroni's</w:t>
      </w:r>
      <w:r w:rsidRPr="00F134BD">
        <w:rPr>
          <w:rFonts w:ascii="Calibri" w:eastAsiaTheme="minorEastAsia" w:hAnsi="Calibri" w:cs="Calibri"/>
          <w:lang w:val="en-US"/>
        </w:rPr>
        <w:t xml:space="preserve"> post hoc tests were carried out when a significant difference was found between the four experimental group. </w:t>
      </w:r>
      <w:r w:rsidR="00AC3BFB" w:rsidRPr="00F134BD">
        <w:rPr>
          <w:rFonts w:ascii="Calibri" w:eastAsiaTheme="minorEastAsia" w:hAnsi="Calibri" w:cs="Calibri"/>
          <w:lang w:val="en-US"/>
        </w:rPr>
        <w:t>The n</w:t>
      </w:r>
      <w:r w:rsidRPr="00F134BD">
        <w:rPr>
          <w:rFonts w:ascii="Calibri" w:hAnsi="Calibri" w:cs="Calibri"/>
          <w:lang w:val="en-US"/>
        </w:rPr>
        <w:t>umber of biological replicates and statistical tests used for analysis are further indicated in the figure legends.</w:t>
      </w:r>
    </w:p>
    <w:p w14:paraId="1053D9D3" w14:textId="77777777" w:rsidR="003F0A4B" w:rsidRPr="00F134BD" w:rsidRDefault="003F0A4B" w:rsidP="688F8DAF">
      <w:pPr>
        <w:shd w:val="clear" w:color="auto" w:fill="FFFFFF" w:themeFill="background1"/>
        <w:spacing w:after="0" w:line="480" w:lineRule="auto"/>
        <w:rPr>
          <w:rFonts w:ascii="Calibri" w:eastAsia="Arial" w:hAnsi="Calibri" w:cs="Calibri"/>
          <w:color w:val="000000" w:themeColor="text1"/>
          <w:lang w:val="en-US"/>
        </w:rPr>
      </w:pPr>
    </w:p>
    <w:p w14:paraId="450B2184" w14:textId="77777777" w:rsidR="00AD773F" w:rsidRPr="00F134BD" w:rsidRDefault="00AD773F" w:rsidP="00844BB3">
      <w:pPr>
        <w:spacing w:after="0" w:line="480" w:lineRule="auto"/>
        <w:rPr>
          <w:rFonts w:ascii="Calibri" w:hAnsi="Calibri" w:cs="Calibri"/>
          <w:lang w:val="en-US"/>
        </w:rPr>
      </w:pPr>
      <w:bookmarkStart w:id="0" w:name="_Hlk123895775"/>
      <w:r w:rsidRPr="00F134BD">
        <w:rPr>
          <w:rFonts w:ascii="Calibri" w:hAnsi="Calibri" w:cs="Calibri"/>
          <w:b/>
          <w:lang w:val="en-US"/>
        </w:rPr>
        <w:t>Supplementary References</w:t>
      </w:r>
      <w:bookmarkEnd w:id="0"/>
    </w:p>
    <w:p w14:paraId="571196EC" w14:textId="344B6357" w:rsidR="00AD773F" w:rsidRPr="00F134BD" w:rsidRDefault="00AD773F" w:rsidP="00B9447A">
      <w:pPr>
        <w:pStyle w:val="EndNoteBibliography"/>
        <w:spacing w:after="0"/>
      </w:pPr>
      <w:r w:rsidRPr="00F134BD">
        <w:t>1.</w:t>
      </w:r>
      <w:r w:rsidRPr="00F134BD">
        <w:tab/>
        <w:t>Muzumdar MD, Tasic B, Miyamichi K, Li L, Luo L. A global double-fluorescent Cre reporter mouse: Genesis. 2007;45(9):593-605.</w:t>
      </w:r>
      <w:r w:rsidR="00AC3BFB" w:rsidRPr="00F134BD">
        <w:t xml:space="preserve"> </w:t>
      </w:r>
    </w:p>
    <w:p w14:paraId="58D7D0FF" w14:textId="77777777" w:rsidR="00AD773F" w:rsidRPr="00F134BD" w:rsidRDefault="00AD773F" w:rsidP="00B9447A">
      <w:pPr>
        <w:pStyle w:val="EndNoteBibliography"/>
        <w:spacing w:after="0"/>
      </w:pPr>
      <w:r w:rsidRPr="00F134BD">
        <w:t>2.</w:t>
      </w:r>
      <w:r w:rsidRPr="00F134BD">
        <w:tab/>
        <w:t>Boerries M, et al. Molecular fingerprinting of the podocyte reveals novel gene and protein regulatory networks: Kidney Int. 2013;83(6):1052-64.</w:t>
      </w:r>
    </w:p>
    <w:p w14:paraId="6A79AABD" w14:textId="77777777" w:rsidR="00AD773F" w:rsidRPr="00F134BD" w:rsidRDefault="00AD773F" w:rsidP="00B9447A">
      <w:pPr>
        <w:pStyle w:val="EndNoteBibliography"/>
        <w:spacing w:after="0"/>
      </w:pPr>
      <w:r w:rsidRPr="00F134BD">
        <w:t>3.</w:t>
      </w:r>
      <w:r w:rsidRPr="00F134BD">
        <w:tab/>
        <w:t>Lawrence M, et al. Software for computing and annotating genomic ranges: PLoS Comput Biol. 2013;9(8):e1003118.</w:t>
      </w:r>
    </w:p>
    <w:p w14:paraId="58980846" w14:textId="77777777" w:rsidR="00AD773F" w:rsidRPr="00F134BD" w:rsidRDefault="00AD773F" w:rsidP="00B9447A">
      <w:pPr>
        <w:pStyle w:val="EndNoteBibliography"/>
        <w:spacing w:after="0"/>
      </w:pPr>
      <w:r w:rsidRPr="00F134BD">
        <w:t>4.</w:t>
      </w:r>
      <w:r w:rsidRPr="00F134BD">
        <w:tab/>
        <w:t>Liao Y, Smyth GK, Shi W. The Subread aligner: fast, accurate and scalable read mapping by seed-and-vote: Nucleic Acids Res. 2013;41(10):e108.</w:t>
      </w:r>
    </w:p>
    <w:p w14:paraId="5B8249AF" w14:textId="77777777" w:rsidR="00AD773F" w:rsidRPr="00F134BD" w:rsidRDefault="00AD773F" w:rsidP="00B9447A">
      <w:pPr>
        <w:pStyle w:val="EndNoteBibliography"/>
        <w:spacing w:after="0"/>
      </w:pPr>
      <w:r w:rsidRPr="00F134BD">
        <w:t>5.</w:t>
      </w:r>
      <w:r w:rsidRPr="00F134BD">
        <w:tab/>
        <w:t>Love MI, Huber W, Anders S. Moderated estimation of fold change and dispersion for RNA-seq data with DESeq2: Genome Biol. 2014;15(12):550.</w:t>
      </w:r>
    </w:p>
    <w:p w14:paraId="305199C3" w14:textId="77777777" w:rsidR="00AD773F" w:rsidRPr="00F134BD" w:rsidRDefault="00AD773F" w:rsidP="00B9447A">
      <w:pPr>
        <w:pStyle w:val="EndNoteBibliography"/>
        <w:spacing w:after="0"/>
      </w:pPr>
      <w:r w:rsidRPr="00F134BD">
        <w:t>6.</w:t>
      </w:r>
      <w:r w:rsidRPr="00F134BD">
        <w:tab/>
        <w:t>Zhu A, Ibrahim JG, Love MI. Heavy-tailed prior distributions for sequence count data: removing the noise and preserving large differences: Bioinformatics. 2019;35(12):2084-92.</w:t>
      </w:r>
    </w:p>
    <w:p w14:paraId="4584A9DA" w14:textId="77777777" w:rsidR="00AD773F" w:rsidRPr="00F134BD" w:rsidRDefault="00AD773F" w:rsidP="00B9447A">
      <w:pPr>
        <w:pStyle w:val="EndNoteBibliography"/>
        <w:spacing w:after="0"/>
      </w:pPr>
      <w:r w:rsidRPr="00F134BD">
        <w:t>7.</w:t>
      </w:r>
      <w:r w:rsidRPr="00F134BD">
        <w:tab/>
        <w:t>Yu G, Wang LG, Han Y, He QY. clusterProfiler: an R package for comparing biological themes among gene clusters: OMICS. 2012;16(5):284-7.</w:t>
      </w:r>
    </w:p>
    <w:p w14:paraId="0D74EC23" w14:textId="77777777" w:rsidR="00AD773F" w:rsidRPr="00F134BD" w:rsidRDefault="00AD773F" w:rsidP="00B9447A">
      <w:pPr>
        <w:pStyle w:val="EndNoteBibliography"/>
        <w:spacing w:after="0"/>
      </w:pPr>
      <w:r w:rsidRPr="00F134BD">
        <w:t>8.</w:t>
      </w:r>
      <w:r w:rsidRPr="00F134BD">
        <w:tab/>
        <w:t>Hughes CS, et al. Single-pot, solid-phase-enhanced sample preparation for proteomics experiments: Nat Protoc. 2019;14(1):68-85.</w:t>
      </w:r>
    </w:p>
    <w:p w14:paraId="5993A952" w14:textId="77777777" w:rsidR="00AD773F" w:rsidRPr="00F134BD" w:rsidRDefault="00AD773F" w:rsidP="00B9447A">
      <w:pPr>
        <w:pStyle w:val="EndNoteBibliography"/>
        <w:spacing w:after="0"/>
      </w:pPr>
      <w:r w:rsidRPr="00F134BD">
        <w:t>9.</w:t>
      </w:r>
      <w:r w:rsidRPr="00F134BD">
        <w:tab/>
        <w:t>Koehler S, et al. Proteome Analysis of Isolated Podocytes Reveals Stress Responses in Glomerular Sclerosis: J Am Soc Nephrol. 2020;31(3):544-59.</w:t>
      </w:r>
    </w:p>
    <w:p w14:paraId="10D387E2" w14:textId="77777777" w:rsidR="00AD773F" w:rsidRPr="00F134BD" w:rsidRDefault="00AD773F" w:rsidP="00B9447A">
      <w:pPr>
        <w:pStyle w:val="EndNoteBibliography"/>
        <w:spacing w:after="0"/>
      </w:pPr>
      <w:r w:rsidRPr="00F134BD">
        <w:lastRenderedPageBreak/>
        <w:t>10.</w:t>
      </w:r>
      <w:r w:rsidRPr="00F134BD">
        <w:tab/>
        <w:t>Hohne M, et al. Single-nephron proteomes connect morphology and function in proteinuric kidney disease: Kidney Int. 2018;93(6):1308-19.</w:t>
      </w:r>
    </w:p>
    <w:p w14:paraId="1E109B75" w14:textId="77777777" w:rsidR="00AD773F" w:rsidRPr="00F134BD" w:rsidRDefault="00AD773F" w:rsidP="00B9447A">
      <w:pPr>
        <w:pStyle w:val="EndNoteBibliography"/>
        <w:spacing w:after="0"/>
      </w:pPr>
      <w:r w:rsidRPr="00F134BD">
        <w:t>11.</w:t>
      </w:r>
      <w:r w:rsidRPr="00F134BD">
        <w:tab/>
        <w:t>Cox J, Mann M. 1D and 2D annotation enrichment: a statistical method integrating quantitative proteomics with complementary high-throughput data: BMC Bioinformatics. 2012;13 Suppl 16:S12.</w:t>
      </w:r>
    </w:p>
    <w:p w14:paraId="7E288D60" w14:textId="77777777" w:rsidR="00AD773F" w:rsidRPr="00F134BD" w:rsidRDefault="00AD773F" w:rsidP="00B9447A">
      <w:pPr>
        <w:pStyle w:val="EndNoteBibliography"/>
        <w:spacing w:after="0"/>
      </w:pPr>
      <w:r w:rsidRPr="00F134BD">
        <w:t>12.</w:t>
      </w:r>
      <w:r w:rsidRPr="00F134BD">
        <w:tab/>
        <w:t>Chen EY, et al. Enrichr: interactive and collaborative HTML5 gene list enrichment analysis tool: BMC Bioinformatics. 2013;14:128.</w:t>
      </w:r>
    </w:p>
    <w:p w14:paraId="74C48CB7" w14:textId="77777777" w:rsidR="00AD773F" w:rsidRPr="00F134BD" w:rsidRDefault="00AD773F" w:rsidP="00B9447A">
      <w:pPr>
        <w:pStyle w:val="EndNoteBibliography"/>
        <w:spacing w:after="0"/>
      </w:pPr>
      <w:r w:rsidRPr="00F134BD">
        <w:t>13.</w:t>
      </w:r>
      <w:r w:rsidRPr="00F134BD">
        <w:tab/>
        <w:t>Kuleshov MV, et al. Enrichr: a comprehensive gene set enrichment analysis web server 2016 update: Nucleic Acids Res. 2016;44(W1):W90-7.</w:t>
      </w:r>
    </w:p>
    <w:p w14:paraId="3357379A" w14:textId="77777777" w:rsidR="00AD773F" w:rsidRPr="00F134BD" w:rsidRDefault="00AD773F" w:rsidP="00B9447A">
      <w:pPr>
        <w:pStyle w:val="EndNoteBibliography"/>
        <w:spacing w:after="0"/>
      </w:pPr>
      <w:r w:rsidRPr="00F134BD">
        <w:t>14.</w:t>
      </w:r>
      <w:r w:rsidRPr="00F134BD">
        <w:tab/>
        <w:t>Xie Z, et al. Gene Set Knowledge Discovery with Enrichr: Curr Protoc. 2021;1(3):e90.</w:t>
      </w:r>
    </w:p>
    <w:p w14:paraId="33FCD0CF" w14:textId="77777777" w:rsidR="00AD773F" w:rsidRPr="00F134BD" w:rsidRDefault="00AD773F" w:rsidP="00B9447A">
      <w:pPr>
        <w:pStyle w:val="EndNoteBibliography"/>
        <w:spacing w:after="0"/>
      </w:pPr>
      <w:r w:rsidRPr="00F134BD">
        <w:t>15.</w:t>
      </w:r>
      <w:r w:rsidRPr="00F134BD">
        <w:tab/>
        <w:t>Mi H, et al. PANTHER version 16: a revised family classification, tree-based classification tool, enhancer regions and extensive API: Nucleic Acids Res. 2021;49(D1):D394-D403.</w:t>
      </w:r>
    </w:p>
    <w:p w14:paraId="04E36214" w14:textId="77777777" w:rsidR="00AD773F" w:rsidRPr="00F134BD" w:rsidRDefault="00AD773F" w:rsidP="00B9447A">
      <w:pPr>
        <w:pStyle w:val="EndNoteBibliography"/>
        <w:spacing w:after="0"/>
      </w:pPr>
      <w:r w:rsidRPr="00F134BD">
        <w:t>16.</w:t>
      </w:r>
      <w:r w:rsidRPr="00F134BD">
        <w:tab/>
        <w:t>Mi H, et al. Protocol Update for large-scale genome and gene function analysis with the PANTHER classification system (v.14.0): Nat Protoc. 2019;14(3):703-21.</w:t>
      </w:r>
    </w:p>
    <w:p w14:paraId="22365AAE" w14:textId="77777777" w:rsidR="00AD773F" w:rsidRPr="00F134BD" w:rsidRDefault="00AD773F" w:rsidP="00B9447A">
      <w:pPr>
        <w:pStyle w:val="EndNoteBibliography"/>
        <w:spacing w:after="0"/>
      </w:pPr>
      <w:r w:rsidRPr="00F134BD">
        <w:t>17.</w:t>
      </w:r>
      <w:r w:rsidRPr="00F134BD">
        <w:tab/>
        <w:t>Thomas PD, et al. PANTHER: a library of protein families and subfamilies indexed by function: Genome Res. 2003;13(9):2129-41.</w:t>
      </w:r>
    </w:p>
    <w:p w14:paraId="1A418EA5" w14:textId="77777777" w:rsidR="00AD773F" w:rsidRPr="00F134BD" w:rsidRDefault="00AD773F" w:rsidP="00B9447A">
      <w:pPr>
        <w:pStyle w:val="EndNoteBibliography"/>
        <w:spacing w:after="0"/>
      </w:pPr>
      <w:r w:rsidRPr="00F134BD">
        <w:t>18.</w:t>
      </w:r>
      <w:r w:rsidRPr="00F134BD">
        <w:tab/>
        <w:t>Mootha VK, et al. PGC-1alpha-responsive genes involved in oxidative phosphorylation are coordinately downregulated in human diabetes: Nat Genet. 2003;34(3):267-73.</w:t>
      </w:r>
    </w:p>
    <w:p w14:paraId="600A03B7" w14:textId="77777777" w:rsidR="00AD773F" w:rsidRPr="00F134BD" w:rsidRDefault="00AD773F" w:rsidP="00B9447A">
      <w:pPr>
        <w:pStyle w:val="EndNoteBibliography"/>
        <w:spacing w:after="0"/>
      </w:pPr>
      <w:r w:rsidRPr="00F134BD">
        <w:t>19.</w:t>
      </w:r>
      <w:r w:rsidRPr="00F134BD">
        <w:tab/>
        <w:t>Subramanian A, et al. Gene set enrichment analysis: a knowledge-based approach for interpreting genome-wide expression profiles: Proc Natl Acad Sci U S A. 2005;102(43):15545-50.</w:t>
      </w:r>
    </w:p>
    <w:p w14:paraId="7B3D7106" w14:textId="78200E95" w:rsidR="00AD773F" w:rsidRPr="00F134BD" w:rsidRDefault="00AD773F" w:rsidP="00B9447A">
      <w:pPr>
        <w:pStyle w:val="EndNoteBibliography"/>
        <w:spacing w:after="0"/>
      </w:pPr>
      <w:r w:rsidRPr="00F134BD">
        <w:t>20.</w:t>
      </w:r>
      <w:r w:rsidRPr="00F134BD">
        <w:tab/>
        <w:t>Dittmayer C, Volcker E, Wacker I, Schroder RR, Bachmann S. Modern field emission scanning electron microscopy provides new perspectives for imaging kidney ultrastructure: Kidney Int. 2018;94(3):625-31.</w:t>
      </w:r>
    </w:p>
    <w:p w14:paraId="7F25E272" w14:textId="31D2044A" w:rsidR="00AD773F" w:rsidRPr="00F134BD" w:rsidRDefault="00AD773F" w:rsidP="00B9447A">
      <w:pPr>
        <w:pStyle w:val="EndNoteBibliography"/>
        <w:spacing w:after="0"/>
      </w:pPr>
      <w:r w:rsidRPr="00F134BD">
        <w:rPr>
          <w:lang w:val="de-DE"/>
        </w:rPr>
        <w:t>21.</w:t>
      </w:r>
      <w:r w:rsidRPr="00F134BD">
        <w:rPr>
          <w:lang w:val="de-DE"/>
        </w:rPr>
        <w:tab/>
        <w:t xml:space="preserve">Fritsche-Guenther R, Bauer A, Gloaguen Y, Lorenz M, Kirwan JA. </w:t>
      </w:r>
      <w:r w:rsidRPr="00F134BD">
        <w:t>Modified Protocol of Harvesting, Extraction, and Normalization Approaches for Gas Chromatography Mass Spectrometry-Based Metabolomics Analysis of Adherent Cells Grown Under High Fetal Calf Serum Conditions: Metabolites. 2019;10(1)</w:t>
      </w:r>
      <w:r w:rsidR="00AC3BFB" w:rsidRPr="00F134BD">
        <w:t>:2</w:t>
      </w:r>
    </w:p>
    <w:p w14:paraId="6B6D2593" w14:textId="2AC34158" w:rsidR="00AD773F" w:rsidRPr="00081BEC" w:rsidRDefault="00AD773F" w:rsidP="00B9447A">
      <w:pPr>
        <w:pStyle w:val="EndNoteBibliography"/>
      </w:pPr>
      <w:r w:rsidRPr="00F134BD">
        <w:t>22.</w:t>
      </w:r>
      <w:r w:rsidRPr="00F134BD">
        <w:tab/>
        <w:t>Opialla T, Kempa S, Pietzke M. Towards a More Reliable Identification of Isomeric Metabolites Using Pattern Guided Retention Validation: Metabolites. 2020;10(11)</w:t>
      </w:r>
      <w:r w:rsidR="00AC3BFB" w:rsidRPr="00F134BD">
        <w:rPr>
          <w:lang w:val="de-DE"/>
        </w:rPr>
        <w:t>:457</w:t>
      </w:r>
    </w:p>
    <w:p w14:paraId="55476379" w14:textId="77777777" w:rsidR="00AD773F" w:rsidRPr="00081BEC" w:rsidRDefault="00AD773F" w:rsidP="00844BB3">
      <w:pPr>
        <w:spacing w:after="0" w:line="480" w:lineRule="auto"/>
        <w:rPr>
          <w:rFonts w:ascii="Calibri" w:hAnsi="Calibri" w:cs="Calibri"/>
          <w:lang w:val="en-US"/>
        </w:rPr>
      </w:pPr>
    </w:p>
    <w:p w14:paraId="2EC00887" w14:textId="77777777" w:rsidR="00AD773F" w:rsidRPr="00081BEC" w:rsidRDefault="00AD773F">
      <w:pPr>
        <w:rPr>
          <w:rFonts w:ascii="Calibri" w:hAnsi="Calibri" w:cs="Calibri"/>
        </w:rPr>
      </w:pPr>
    </w:p>
    <w:sectPr w:rsidR="00AD773F" w:rsidRPr="00081BEC" w:rsidSect="00AD773F">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A0D5C3" w14:textId="77777777" w:rsidR="009C3621" w:rsidRDefault="009C3621">
      <w:pPr>
        <w:spacing w:after="0" w:line="240" w:lineRule="auto"/>
      </w:pPr>
      <w:r>
        <w:separator/>
      </w:r>
    </w:p>
  </w:endnote>
  <w:endnote w:type="continuationSeparator" w:id="0">
    <w:p w14:paraId="1EAD7C11" w14:textId="77777777" w:rsidR="009C3621" w:rsidRDefault="009C3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ITC Symbol Std Medium">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533660"/>
      <w:docPartObj>
        <w:docPartGallery w:val="Page Numbers (Bottom of Page)"/>
        <w:docPartUnique/>
      </w:docPartObj>
    </w:sdtPr>
    <w:sdtContent>
      <w:p w14:paraId="337D0699" w14:textId="77777777" w:rsidR="004C5595" w:rsidRDefault="005649DF">
        <w:pPr>
          <w:pStyle w:val="Fuzeile"/>
          <w:jc w:val="right"/>
        </w:pPr>
        <w:r>
          <w:fldChar w:fldCharType="begin"/>
        </w:r>
        <w:r>
          <w:instrText>PAGE   \* MERGEFORMAT</w:instrText>
        </w:r>
        <w:r>
          <w:fldChar w:fldCharType="separate"/>
        </w:r>
        <w:r>
          <w:rPr>
            <w:noProof/>
          </w:rPr>
          <w:t>2</w:t>
        </w:r>
        <w:r>
          <w:fldChar w:fldCharType="end"/>
        </w:r>
      </w:p>
    </w:sdtContent>
  </w:sdt>
  <w:p w14:paraId="5E72ECF4" w14:textId="77777777" w:rsidR="004C5595" w:rsidRDefault="004C55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516EC" w14:textId="77777777" w:rsidR="009C3621" w:rsidRDefault="009C3621">
      <w:pPr>
        <w:spacing w:after="0" w:line="240" w:lineRule="auto"/>
      </w:pPr>
      <w:r>
        <w:separator/>
      </w:r>
    </w:p>
  </w:footnote>
  <w:footnote w:type="continuationSeparator" w:id="0">
    <w:p w14:paraId="1B963611" w14:textId="77777777" w:rsidR="009C3621" w:rsidRDefault="009C36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AD773F"/>
    <w:rsid w:val="00037659"/>
    <w:rsid w:val="00054816"/>
    <w:rsid w:val="00081BEC"/>
    <w:rsid w:val="000B5C78"/>
    <w:rsid w:val="00120FEE"/>
    <w:rsid w:val="0019190A"/>
    <w:rsid w:val="00241636"/>
    <w:rsid w:val="002C2066"/>
    <w:rsid w:val="00380C32"/>
    <w:rsid w:val="003F0A4B"/>
    <w:rsid w:val="00484349"/>
    <w:rsid w:val="004C5595"/>
    <w:rsid w:val="004E04BF"/>
    <w:rsid w:val="005649DF"/>
    <w:rsid w:val="005C41D6"/>
    <w:rsid w:val="006E70B1"/>
    <w:rsid w:val="00744404"/>
    <w:rsid w:val="007445BF"/>
    <w:rsid w:val="00866F9C"/>
    <w:rsid w:val="00963F5B"/>
    <w:rsid w:val="009C3621"/>
    <w:rsid w:val="00A244FC"/>
    <w:rsid w:val="00AC3BFB"/>
    <w:rsid w:val="00AD773F"/>
    <w:rsid w:val="00AF003E"/>
    <w:rsid w:val="00AF640A"/>
    <w:rsid w:val="00C755FC"/>
    <w:rsid w:val="00CC6B10"/>
    <w:rsid w:val="00CE0FAA"/>
    <w:rsid w:val="00D64D6A"/>
    <w:rsid w:val="00DF4656"/>
    <w:rsid w:val="00EB449A"/>
    <w:rsid w:val="00EE79B5"/>
    <w:rsid w:val="00F1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8F191"/>
  <w15:chartTrackingRefBased/>
  <w15:docId w15:val="{82387729-846C-4835-A971-F374B822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773F"/>
    <w:pPr>
      <w:suppressAutoHyphens/>
      <w:spacing w:line="259" w:lineRule="auto"/>
    </w:pPr>
    <w:rPr>
      <w:kern w:val="0"/>
      <w:sz w:val="22"/>
      <w:szCs w:val="22"/>
      <w:lang w:val="de-DE"/>
      <w14:ligatures w14:val="none"/>
    </w:rPr>
  </w:style>
  <w:style w:type="paragraph" w:styleId="berschrift1">
    <w:name w:val="heading 1"/>
    <w:basedOn w:val="Standard"/>
    <w:link w:val="berschrift1Zchn1"/>
    <w:uiPriority w:val="9"/>
    <w:qFormat/>
    <w:rsid w:val="00AD773F"/>
    <w:pPr>
      <w:spacing w:beforeAutospacing="1" w:afterAutospacing="1" w:line="240" w:lineRule="auto"/>
      <w:outlineLvl w:val="0"/>
    </w:pPr>
    <w:rPr>
      <w:rFonts w:ascii="Times New Roman" w:eastAsia="Times New Roman" w:hAnsi="Times New Roman" w:cs="Times New Roman"/>
      <w:b/>
      <w:bCs/>
      <w:kern w:val="2"/>
      <w:sz w:val="48"/>
      <w:szCs w:val="48"/>
      <w:lang w:val="en-US"/>
    </w:rPr>
  </w:style>
  <w:style w:type="paragraph" w:styleId="berschrift2">
    <w:name w:val="heading 2"/>
    <w:basedOn w:val="Standard"/>
    <w:next w:val="Standard"/>
    <w:link w:val="berschrift2Zchn"/>
    <w:uiPriority w:val="9"/>
    <w:semiHidden/>
    <w:unhideWhenUsed/>
    <w:qFormat/>
    <w:rsid w:val="00AD77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D773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D773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D773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D773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D773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D773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D773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1">
    <w:name w:val="Überschrift 1 Zchn1"/>
    <w:basedOn w:val="Absatz-Standardschriftart"/>
    <w:link w:val="berschrift1"/>
    <w:uiPriority w:val="9"/>
    <w:rsid w:val="00AD773F"/>
    <w:rPr>
      <w:rFonts w:ascii="Times New Roman" w:eastAsia="Times New Roman" w:hAnsi="Times New Roman" w:cs="Times New Roman"/>
      <w:b/>
      <w:bCs/>
      <w:sz w:val="48"/>
      <w:szCs w:val="48"/>
      <w14:ligatures w14:val="none"/>
    </w:rPr>
  </w:style>
  <w:style w:type="character" w:customStyle="1" w:styleId="berschrift2Zchn">
    <w:name w:val="Überschrift 2 Zchn"/>
    <w:basedOn w:val="Absatz-Standardschriftart"/>
    <w:link w:val="berschrift2"/>
    <w:uiPriority w:val="9"/>
    <w:semiHidden/>
    <w:rsid w:val="00AD773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D773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D773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D773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D773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D773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D773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D773F"/>
    <w:rPr>
      <w:rFonts w:eastAsiaTheme="majorEastAsia" w:cstheme="majorBidi"/>
      <w:color w:val="272727" w:themeColor="text1" w:themeTint="D8"/>
    </w:rPr>
  </w:style>
  <w:style w:type="paragraph" w:styleId="Titel">
    <w:name w:val="Title"/>
    <w:basedOn w:val="Standard"/>
    <w:next w:val="Standard"/>
    <w:link w:val="TitelZchn"/>
    <w:uiPriority w:val="10"/>
    <w:qFormat/>
    <w:rsid w:val="00AD77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D773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D773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D773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D773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D773F"/>
    <w:rPr>
      <w:i/>
      <w:iCs/>
      <w:color w:val="404040" w:themeColor="text1" w:themeTint="BF"/>
    </w:rPr>
  </w:style>
  <w:style w:type="paragraph" w:styleId="Listenabsatz">
    <w:name w:val="List Paragraph"/>
    <w:basedOn w:val="Standard"/>
    <w:uiPriority w:val="34"/>
    <w:qFormat/>
    <w:rsid w:val="00AD773F"/>
    <w:pPr>
      <w:spacing w:after="200" w:line="276" w:lineRule="auto"/>
      <w:ind w:left="720"/>
      <w:contextualSpacing/>
    </w:pPr>
    <w:rPr>
      <w:rFonts w:eastAsiaTheme="minorEastAsia"/>
      <w:lang w:eastAsia="de-DE"/>
    </w:rPr>
  </w:style>
  <w:style w:type="character" w:styleId="IntensiveHervorhebung">
    <w:name w:val="Intense Emphasis"/>
    <w:basedOn w:val="Absatz-Standardschriftart"/>
    <w:uiPriority w:val="21"/>
    <w:qFormat/>
    <w:rsid w:val="00AD773F"/>
    <w:rPr>
      <w:i/>
      <w:iCs/>
      <w:color w:val="0F4761" w:themeColor="accent1" w:themeShade="BF"/>
    </w:rPr>
  </w:style>
  <w:style w:type="paragraph" w:styleId="IntensivesZitat">
    <w:name w:val="Intense Quote"/>
    <w:basedOn w:val="Standard"/>
    <w:next w:val="Standard"/>
    <w:link w:val="IntensivesZitatZchn"/>
    <w:uiPriority w:val="30"/>
    <w:qFormat/>
    <w:rsid w:val="00AD77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D773F"/>
    <w:rPr>
      <w:i/>
      <w:iCs/>
      <w:color w:val="0F4761" w:themeColor="accent1" w:themeShade="BF"/>
    </w:rPr>
  </w:style>
  <w:style w:type="character" w:styleId="IntensiverVerweis">
    <w:name w:val="Intense Reference"/>
    <w:basedOn w:val="Absatz-Standardschriftart"/>
    <w:uiPriority w:val="32"/>
    <w:qFormat/>
    <w:rsid w:val="00AD773F"/>
    <w:rPr>
      <w:b/>
      <w:bCs/>
      <w:smallCaps/>
      <w:color w:val="0F4761" w:themeColor="accent1" w:themeShade="BF"/>
      <w:spacing w:val="5"/>
    </w:rPr>
  </w:style>
  <w:style w:type="character" w:styleId="Hyperlink">
    <w:name w:val="Hyperlink"/>
    <w:basedOn w:val="Absatz-Standardschriftart"/>
    <w:uiPriority w:val="99"/>
    <w:unhideWhenUsed/>
    <w:rsid w:val="00AD773F"/>
    <w:rPr>
      <w:color w:val="467886" w:themeColor="hyperlink"/>
      <w:u w:val="single"/>
    </w:rPr>
  </w:style>
  <w:style w:type="character" w:customStyle="1" w:styleId="MDPI31textChar">
    <w:name w:val="MDPI_3.1_text Char"/>
    <w:basedOn w:val="Absatz-Standardschriftart"/>
    <w:link w:val="MDPI31text"/>
    <w:qFormat/>
    <w:locked/>
    <w:rsid w:val="00AD773F"/>
    <w:rPr>
      <w:rFonts w:ascii="Palatino Linotype" w:eastAsia="Times New Roman" w:hAnsi="Palatino Linotype" w:cs="Times New Roman"/>
      <w:color w:val="000000"/>
      <w:sz w:val="20"/>
      <w:lang w:eastAsia="de-DE" w:bidi="en-US"/>
    </w:rPr>
  </w:style>
  <w:style w:type="character" w:customStyle="1" w:styleId="tgc">
    <w:name w:val="_tgc"/>
    <w:basedOn w:val="Absatz-Standardschriftart"/>
    <w:qFormat/>
    <w:rsid w:val="00AD773F"/>
  </w:style>
  <w:style w:type="character" w:styleId="Kommentarzeichen">
    <w:name w:val="annotation reference"/>
    <w:basedOn w:val="Absatz-Standardschriftart"/>
    <w:uiPriority w:val="99"/>
    <w:semiHidden/>
    <w:unhideWhenUsed/>
    <w:qFormat/>
    <w:rsid w:val="00AD773F"/>
    <w:rPr>
      <w:sz w:val="16"/>
      <w:szCs w:val="16"/>
    </w:rPr>
  </w:style>
  <w:style w:type="character" w:customStyle="1" w:styleId="KommentartextZchn">
    <w:name w:val="Kommentartext Zchn"/>
    <w:basedOn w:val="Absatz-Standardschriftart"/>
    <w:link w:val="Kommentartext"/>
    <w:uiPriority w:val="99"/>
    <w:qFormat/>
    <w:rsid w:val="00AD773F"/>
    <w:rPr>
      <w:sz w:val="20"/>
      <w:szCs w:val="20"/>
    </w:rPr>
  </w:style>
  <w:style w:type="character" w:customStyle="1" w:styleId="KommentarthemaZchn">
    <w:name w:val="Kommentarthema Zchn"/>
    <w:basedOn w:val="KommentartextZchn"/>
    <w:link w:val="Kommentarthema"/>
    <w:uiPriority w:val="99"/>
    <w:semiHidden/>
    <w:qFormat/>
    <w:rsid w:val="00AD773F"/>
    <w:rPr>
      <w:b/>
      <w:bCs/>
      <w:sz w:val="20"/>
      <w:szCs w:val="20"/>
    </w:rPr>
  </w:style>
  <w:style w:type="character" w:customStyle="1" w:styleId="SprechblasentextZchn">
    <w:name w:val="Sprechblasentext Zchn"/>
    <w:basedOn w:val="Absatz-Standardschriftart"/>
    <w:link w:val="Sprechblasentext"/>
    <w:uiPriority w:val="99"/>
    <w:semiHidden/>
    <w:qFormat/>
    <w:rsid w:val="00AD773F"/>
    <w:rPr>
      <w:rFonts w:ascii="Segoe UI" w:hAnsi="Segoe UI" w:cs="Segoe UI"/>
      <w:sz w:val="18"/>
      <w:szCs w:val="18"/>
    </w:rPr>
  </w:style>
  <w:style w:type="character" w:customStyle="1" w:styleId="berschrift1Zchn">
    <w:name w:val="Überschrift 1 Zchn"/>
    <w:basedOn w:val="Absatz-Standardschriftart"/>
    <w:uiPriority w:val="9"/>
    <w:qFormat/>
    <w:rsid w:val="00AD773F"/>
    <w:rPr>
      <w:rFonts w:ascii="Times New Roman" w:eastAsia="Times New Roman" w:hAnsi="Times New Roman" w:cs="Times New Roman"/>
      <w:b/>
      <w:bCs/>
      <w:kern w:val="2"/>
      <w:sz w:val="48"/>
      <w:szCs w:val="48"/>
      <w:lang w:val="en-US"/>
    </w:rPr>
  </w:style>
  <w:style w:type="character" w:customStyle="1" w:styleId="EndnotentextZchn">
    <w:name w:val="Endnotentext Zchn"/>
    <w:basedOn w:val="Absatz-Standardschriftart"/>
    <w:link w:val="Endnotentext"/>
    <w:uiPriority w:val="99"/>
    <w:semiHidden/>
    <w:qFormat/>
    <w:rsid w:val="00AD773F"/>
    <w:rPr>
      <w:sz w:val="20"/>
      <w:szCs w:val="20"/>
    </w:rPr>
  </w:style>
  <w:style w:type="character" w:customStyle="1" w:styleId="EndnoteCharacters">
    <w:name w:val="Endnote Characters"/>
    <w:basedOn w:val="Absatz-Standardschriftart"/>
    <w:uiPriority w:val="99"/>
    <w:semiHidden/>
    <w:unhideWhenUsed/>
    <w:qFormat/>
    <w:rsid w:val="00AD773F"/>
    <w:rPr>
      <w:vertAlign w:val="superscript"/>
    </w:rPr>
  </w:style>
  <w:style w:type="character" w:customStyle="1" w:styleId="EndnoteAnchor">
    <w:name w:val="Endnote Anchor"/>
    <w:rsid w:val="00AD773F"/>
    <w:rPr>
      <w:vertAlign w:val="superscript"/>
    </w:rPr>
  </w:style>
  <w:style w:type="paragraph" w:customStyle="1" w:styleId="Heading">
    <w:name w:val="Heading"/>
    <w:basedOn w:val="Standard"/>
    <w:next w:val="Textkrper"/>
    <w:qFormat/>
    <w:rsid w:val="00AD773F"/>
    <w:pPr>
      <w:keepNext/>
      <w:spacing w:before="240" w:after="120"/>
    </w:pPr>
    <w:rPr>
      <w:rFonts w:ascii="Liberation Sans" w:eastAsia="Noto Sans CJK SC" w:hAnsi="Liberation Sans" w:cs="Lohit Devanagari"/>
      <w:sz w:val="28"/>
      <w:szCs w:val="28"/>
    </w:rPr>
  </w:style>
  <w:style w:type="paragraph" w:styleId="Textkrper">
    <w:name w:val="Body Text"/>
    <w:basedOn w:val="Standard"/>
    <w:link w:val="TextkrperZchn"/>
    <w:rsid w:val="00AD773F"/>
    <w:pPr>
      <w:spacing w:after="140" w:line="276" w:lineRule="auto"/>
    </w:pPr>
  </w:style>
  <w:style w:type="character" w:customStyle="1" w:styleId="TextkrperZchn">
    <w:name w:val="Textkörper Zchn"/>
    <w:basedOn w:val="Absatz-Standardschriftart"/>
    <w:link w:val="Textkrper"/>
    <w:rsid w:val="00AD773F"/>
    <w:rPr>
      <w:kern w:val="0"/>
      <w:sz w:val="22"/>
      <w:szCs w:val="22"/>
      <w:lang w:val="de-DE"/>
      <w14:ligatures w14:val="none"/>
    </w:rPr>
  </w:style>
  <w:style w:type="paragraph" w:styleId="Liste">
    <w:name w:val="List"/>
    <w:basedOn w:val="Textkrper"/>
    <w:rsid w:val="00AD773F"/>
    <w:rPr>
      <w:rFonts w:cs="Lohit Devanagari"/>
    </w:rPr>
  </w:style>
  <w:style w:type="paragraph" w:styleId="Beschriftung">
    <w:name w:val="caption"/>
    <w:basedOn w:val="Standard"/>
    <w:qFormat/>
    <w:rsid w:val="00AD773F"/>
    <w:pPr>
      <w:suppressLineNumbers/>
      <w:spacing w:before="120" w:after="120"/>
    </w:pPr>
    <w:rPr>
      <w:rFonts w:cs="Lohit Devanagari"/>
      <w:i/>
      <w:iCs/>
      <w:sz w:val="24"/>
      <w:szCs w:val="24"/>
    </w:rPr>
  </w:style>
  <w:style w:type="paragraph" w:customStyle="1" w:styleId="Index">
    <w:name w:val="Index"/>
    <w:basedOn w:val="Standard"/>
    <w:qFormat/>
    <w:rsid w:val="00AD773F"/>
    <w:pPr>
      <w:suppressLineNumbers/>
    </w:pPr>
    <w:rPr>
      <w:rFonts w:cs="Lohit Devanagari"/>
    </w:rPr>
  </w:style>
  <w:style w:type="paragraph" w:styleId="StandardWeb">
    <w:name w:val="Normal (Web)"/>
    <w:basedOn w:val="Standard"/>
    <w:uiPriority w:val="99"/>
    <w:semiHidden/>
    <w:unhideWhenUsed/>
    <w:qFormat/>
    <w:rsid w:val="00AD773F"/>
    <w:pPr>
      <w:spacing w:beforeAutospacing="1" w:afterAutospacing="1" w:line="240" w:lineRule="auto"/>
    </w:pPr>
    <w:rPr>
      <w:rFonts w:ascii="Times New Roman" w:eastAsia="Times New Roman" w:hAnsi="Times New Roman" w:cs="Times New Roman"/>
      <w:sz w:val="24"/>
      <w:szCs w:val="24"/>
      <w:lang w:val="en-US"/>
    </w:rPr>
  </w:style>
  <w:style w:type="paragraph" w:customStyle="1" w:styleId="Default">
    <w:name w:val="Default"/>
    <w:qFormat/>
    <w:rsid w:val="00AD773F"/>
    <w:pPr>
      <w:suppressAutoHyphens/>
      <w:spacing w:after="0" w:line="240" w:lineRule="auto"/>
    </w:pPr>
    <w:rPr>
      <w:rFonts w:ascii="ITC Symbol Std Medium" w:eastAsia="Calibri" w:hAnsi="ITC Symbol Std Medium" w:cs="ITC Symbol Std Medium"/>
      <w:color w:val="000000"/>
      <w:kern w:val="0"/>
      <w:lang w:val="de-DE"/>
      <w14:ligatures w14:val="none"/>
    </w:rPr>
  </w:style>
  <w:style w:type="paragraph" w:customStyle="1" w:styleId="MDPI31text">
    <w:name w:val="MDPI_3.1_text"/>
    <w:link w:val="MDPI31textChar"/>
    <w:qFormat/>
    <w:rsid w:val="00AD773F"/>
    <w:pPr>
      <w:suppressAutoHyphens/>
      <w:snapToGrid w:val="0"/>
      <w:spacing w:after="0" w:line="260" w:lineRule="atLeast"/>
      <w:ind w:firstLine="425"/>
      <w:jc w:val="both"/>
    </w:pPr>
    <w:rPr>
      <w:rFonts w:ascii="Palatino Linotype" w:eastAsia="Times New Roman" w:hAnsi="Palatino Linotype" w:cs="Times New Roman"/>
      <w:color w:val="000000"/>
      <w:sz w:val="20"/>
      <w:lang w:eastAsia="de-DE" w:bidi="en-US"/>
    </w:rPr>
  </w:style>
  <w:style w:type="paragraph" w:styleId="Kommentartext">
    <w:name w:val="annotation text"/>
    <w:basedOn w:val="Standard"/>
    <w:link w:val="KommentartextZchn"/>
    <w:uiPriority w:val="99"/>
    <w:unhideWhenUsed/>
    <w:qFormat/>
    <w:rsid w:val="00AD773F"/>
    <w:pPr>
      <w:spacing w:line="240" w:lineRule="auto"/>
    </w:pPr>
    <w:rPr>
      <w:kern w:val="2"/>
      <w:sz w:val="20"/>
      <w:szCs w:val="20"/>
      <w:lang w:val="en-US"/>
      <w14:ligatures w14:val="standardContextual"/>
    </w:rPr>
  </w:style>
  <w:style w:type="character" w:customStyle="1" w:styleId="CommentTextChar1">
    <w:name w:val="Comment Text Char1"/>
    <w:basedOn w:val="Absatz-Standardschriftart"/>
    <w:uiPriority w:val="99"/>
    <w:semiHidden/>
    <w:rsid w:val="00AD773F"/>
    <w:rPr>
      <w:sz w:val="20"/>
      <w:szCs w:val="20"/>
      <w:lang w:val="de-DE"/>
    </w:rPr>
  </w:style>
  <w:style w:type="paragraph" w:styleId="Kommentarthema">
    <w:name w:val="annotation subject"/>
    <w:basedOn w:val="Kommentartext"/>
    <w:next w:val="Kommentartext"/>
    <w:link w:val="KommentarthemaZchn"/>
    <w:uiPriority w:val="99"/>
    <w:semiHidden/>
    <w:unhideWhenUsed/>
    <w:qFormat/>
    <w:rsid w:val="00AD773F"/>
    <w:rPr>
      <w:b/>
      <w:bCs/>
    </w:rPr>
  </w:style>
  <w:style w:type="character" w:customStyle="1" w:styleId="CommentSubjectChar1">
    <w:name w:val="Comment Subject Char1"/>
    <w:basedOn w:val="CommentTextChar1"/>
    <w:uiPriority w:val="99"/>
    <w:semiHidden/>
    <w:rsid w:val="00AD773F"/>
    <w:rPr>
      <w:b/>
      <w:bCs/>
      <w:sz w:val="20"/>
      <w:szCs w:val="20"/>
      <w:lang w:val="de-DE"/>
    </w:rPr>
  </w:style>
  <w:style w:type="paragraph" w:styleId="Sprechblasentext">
    <w:name w:val="Balloon Text"/>
    <w:basedOn w:val="Standard"/>
    <w:link w:val="SprechblasentextZchn"/>
    <w:uiPriority w:val="99"/>
    <w:semiHidden/>
    <w:unhideWhenUsed/>
    <w:qFormat/>
    <w:rsid w:val="00AD773F"/>
    <w:pPr>
      <w:spacing w:after="0" w:line="240" w:lineRule="auto"/>
    </w:pPr>
    <w:rPr>
      <w:rFonts w:ascii="Segoe UI" w:hAnsi="Segoe UI" w:cs="Segoe UI"/>
      <w:kern w:val="2"/>
      <w:sz w:val="18"/>
      <w:szCs w:val="18"/>
      <w:lang w:val="en-US"/>
      <w14:ligatures w14:val="standardContextual"/>
    </w:rPr>
  </w:style>
  <w:style w:type="character" w:customStyle="1" w:styleId="BalloonTextChar1">
    <w:name w:val="Balloon Text Char1"/>
    <w:basedOn w:val="Absatz-Standardschriftart"/>
    <w:uiPriority w:val="99"/>
    <w:semiHidden/>
    <w:rsid w:val="00AD773F"/>
    <w:rPr>
      <w:rFonts w:ascii="Segoe UI" w:hAnsi="Segoe UI" w:cs="Segoe UI"/>
      <w:sz w:val="18"/>
      <w:szCs w:val="18"/>
      <w:lang w:val="de-DE"/>
    </w:rPr>
  </w:style>
  <w:style w:type="paragraph" w:styleId="Endnotentext">
    <w:name w:val="endnote text"/>
    <w:basedOn w:val="Standard"/>
    <w:link w:val="EndnotentextZchn"/>
    <w:uiPriority w:val="99"/>
    <w:semiHidden/>
    <w:unhideWhenUsed/>
    <w:rsid w:val="00AD773F"/>
    <w:pPr>
      <w:spacing w:after="0" w:line="240" w:lineRule="auto"/>
    </w:pPr>
    <w:rPr>
      <w:kern w:val="2"/>
      <w:sz w:val="20"/>
      <w:szCs w:val="20"/>
      <w:lang w:val="en-US"/>
      <w14:ligatures w14:val="standardContextual"/>
    </w:rPr>
  </w:style>
  <w:style w:type="character" w:customStyle="1" w:styleId="EndnoteTextChar1">
    <w:name w:val="Endnote Text Char1"/>
    <w:basedOn w:val="Absatz-Standardschriftart"/>
    <w:uiPriority w:val="99"/>
    <w:semiHidden/>
    <w:rsid w:val="00AD773F"/>
    <w:rPr>
      <w:sz w:val="20"/>
      <w:szCs w:val="20"/>
      <w:lang w:val="de-DE"/>
    </w:rPr>
  </w:style>
  <w:style w:type="character" w:customStyle="1" w:styleId="identifier">
    <w:name w:val="identifier"/>
    <w:basedOn w:val="Absatz-Standardschriftart"/>
    <w:rsid w:val="00AD773F"/>
  </w:style>
  <w:style w:type="character" w:customStyle="1" w:styleId="id-label">
    <w:name w:val="id-label"/>
    <w:basedOn w:val="Absatz-Standardschriftart"/>
    <w:rsid w:val="00AD773F"/>
  </w:style>
  <w:style w:type="character" w:customStyle="1" w:styleId="st">
    <w:name w:val="st"/>
    <w:basedOn w:val="Absatz-Standardschriftart"/>
    <w:rsid w:val="00AD773F"/>
  </w:style>
  <w:style w:type="paragraph" w:styleId="KeinLeerraum">
    <w:name w:val="No Spacing"/>
    <w:uiPriority w:val="1"/>
    <w:qFormat/>
    <w:rsid w:val="00AD773F"/>
    <w:pPr>
      <w:spacing w:after="0" w:line="240" w:lineRule="auto"/>
    </w:pPr>
    <w:rPr>
      <w:kern w:val="0"/>
      <w:sz w:val="22"/>
      <w:szCs w:val="22"/>
      <w14:ligatures w14:val="none"/>
    </w:rPr>
  </w:style>
  <w:style w:type="paragraph" w:customStyle="1" w:styleId="EndNoteBibliographyTitle">
    <w:name w:val="EndNote Bibliography Title"/>
    <w:basedOn w:val="Standard"/>
    <w:link w:val="EndNoteBibliographyTitleChar"/>
    <w:rsid w:val="00AD773F"/>
    <w:pPr>
      <w:spacing w:after="0"/>
      <w:jc w:val="center"/>
    </w:pPr>
    <w:rPr>
      <w:rFonts w:ascii="Calibri" w:hAnsi="Calibri" w:cs="Calibri"/>
      <w:noProof/>
      <w:lang w:val="en-US"/>
    </w:rPr>
  </w:style>
  <w:style w:type="character" w:customStyle="1" w:styleId="EndNoteBibliographyTitleChar">
    <w:name w:val="EndNote Bibliography Title Char"/>
    <w:basedOn w:val="Absatz-Standardschriftart"/>
    <w:link w:val="EndNoteBibliographyTitle"/>
    <w:rsid w:val="00AD773F"/>
    <w:rPr>
      <w:rFonts w:ascii="Calibri" w:hAnsi="Calibri" w:cs="Calibri"/>
      <w:noProof/>
      <w:kern w:val="0"/>
      <w:sz w:val="22"/>
      <w:szCs w:val="22"/>
      <w14:ligatures w14:val="none"/>
    </w:rPr>
  </w:style>
  <w:style w:type="paragraph" w:customStyle="1" w:styleId="EndNoteBibliography">
    <w:name w:val="EndNote Bibliography"/>
    <w:basedOn w:val="Standard"/>
    <w:link w:val="EndNoteBibliographyChar"/>
    <w:rsid w:val="00AD773F"/>
    <w:pPr>
      <w:spacing w:line="240" w:lineRule="auto"/>
    </w:pPr>
    <w:rPr>
      <w:rFonts w:ascii="Calibri" w:hAnsi="Calibri" w:cs="Calibri"/>
      <w:noProof/>
      <w:lang w:val="en-US"/>
    </w:rPr>
  </w:style>
  <w:style w:type="character" w:customStyle="1" w:styleId="EndNoteBibliographyChar">
    <w:name w:val="EndNote Bibliography Char"/>
    <w:basedOn w:val="Absatz-Standardschriftart"/>
    <w:link w:val="EndNoteBibliography"/>
    <w:rsid w:val="00AD773F"/>
    <w:rPr>
      <w:rFonts w:ascii="Calibri" w:hAnsi="Calibri" w:cs="Calibri"/>
      <w:noProof/>
      <w:kern w:val="0"/>
      <w:sz w:val="22"/>
      <w:szCs w:val="22"/>
      <w14:ligatures w14:val="none"/>
    </w:rPr>
  </w:style>
  <w:style w:type="paragraph" w:styleId="berarbeitung">
    <w:name w:val="Revision"/>
    <w:hidden/>
    <w:uiPriority w:val="99"/>
    <w:semiHidden/>
    <w:rsid w:val="00AD773F"/>
    <w:pPr>
      <w:spacing w:after="0" w:line="240" w:lineRule="auto"/>
    </w:pPr>
    <w:rPr>
      <w:kern w:val="0"/>
      <w:sz w:val="22"/>
      <w:szCs w:val="22"/>
      <w:lang w:val="de-DE"/>
      <w14:ligatures w14:val="none"/>
    </w:rPr>
  </w:style>
  <w:style w:type="paragraph" w:styleId="Kopfzeile">
    <w:name w:val="header"/>
    <w:basedOn w:val="Standard"/>
    <w:link w:val="KopfzeileZchn"/>
    <w:uiPriority w:val="99"/>
    <w:unhideWhenUsed/>
    <w:rsid w:val="00AD773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D773F"/>
    <w:rPr>
      <w:kern w:val="0"/>
      <w:sz w:val="22"/>
      <w:szCs w:val="22"/>
      <w:lang w:val="de-DE"/>
      <w14:ligatures w14:val="none"/>
    </w:rPr>
  </w:style>
  <w:style w:type="paragraph" w:styleId="Fuzeile">
    <w:name w:val="footer"/>
    <w:basedOn w:val="Standard"/>
    <w:link w:val="FuzeileZchn"/>
    <w:uiPriority w:val="99"/>
    <w:unhideWhenUsed/>
    <w:rsid w:val="00AD773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D773F"/>
    <w:rPr>
      <w:kern w:val="0"/>
      <w:sz w:val="22"/>
      <w:szCs w:val="22"/>
      <w:lang w:val="de-DE"/>
      <w14:ligatures w14:val="none"/>
    </w:rPr>
  </w:style>
  <w:style w:type="table" w:styleId="Gitternetztabelle2Akzent3">
    <w:name w:val="Grid Table 2 Accent 3"/>
    <w:basedOn w:val="NormaleTabelle"/>
    <w:uiPriority w:val="47"/>
    <w:rsid w:val="00AD773F"/>
    <w:pPr>
      <w:spacing w:after="0" w:line="240" w:lineRule="auto"/>
    </w:pPr>
    <w:rPr>
      <w:kern w:val="0"/>
      <w:sz w:val="22"/>
      <w:szCs w:val="22"/>
      <w:lang w:val="de-DE"/>
      <w14:ligatures w14:val="none"/>
    </w:rPr>
    <w:tblPr>
      <w:tblStyleRowBandSize w:val="1"/>
      <w:tblStyleColBandSize w:val="1"/>
      <w:tblInd w:w="0" w:type="nil"/>
      <w:tblBorders>
        <w:top w:val="single" w:sz="2" w:space="0" w:color="47D459" w:themeColor="accent3" w:themeTint="99"/>
        <w:bottom w:val="single" w:sz="2" w:space="0" w:color="47D459" w:themeColor="accent3" w:themeTint="99"/>
        <w:insideH w:val="single" w:sz="2" w:space="0" w:color="47D459" w:themeColor="accent3" w:themeTint="99"/>
        <w:insideV w:val="single" w:sz="2" w:space="0" w:color="47D459" w:themeColor="accent3" w:themeTint="99"/>
      </w:tblBorders>
    </w:tblPr>
    <w:tblStylePr w:type="firstRow">
      <w:rPr>
        <w:b/>
        <w:bCs/>
      </w:rPr>
      <w:tblPr/>
      <w:tcPr>
        <w:tcBorders>
          <w:top w:val="nil"/>
          <w:bottom w:val="single" w:sz="12" w:space="0" w:color="47D459" w:themeColor="accent3" w:themeTint="99"/>
          <w:insideH w:val="nil"/>
          <w:insideV w:val="nil"/>
        </w:tcBorders>
        <w:shd w:val="clear" w:color="auto" w:fill="FFFFFF" w:themeFill="background1"/>
      </w:tcPr>
    </w:tblStylePr>
    <w:tblStylePr w:type="lastRow">
      <w:rPr>
        <w:b/>
        <w:bCs/>
      </w:rPr>
      <w:tblPr/>
      <w:tcPr>
        <w:tcBorders>
          <w:top w:val="double" w:sz="2" w:space="0" w:color="47D45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character" w:styleId="NichtaufgelsteErwhnung">
    <w:name w:val="Unresolved Mention"/>
    <w:basedOn w:val="Absatz-Standardschriftart"/>
    <w:uiPriority w:val="99"/>
    <w:semiHidden/>
    <w:unhideWhenUsed/>
    <w:rsid w:val="00AD773F"/>
    <w:rPr>
      <w:color w:val="605E5C"/>
      <w:shd w:val="clear" w:color="auto" w:fill="E1DFDD"/>
    </w:rPr>
  </w:style>
  <w:style w:type="character" w:customStyle="1" w:styleId="normaltextrun">
    <w:name w:val="normaltextrun"/>
    <w:basedOn w:val="Absatz-Standardschriftart"/>
    <w:rsid w:val="00AD773F"/>
  </w:style>
  <w:style w:type="table" w:styleId="Tabellenraster">
    <w:name w:val="Table Grid"/>
    <w:basedOn w:val="NormaleTabelle"/>
    <w:uiPriority w:val="59"/>
    <w:rsid w:val="00AD773F"/>
    <w:pPr>
      <w:spacing w:after="0" w:line="240" w:lineRule="auto"/>
    </w:pPr>
    <w:rPr>
      <w:kern w:val="0"/>
      <w:sz w:val="22"/>
      <w:szCs w:val="22"/>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itternetztabelle2">
    <w:name w:val="Grid Table 2"/>
    <w:basedOn w:val="NormaleTabelle"/>
    <w:uiPriority w:val="47"/>
    <w:rsid w:val="003F0A4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urText">
    <w:name w:val="Plain Text"/>
    <w:basedOn w:val="Standard"/>
    <w:link w:val="NurTextZchn"/>
    <w:uiPriority w:val="99"/>
    <w:semiHidden/>
    <w:unhideWhenUsed/>
    <w:rsid w:val="000B5C78"/>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0B5C78"/>
    <w:rPr>
      <w:rFonts w:ascii="Consolas" w:hAnsi="Consolas"/>
      <w:kern w:val="0"/>
      <w:sz w:val="21"/>
      <w:szCs w:val="21"/>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0352627">
      <w:bodyDiv w:val="1"/>
      <w:marLeft w:val="0"/>
      <w:marRight w:val="0"/>
      <w:marTop w:val="0"/>
      <w:marBottom w:val="0"/>
      <w:divBdr>
        <w:top w:val="none" w:sz="0" w:space="0" w:color="auto"/>
        <w:left w:val="none" w:sz="0" w:space="0" w:color="auto"/>
        <w:bottom w:val="none" w:sz="0" w:space="0" w:color="auto"/>
        <w:right w:val="none" w:sz="0" w:space="0" w:color="auto"/>
      </w:divBdr>
    </w:div>
    <w:div w:id="152393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google.com/search?sxsrf=AJOqlzUTrKL0ndrcNpqfN37dZmnsw3JWWA:1676022143266&amp;q=Ipswich,+Massachusetts&amp;si=AEcPFx5y3cpWB8t3QIlw940Bbgd-HLN-aNYSTraERzz0WyAsdCzEadn2wnEJ44zC1xuhoEWLO1NEFVIN49xQQSmJc1aRuAMH9f_h40CvmUMxO6zUaEa2NCWypoQ5bXkf6bQNYLUmnC1794yWPtAa_HYrFaB5FZlDeJ7FabK3Jts6ZaX-WntruMV_8kaag7HzZHnfsBzz2LPE1HMwJZN9H_oWt_dEM05Rmw%3D%3D&amp;sa=X&amp;ved=2ahUKEwjxo_CD1Yr9AhXT7LsIHda_DhcQmxMoAXoECHcQAw"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FA4CB9C528B904295E329BE70EBE8F4" ma:contentTypeVersion="16" ma:contentTypeDescription="Create a new document." ma:contentTypeScope="" ma:versionID="c15023a1ebedd744cb28d017180c7e2c">
  <xsd:schema xmlns:xsd="http://www.w3.org/2001/XMLSchema" xmlns:xs="http://www.w3.org/2001/XMLSchema" xmlns:p="http://schemas.microsoft.com/office/2006/metadata/properties" xmlns:ns2="055f0f6a-8c7c-4178-8a35-a67a0944785d" xmlns:ns3="10512499-1840-4190-af6c-ec937e634bd6" targetNamespace="http://schemas.microsoft.com/office/2006/metadata/properties" ma:root="true" ma:fieldsID="9296fab3b3bbb3f5b1ac7f116dc38d96" ns2:_="" ns3:_="">
    <xsd:import namespace="055f0f6a-8c7c-4178-8a35-a67a0944785d"/>
    <xsd:import namespace="10512499-1840-4190-af6c-ec937e634b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5f0f6a-8c7c-4178-8a35-a67a09447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375ea7b-1eef-4e91-915e-32e4cb5a9c34"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512499-1840-4190-af6c-ec937e634b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1d6fe81-d62c-4427-bec6-823852de1bc1}" ma:internalName="TaxCatchAll" ma:showField="CatchAllData" ma:web="10512499-1840-4190-af6c-ec937e634b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512499-1840-4190-af6c-ec937e634bd6" xsi:nil="true"/>
    <lcf76f155ced4ddcb4097134ff3c332f xmlns="055f0f6a-8c7c-4178-8a35-a67a094478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DFA11D-A1FD-4A6B-946C-7E34FFFBB9C8}">
  <ds:schemaRefs>
    <ds:schemaRef ds:uri="http://schemas.openxmlformats.org/officeDocument/2006/bibliography"/>
  </ds:schemaRefs>
</ds:datastoreItem>
</file>

<file path=customXml/itemProps2.xml><?xml version="1.0" encoding="utf-8"?>
<ds:datastoreItem xmlns:ds="http://schemas.openxmlformats.org/officeDocument/2006/customXml" ds:itemID="{3CD65FA1-743D-495A-B63E-884164C18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5f0f6a-8c7c-4178-8a35-a67a0944785d"/>
    <ds:schemaRef ds:uri="10512499-1840-4190-af6c-ec937e634b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630862-FA80-4164-B719-9851953AAADC}">
  <ds:schemaRefs>
    <ds:schemaRef ds:uri="http://schemas.microsoft.com/sharepoint/v3/contenttype/forms"/>
  </ds:schemaRefs>
</ds:datastoreItem>
</file>

<file path=customXml/itemProps4.xml><?xml version="1.0" encoding="utf-8"?>
<ds:datastoreItem xmlns:ds="http://schemas.openxmlformats.org/officeDocument/2006/customXml" ds:itemID="{A3A95404-0274-489A-86DE-FA763CB81AE2}">
  <ds:schemaRefs>
    <ds:schemaRef ds:uri="http://schemas.microsoft.com/office/2006/metadata/properties"/>
    <ds:schemaRef ds:uri="http://schemas.microsoft.com/office/infopath/2007/PartnerControls"/>
    <ds:schemaRef ds:uri="10512499-1840-4190-af6c-ec937e634bd6"/>
    <ds:schemaRef ds:uri="055f0f6a-8c7c-4178-8a35-a67a094478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3933</Words>
  <Characters>24783</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Aldiab, Ola</dc:creator>
  <cp:keywords/>
  <dc:description/>
  <cp:lastModifiedBy>Kusch, Angelika</cp:lastModifiedBy>
  <cp:revision>3</cp:revision>
  <cp:lastPrinted>2024-09-12T10:47:00Z</cp:lastPrinted>
  <dcterms:created xsi:type="dcterms:W3CDTF">2024-09-12T11:41:00Z</dcterms:created>
  <dcterms:modified xsi:type="dcterms:W3CDTF">2024-09-12T11:43:00Z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0x0101001FA4CB9C528B904295E329BE70EBE8F4</vt:lpwstr>
  </property>
  <property fmtid="{D5CDD505-2E9C-101B-9397-08002B2CF9AE}" pid="3" name="MediaServiceImageTags">
    <vt:lpwstr/>
  </property>
</Properties>
</file>