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219E93" w14:textId="592FD05D" w:rsidR="00511AEC" w:rsidRPr="0047369D" w:rsidRDefault="00511AEC" w:rsidP="00511AEC">
      <w:pPr>
        <w:rPr>
          <w:rFonts w:ascii="Arial" w:hAnsi="Arial" w:cs="Arial"/>
          <w:b/>
          <w:bCs/>
          <w:lang w:val="en-US"/>
        </w:rPr>
      </w:pPr>
      <w:r w:rsidRPr="0047369D">
        <w:rPr>
          <w:rFonts w:ascii="Arial" w:hAnsi="Arial" w:cs="Arial"/>
          <w:b/>
          <w:bCs/>
          <w:lang w:val="en-US"/>
        </w:rPr>
        <w:t>Bimodal dendritic processing in basket cells drives distinct memory-related oscillations</w:t>
      </w:r>
      <w:r w:rsidR="00005C91" w:rsidRPr="0047369D">
        <w:rPr>
          <w:rFonts w:ascii="Arial" w:hAnsi="Arial" w:cs="Arial"/>
          <w:b/>
          <w:bCs/>
          <w:lang w:val="en-US"/>
        </w:rPr>
        <w:t xml:space="preserve"> </w:t>
      </w:r>
      <w:r w:rsidRPr="0047369D">
        <w:rPr>
          <w:rFonts w:ascii="Arial" w:hAnsi="Arial" w:cs="Arial"/>
          <w:b/>
          <w:bCs/>
          <w:lang w:val="en-US"/>
        </w:rPr>
        <w:t>Tzilivaki et al., 202</w:t>
      </w:r>
      <w:r w:rsidR="000C4377" w:rsidRPr="0047369D">
        <w:rPr>
          <w:rFonts w:ascii="Arial" w:hAnsi="Arial" w:cs="Arial"/>
          <w:b/>
          <w:bCs/>
          <w:lang w:val="en-US"/>
        </w:rPr>
        <w:t>5</w:t>
      </w:r>
    </w:p>
    <w:p w14:paraId="14331107" w14:textId="52B4BD4A" w:rsidR="00511AEC" w:rsidRPr="0047369D" w:rsidRDefault="00511AEC" w:rsidP="00511AEC">
      <w:pPr>
        <w:rPr>
          <w:rFonts w:ascii="Arial" w:hAnsi="Arial" w:cs="Arial"/>
          <w:b/>
          <w:bCs/>
          <w:lang w:val="en-US"/>
        </w:rPr>
      </w:pPr>
      <w:r w:rsidRPr="0047369D">
        <w:rPr>
          <w:rFonts w:ascii="Arial" w:hAnsi="Arial" w:cs="Arial"/>
          <w:b/>
          <w:bCs/>
          <w:lang w:val="en-US"/>
        </w:rPr>
        <w:t xml:space="preserve">                                       </w:t>
      </w:r>
    </w:p>
    <w:p w14:paraId="3F5E1600" w14:textId="7B78B43A" w:rsidR="00511AEC" w:rsidRPr="0047369D" w:rsidRDefault="00511AEC" w:rsidP="00F94270">
      <w:pPr>
        <w:jc w:val="center"/>
        <w:rPr>
          <w:rFonts w:ascii="Arial" w:hAnsi="Arial" w:cs="Arial"/>
          <w:b/>
          <w:bCs/>
          <w:u w:val="single"/>
          <w:lang w:val="en-US"/>
        </w:rPr>
      </w:pPr>
      <w:r w:rsidRPr="0047369D">
        <w:rPr>
          <w:rFonts w:ascii="Arial" w:hAnsi="Arial" w:cs="Arial"/>
          <w:b/>
          <w:bCs/>
          <w:u w:val="single"/>
          <w:lang w:val="en-US"/>
        </w:rPr>
        <w:t>Supplementary Information</w:t>
      </w:r>
    </w:p>
    <w:p w14:paraId="5331F540" w14:textId="60A707B5" w:rsidR="000C4377" w:rsidRPr="0047369D" w:rsidRDefault="00005C91" w:rsidP="000C4377">
      <w:pPr>
        <w:rPr>
          <w:rFonts w:ascii="Arial" w:hAnsi="Arial" w:cs="Arial"/>
          <w:lang w:val="en-US"/>
        </w:rPr>
      </w:pPr>
      <w:r w:rsidRPr="0047369D">
        <w:rPr>
          <w:rFonts w:ascii="Arial" w:hAnsi="Arial" w:cs="Arial"/>
          <w:noProof/>
          <w:lang w:val="en-US"/>
        </w:rPr>
        <w:drawing>
          <wp:anchor distT="0" distB="0" distL="114300" distR="114300" simplePos="0" relativeHeight="251679744" behindDoc="0" locked="0" layoutInCell="1" allowOverlap="1" wp14:anchorId="0CCA3605" wp14:editId="652569C7">
            <wp:simplePos x="0" y="0"/>
            <wp:positionH relativeFrom="column">
              <wp:posOffset>720090</wp:posOffset>
            </wp:positionH>
            <wp:positionV relativeFrom="paragraph">
              <wp:posOffset>67945</wp:posOffset>
            </wp:positionV>
            <wp:extent cx="4785360" cy="6213475"/>
            <wp:effectExtent l="0" t="0" r="0" b="0"/>
            <wp:wrapThrough wrapText="bothSides">
              <wp:wrapPolygon edited="0">
                <wp:start x="0" y="0"/>
                <wp:lineTo x="0" y="21523"/>
                <wp:lineTo x="21497" y="21523"/>
                <wp:lineTo x="21497" y="0"/>
                <wp:lineTo x="0" y="0"/>
              </wp:wrapPolygon>
            </wp:wrapThrough>
            <wp:docPr id="1935914570" name="Εικόνα 3" descr="Εικόνα που περιέχει σκίτσο/σχέδιο, κείμενο, διάγραμμα, ζωγραφι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914570" name="Εικόνα 3" descr="Εικόνα που περιέχει σκίτσο/σχέδιο, κείμενο, διάγραμμα, ζωγραφιά&#10;&#10;Περιγραφή που δημιουργήθηκε αυτόματα"/>
                    <pic:cNvPicPr/>
                  </pic:nvPicPr>
                  <pic:blipFill>
                    <a:blip r:embed="rId6" cstate="print">
                      <a:extLst>
                        <a:ext uri="{28A0092B-C50C-407E-A947-70E740481C1C}">
                          <a14:useLocalDpi xmlns:a14="http://schemas.microsoft.com/office/drawing/2010/main" val="0"/>
                        </a:ext>
                      </a:extLst>
                    </a:blip>
                    <a:stretch>
                      <a:fillRect/>
                    </a:stretch>
                  </pic:blipFill>
                  <pic:spPr>
                    <a:xfrm>
                      <a:off x="0" y="0"/>
                      <a:ext cx="4785360" cy="6213475"/>
                    </a:xfrm>
                    <a:prstGeom prst="rect">
                      <a:avLst/>
                    </a:prstGeom>
                  </pic:spPr>
                </pic:pic>
              </a:graphicData>
            </a:graphic>
            <wp14:sizeRelH relativeFrom="margin">
              <wp14:pctWidth>0</wp14:pctWidth>
            </wp14:sizeRelH>
            <wp14:sizeRelV relativeFrom="margin">
              <wp14:pctHeight>0</wp14:pctHeight>
            </wp14:sizeRelV>
          </wp:anchor>
        </w:drawing>
      </w:r>
    </w:p>
    <w:p w14:paraId="658C02E9" w14:textId="1B322397" w:rsidR="000C4377" w:rsidRPr="0047369D" w:rsidRDefault="000C4377" w:rsidP="000C4377">
      <w:pPr>
        <w:rPr>
          <w:rFonts w:ascii="Arial" w:hAnsi="Arial" w:cs="Arial"/>
          <w:lang w:val="en-US"/>
        </w:rPr>
      </w:pPr>
    </w:p>
    <w:p w14:paraId="2C6E84E3" w14:textId="052A3902" w:rsidR="000C4377" w:rsidRPr="0047369D" w:rsidRDefault="000C4377" w:rsidP="000C4377">
      <w:pPr>
        <w:rPr>
          <w:rFonts w:ascii="Arial" w:hAnsi="Arial" w:cs="Arial"/>
          <w:b/>
          <w:bCs/>
          <w:u w:val="single"/>
          <w:lang w:val="en-US"/>
        </w:rPr>
      </w:pPr>
    </w:p>
    <w:p w14:paraId="65BD1279" w14:textId="48C4F59D" w:rsidR="000C4377" w:rsidRPr="0047369D" w:rsidRDefault="000C4377" w:rsidP="000C4377">
      <w:pPr>
        <w:rPr>
          <w:rFonts w:ascii="Arial" w:hAnsi="Arial" w:cs="Arial"/>
          <w:b/>
          <w:bCs/>
          <w:u w:val="single"/>
          <w:lang w:val="en-US"/>
        </w:rPr>
      </w:pPr>
    </w:p>
    <w:p w14:paraId="767C9CFB" w14:textId="39EACD72" w:rsidR="000C4377" w:rsidRPr="0047369D" w:rsidRDefault="000C4377" w:rsidP="000C4377">
      <w:pPr>
        <w:rPr>
          <w:rFonts w:ascii="Arial" w:hAnsi="Arial" w:cs="Arial"/>
          <w:b/>
          <w:bCs/>
          <w:u w:val="single"/>
          <w:lang w:val="en-US"/>
        </w:rPr>
      </w:pPr>
    </w:p>
    <w:p w14:paraId="6C16DDF7" w14:textId="3951EB62" w:rsidR="000C4377" w:rsidRPr="0047369D" w:rsidRDefault="000C4377" w:rsidP="000C4377">
      <w:pPr>
        <w:rPr>
          <w:rFonts w:ascii="Arial" w:hAnsi="Arial" w:cs="Arial"/>
          <w:b/>
          <w:bCs/>
          <w:u w:val="single"/>
          <w:lang w:val="en-US"/>
        </w:rPr>
      </w:pPr>
    </w:p>
    <w:p w14:paraId="00717A90" w14:textId="1C942FED" w:rsidR="00BA51AD" w:rsidRPr="0047369D" w:rsidRDefault="00BA51AD">
      <w:pPr>
        <w:rPr>
          <w:rFonts w:ascii="Arial" w:hAnsi="Arial" w:cs="Arial"/>
          <w:lang w:val="en-US"/>
        </w:rPr>
      </w:pPr>
    </w:p>
    <w:p w14:paraId="60466BE4" w14:textId="7300473E" w:rsidR="003101A3" w:rsidRPr="0047369D" w:rsidRDefault="003101A3" w:rsidP="003101A3">
      <w:pPr>
        <w:rPr>
          <w:rFonts w:ascii="Arial" w:hAnsi="Arial" w:cs="Arial"/>
          <w:lang w:val="en-US"/>
        </w:rPr>
      </w:pPr>
    </w:p>
    <w:p w14:paraId="51236D73" w14:textId="246EA8AE" w:rsidR="003101A3" w:rsidRPr="0047369D" w:rsidRDefault="003101A3" w:rsidP="003101A3">
      <w:pPr>
        <w:rPr>
          <w:rFonts w:ascii="Arial" w:hAnsi="Arial" w:cs="Arial"/>
          <w:lang w:val="en-US"/>
        </w:rPr>
      </w:pPr>
    </w:p>
    <w:p w14:paraId="1F36EA02" w14:textId="77777777" w:rsidR="003101A3" w:rsidRPr="0047369D" w:rsidRDefault="003101A3" w:rsidP="003101A3">
      <w:pPr>
        <w:rPr>
          <w:rFonts w:ascii="Arial" w:hAnsi="Arial" w:cs="Arial"/>
          <w:lang w:val="en-US"/>
        </w:rPr>
      </w:pPr>
    </w:p>
    <w:p w14:paraId="00EC6836" w14:textId="77777777" w:rsidR="003101A3" w:rsidRPr="0047369D" w:rsidRDefault="003101A3" w:rsidP="003101A3">
      <w:pPr>
        <w:rPr>
          <w:rFonts w:ascii="Arial" w:hAnsi="Arial" w:cs="Arial"/>
          <w:lang w:val="en-US"/>
        </w:rPr>
      </w:pPr>
    </w:p>
    <w:p w14:paraId="6284AD1F" w14:textId="77777777" w:rsidR="003101A3" w:rsidRPr="0047369D" w:rsidRDefault="003101A3" w:rsidP="003101A3">
      <w:pPr>
        <w:rPr>
          <w:rFonts w:ascii="Arial" w:hAnsi="Arial" w:cs="Arial"/>
          <w:lang w:val="en-US"/>
        </w:rPr>
      </w:pPr>
    </w:p>
    <w:p w14:paraId="6E706DDE" w14:textId="77777777" w:rsidR="003101A3" w:rsidRPr="0047369D" w:rsidRDefault="003101A3" w:rsidP="003101A3">
      <w:pPr>
        <w:rPr>
          <w:rFonts w:ascii="Arial" w:hAnsi="Arial" w:cs="Arial"/>
          <w:lang w:val="en-US"/>
        </w:rPr>
      </w:pPr>
    </w:p>
    <w:p w14:paraId="62F54463" w14:textId="77777777" w:rsidR="003101A3" w:rsidRPr="0047369D" w:rsidRDefault="003101A3" w:rsidP="003101A3">
      <w:pPr>
        <w:rPr>
          <w:rFonts w:ascii="Arial" w:hAnsi="Arial" w:cs="Arial"/>
          <w:lang w:val="en-US"/>
        </w:rPr>
      </w:pPr>
    </w:p>
    <w:p w14:paraId="170B0D2F" w14:textId="77777777" w:rsidR="003101A3" w:rsidRPr="0047369D" w:rsidRDefault="003101A3" w:rsidP="003101A3">
      <w:pPr>
        <w:rPr>
          <w:rFonts w:ascii="Arial" w:hAnsi="Arial" w:cs="Arial"/>
          <w:lang w:val="en-US"/>
        </w:rPr>
      </w:pPr>
    </w:p>
    <w:p w14:paraId="55E749F1" w14:textId="77777777" w:rsidR="003101A3" w:rsidRPr="0047369D" w:rsidRDefault="003101A3" w:rsidP="003101A3">
      <w:pPr>
        <w:rPr>
          <w:rFonts w:ascii="Arial" w:hAnsi="Arial" w:cs="Arial"/>
          <w:lang w:val="en-US"/>
        </w:rPr>
      </w:pPr>
    </w:p>
    <w:p w14:paraId="6BC4D1B9" w14:textId="77777777" w:rsidR="003101A3" w:rsidRPr="0047369D" w:rsidRDefault="003101A3" w:rsidP="003101A3">
      <w:pPr>
        <w:rPr>
          <w:rFonts w:ascii="Arial" w:hAnsi="Arial" w:cs="Arial"/>
          <w:lang w:val="en-US"/>
        </w:rPr>
      </w:pPr>
    </w:p>
    <w:p w14:paraId="5A19D69B" w14:textId="77777777" w:rsidR="003101A3" w:rsidRPr="0047369D" w:rsidRDefault="003101A3" w:rsidP="003101A3">
      <w:pPr>
        <w:rPr>
          <w:rFonts w:ascii="Arial" w:hAnsi="Arial" w:cs="Arial"/>
          <w:lang w:val="en-US"/>
        </w:rPr>
      </w:pPr>
    </w:p>
    <w:p w14:paraId="4D16915B" w14:textId="77777777" w:rsidR="003101A3" w:rsidRPr="0047369D" w:rsidRDefault="003101A3" w:rsidP="003101A3">
      <w:pPr>
        <w:rPr>
          <w:rFonts w:ascii="Arial" w:hAnsi="Arial" w:cs="Arial"/>
          <w:lang w:val="en-US"/>
        </w:rPr>
      </w:pPr>
    </w:p>
    <w:p w14:paraId="4231A042" w14:textId="77777777" w:rsidR="003101A3" w:rsidRPr="0047369D" w:rsidRDefault="003101A3" w:rsidP="003101A3">
      <w:pPr>
        <w:rPr>
          <w:rFonts w:ascii="Arial" w:hAnsi="Arial" w:cs="Arial"/>
          <w:lang w:val="en-US"/>
        </w:rPr>
      </w:pPr>
    </w:p>
    <w:p w14:paraId="50D252BB" w14:textId="77777777" w:rsidR="003101A3" w:rsidRPr="0047369D" w:rsidRDefault="003101A3" w:rsidP="003101A3">
      <w:pPr>
        <w:rPr>
          <w:rFonts w:ascii="Arial" w:hAnsi="Arial" w:cs="Arial"/>
          <w:lang w:val="en-US"/>
        </w:rPr>
      </w:pPr>
    </w:p>
    <w:p w14:paraId="76AF813C" w14:textId="77777777" w:rsidR="003101A3" w:rsidRPr="0047369D" w:rsidRDefault="003101A3" w:rsidP="003101A3">
      <w:pPr>
        <w:rPr>
          <w:rFonts w:ascii="Arial" w:hAnsi="Arial" w:cs="Arial"/>
          <w:lang w:val="en-US"/>
        </w:rPr>
      </w:pPr>
    </w:p>
    <w:p w14:paraId="329A10DB" w14:textId="77777777" w:rsidR="003101A3" w:rsidRPr="0047369D" w:rsidRDefault="003101A3" w:rsidP="003101A3">
      <w:pPr>
        <w:rPr>
          <w:rFonts w:ascii="Arial" w:hAnsi="Arial" w:cs="Arial"/>
          <w:lang w:val="en-US"/>
        </w:rPr>
      </w:pPr>
    </w:p>
    <w:p w14:paraId="78F49E9F" w14:textId="77777777" w:rsidR="003101A3" w:rsidRPr="0047369D" w:rsidRDefault="003101A3" w:rsidP="003101A3">
      <w:pPr>
        <w:tabs>
          <w:tab w:val="left" w:pos="2664"/>
        </w:tabs>
        <w:rPr>
          <w:rFonts w:ascii="Arial" w:hAnsi="Arial" w:cs="Arial"/>
          <w:b/>
          <w:bCs/>
          <w:lang w:val="en-US"/>
        </w:rPr>
      </w:pPr>
      <w:r w:rsidRPr="0047369D">
        <w:rPr>
          <w:rFonts w:ascii="Arial" w:hAnsi="Arial" w:cs="Arial"/>
          <w:b/>
          <w:bCs/>
          <w:lang w:val="en-US"/>
        </w:rPr>
        <w:t>Figure S1. Electrophysiological calibration and responses of the models.</w:t>
      </w:r>
    </w:p>
    <w:p w14:paraId="2B9C6110" w14:textId="4FB11612" w:rsidR="003101A3" w:rsidRPr="0047369D" w:rsidRDefault="003101A3" w:rsidP="006A4BBE">
      <w:pPr>
        <w:tabs>
          <w:tab w:val="left" w:pos="2664"/>
        </w:tabs>
        <w:jc w:val="both"/>
        <w:rPr>
          <w:rFonts w:ascii="Arial" w:hAnsi="Arial" w:cs="Arial"/>
          <w:lang w:val="en-US"/>
        </w:rPr>
      </w:pPr>
      <w:r w:rsidRPr="0047369D">
        <w:rPr>
          <w:rFonts w:ascii="Arial" w:hAnsi="Arial" w:cs="Arial"/>
          <w:b/>
          <w:bCs/>
          <w:lang w:val="en-US"/>
        </w:rPr>
        <w:t xml:space="preserve">a-c. </w:t>
      </w:r>
      <w:r w:rsidRPr="0047369D">
        <w:rPr>
          <w:rFonts w:ascii="Arial" w:hAnsi="Arial" w:cs="Arial"/>
          <w:lang w:val="en-US"/>
        </w:rPr>
        <w:t xml:space="preserve">FS BCs responses. </w:t>
      </w:r>
      <w:r w:rsidR="00E64546" w:rsidRPr="0047369D">
        <w:rPr>
          <w:rFonts w:ascii="Arial" w:hAnsi="Arial" w:cs="Arial"/>
          <w:b/>
          <w:bCs/>
          <w:lang w:val="en-US"/>
        </w:rPr>
        <w:t>a.</w:t>
      </w:r>
      <w:r w:rsidRPr="0047369D">
        <w:rPr>
          <w:rFonts w:ascii="Arial" w:hAnsi="Arial" w:cs="Arial"/>
          <w:lang w:val="en-US"/>
        </w:rPr>
        <w:t xml:space="preserve"> Frequency- Injected current (FI) curve upon current clamp</w:t>
      </w:r>
      <w:r w:rsidR="00005C91" w:rsidRPr="0047369D">
        <w:rPr>
          <w:rFonts w:ascii="Arial" w:hAnsi="Arial" w:cs="Arial"/>
          <w:lang w:val="en-US"/>
        </w:rPr>
        <w:t xml:space="preserve"> simulation</w:t>
      </w:r>
      <w:r w:rsidRPr="0047369D">
        <w:rPr>
          <w:rFonts w:ascii="Arial" w:hAnsi="Arial" w:cs="Arial"/>
          <w:lang w:val="en-US"/>
        </w:rPr>
        <w:t xml:space="preserve"> in the cell bodies of the two multicompartmental FSBCs (1 sec duration). </w:t>
      </w:r>
      <w:r w:rsidR="00005C91" w:rsidRPr="0047369D">
        <w:rPr>
          <w:rFonts w:ascii="Arial" w:hAnsi="Arial" w:cs="Arial"/>
          <w:b/>
          <w:bCs/>
          <w:lang w:val="en-US"/>
        </w:rPr>
        <w:t>b</w:t>
      </w:r>
      <w:r w:rsidRPr="0047369D">
        <w:rPr>
          <w:rFonts w:ascii="Arial" w:hAnsi="Arial" w:cs="Arial"/>
          <w:lang w:val="en-US"/>
        </w:rPr>
        <w:t xml:space="preserve">. Firing profiles of the two FSBCs </w:t>
      </w:r>
      <w:r w:rsidR="00005C91" w:rsidRPr="0047369D">
        <w:rPr>
          <w:rFonts w:ascii="Arial" w:hAnsi="Arial" w:cs="Arial"/>
          <w:lang w:val="en-US"/>
        </w:rPr>
        <w:t>after</w:t>
      </w:r>
      <w:r w:rsidRPr="0047369D">
        <w:rPr>
          <w:rFonts w:ascii="Arial" w:hAnsi="Arial" w:cs="Arial"/>
          <w:lang w:val="en-US"/>
        </w:rPr>
        <w:t xml:space="preserve"> </w:t>
      </w:r>
      <w:r w:rsidR="00005C91" w:rsidRPr="0047369D">
        <w:rPr>
          <w:rFonts w:ascii="Arial" w:hAnsi="Arial" w:cs="Arial"/>
          <w:lang w:val="en-US"/>
        </w:rPr>
        <w:t>depolarizing</w:t>
      </w:r>
      <w:r w:rsidRPr="0047369D">
        <w:rPr>
          <w:rFonts w:ascii="Arial" w:hAnsi="Arial" w:cs="Arial"/>
          <w:lang w:val="en-US"/>
        </w:rPr>
        <w:t xml:space="preserve"> current </w:t>
      </w:r>
      <w:r w:rsidR="00E64546" w:rsidRPr="0047369D">
        <w:rPr>
          <w:rFonts w:ascii="Arial" w:hAnsi="Arial" w:cs="Arial"/>
          <w:lang w:val="en-US"/>
        </w:rPr>
        <w:t>injections</w:t>
      </w:r>
      <w:r w:rsidRPr="0047369D">
        <w:rPr>
          <w:rFonts w:ascii="Arial" w:hAnsi="Arial" w:cs="Arial"/>
          <w:lang w:val="en-US"/>
        </w:rPr>
        <w:t xml:space="preserve"> in the cell bodies (300 pA, 1 sec)</w:t>
      </w:r>
      <w:r w:rsidR="00005C91" w:rsidRPr="0047369D">
        <w:rPr>
          <w:rFonts w:ascii="Arial" w:hAnsi="Arial" w:cs="Arial"/>
          <w:lang w:val="en-US"/>
        </w:rPr>
        <w:t>. FSBCs exhibit the typical high-frequency firing pattern.</w:t>
      </w:r>
      <w:r w:rsidR="00963347" w:rsidRPr="0047369D">
        <w:rPr>
          <w:rFonts w:ascii="Arial" w:hAnsi="Arial" w:cs="Arial"/>
          <w:lang w:val="en-US"/>
        </w:rPr>
        <w:t xml:space="preserve"> </w:t>
      </w:r>
      <w:r w:rsidR="00963347" w:rsidRPr="0047369D">
        <w:rPr>
          <w:rFonts w:ascii="Arial" w:hAnsi="Arial" w:cs="Arial"/>
          <w:b/>
          <w:bCs/>
          <w:lang w:val="en-US"/>
        </w:rPr>
        <w:t>c.</w:t>
      </w:r>
      <w:r w:rsidR="006A4BBE" w:rsidRPr="0047369D">
        <w:rPr>
          <w:rFonts w:ascii="Arial" w:hAnsi="Arial" w:cs="Arial"/>
          <w:b/>
          <w:bCs/>
          <w:lang w:val="en-US"/>
        </w:rPr>
        <w:t xml:space="preserve"> </w:t>
      </w:r>
      <w:r w:rsidR="006A4BBE" w:rsidRPr="0047369D">
        <w:rPr>
          <w:rFonts w:ascii="Arial" w:hAnsi="Arial" w:cs="Arial"/>
          <w:lang w:val="en-US"/>
        </w:rPr>
        <w:t xml:space="preserve">CP-AMPA (−70 mV) and NMDA (+60 mV) currents upon stimulation as per </w:t>
      </w:r>
      <w:r w:rsidR="006A4BBE" w:rsidRPr="0047369D">
        <w:rPr>
          <w:rFonts w:ascii="Arial" w:hAnsi="Arial" w:cs="Arial"/>
          <w:lang w:val="en-US"/>
        </w:rPr>
        <w:fldChar w:fldCharType="begin" w:fldLock="1"/>
      </w:r>
      <w:r w:rsidR="006A4BBE" w:rsidRPr="0047369D">
        <w:rPr>
          <w:rFonts w:ascii="Arial" w:hAnsi="Arial" w:cs="Arial"/>
          <w:lang w:val="en-US"/>
        </w:rPr>
        <w:instrText>ADDIN CSL_CITATION {"citationItems":[{"id":"ITEM-1","itemData":{"DOI":"10.1038/npp.2009.20","ISBN":"1740-634X","ISSN":"1740-634X","PMID":"19242405","abstract":"In the prefrontal cortex, N-methyl-D-aspartic acid (NMDA) receptors (NMDARs) are critical not only for normal prefrontal functions but also for the pathological processes of schizophrenia. Little is known, however, about the developmental properties of NMDARs in the functionally diverse sub-populations of interneurons. We investigated the developmental changes of NMDARs in rat prefrontal interneurons using patch clamp recording in cortical slices. We found that fast-spiking (FS) interneurons exhibited properties of alpha-amino-3-hydroxy-5-methyl-4-isoxazolepropionic acid (AMPA) and NMDA currents distinct from those in regular spiking (RS) and low-threshold spiking (LTS) interneurons, particularly during the adolescent period. In juvenile animals, most (73%) of the FS cells demonstrated both AMPA and NMDA currents. The NMDA currents, however, gradually became undetectable during cortical development, with most (74%) of the FS cells exhibiting no NMDA current in adults. In contrast, AMPA and NMDA currents in RS and LTS interneurons were relatively stable, without significant changes from juveniles to adults. Moreover, even in FS cells with NMDA currents, the NMDA/AMPA ratio dramatically decreased during the adolescent period but returned to juvenile level in adults, compared with the relatively stable ratios in RS and LTS interneurons. These data suggest that FS interneurons in the prefrontal cortex undergo dramatic changes in glutamatergic receptors during the adolescent period. These properties may make FS cells particularly sensitive and vulnerable to epigenetic stimulation, thus contributing to the onset of many psychiatric disorders, including schizophrenia.","author":[{"dropping-particle":"","family":"Wang","given":"Huai-Xing","non-dropping-particle":"","parse-names":false,"suffix":""},{"dropping-particle":"","family":"Gao","given":"Wen-Jun","non-dropping-particle":"","parse-names":false,"suffix":""}],"container-title":"Neuropsychopharmacology : official publication of the American College of Neuropsychopharmacology","id":"ITEM-1","issue":"8","issued":{"date-parts":[["2009"]]},"page":"2028-40","publisher":"Nature Publishing Group","title":"Cell type-specific development of NMDA receptors in the interneurons of rat prefrontal cortex.","type":"article-journal","volume":"34"},"uris":["http://www.mendeley.com/documents/?uuid=34688d3a-df2f-4598-9b92-9dadf6027eac"]}],"mendeley":{"formattedCitation":"&lt;sup&gt;1&lt;/sup&gt;","plainTextFormattedCitation":"1","previouslyFormattedCitation":"&lt;sup&gt;1&lt;/sup&gt;"},"properties":{"noteIndex":0},"schema":"https://github.com/citation-style-language/schema/raw/master/csl-citation.json"}</w:instrText>
      </w:r>
      <w:r w:rsidR="006A4BBE" w:rsidRPr="0047369D">
        <w:rPr>
          <w:rFonts w:ascii="Arial" w:hAnsi="Arial" w:cs="Arial"/>
          <w:lang w:val="en-US"/>
        </w:rPr>
        <w:fldChar w:fldCharType="separate"/>
      </w:r>
      <w:r w:rsidR="006A4BBE" w:rsidRPr="0047369D">
        <w:rPr>
          <w:rFonts w:ascii="Arial" w:hAnsi="Arial" w:cs="Arial"/>
          <w:noProof/>
          <w:vertAlign w:val="superscript"/>
          <w:lang w:val="en-US"/>
        </w:rPr>
        <w:t>1</w:t>
      </w:r>
      <w:r w:rsidR="006A4BBE" w:rsidRPr="0047369D">
        <w:rPr>
          <w:rFonts w:ascii="Arial" w:hAnsi="Arial" w:cs="Arial"/>
          <w:lang w:val="en-US"/>
        </w:rPr>
        <w:fldChar w:fldCharType="end"/>
      </w:r>
      <w:r w:rsidR="006A4BBE" w:rsidRPr="0047369D">
        <w:rPr>
          <w:rFonts w:ascii="Arial" w:hAnsi="Arial" w:cs="Arial"/>
          <w:lang w:val="en-US"/>
        </w:rPr>
        <w:t xml:space="preserve">. Traces represents the </w:t>
      </w:r>
      <w:proofErr w:type="gramStart"/>
      <w:r w:rsidR="006A4BBE" w:rsidRPr="0047369D">
        <w:rPr>
          <w:rFonts w:ascii="Arial" w:hAnsi="Arial" w:cs="Arial"/>
          <w:lang w:val="en-US"/>
        </w:rPr>
        <w:t>mean</w:t>
      </w:r>
      <w:proofErr w:type="gramEnd"/>
      <w:r w:rsidR="006A4BBE" w:rsidRPr="0047369D">
        <w:rPr>
          <w:rFonts w:ascii="Arial" w:hAnsi="Arial" w:cs="Arial"/>
          <w:lang w:val="en-US"/>
        </w:rPr>
        <w:t xml:space="preserve"> of the two multicompartmental FSBCs.</w:t>
      </w:r>
      <w:r w:rsidR="006A4BBE" w:rsidRPr="0047369D">
        <w:rPr>
          <w:rFonts w:ascii="Arial" w:hAnsi="Arial" w:cs="Arial"/>
          <w:b/>
          <w:bCs/>
          <w:lang w:val="en-US"/>
        </w:rPr>
        <w:t xml:space="preserve"> </w:t>
      </w:r>
      <w:r w:rsidR="00963347" w:rsidRPr="0047369D">
        <w:rPr>
          <w:rFonts w:ascii="Arial" w:hAnsi="Arial" w:cs="Arial"/>
          <w:b/>
          <w:bCs/>
          <w:lang w:val="en-US"/>
        </w:rPr>
        <w:t xml:space="preserve"> d.</w:t>
      </w:r>
      <w:r w:rsidR="00361B6C" w:rsidRPr="0047369D">
        <w:rPr>
          <w:rFonts w:ascii="Arial" w:hAnsi="Arial" w:cs="Arial"/>
          <w:b/>
          <w:bCs/>
          <w:lang w:val="en-US"/>
        </w:rPr>
        <w:t xml:space="preserve"> </w:t>
      </w:r>
      <w:r w:rsidR="006A4BBE" w:rsidRPr="0047369D">
        <w:rPr>
          <w:rFonts w:ascii="Arial" w:hAnsi="Arial" w:cs="Arial"/>
          <w:lang w:val="en-US"/>
        </w:rPr>
        <w:t xml:space="preserve">A three-step voltage clamp of voltage changes from −70 mV to 10 mV (duration 1 </w:t>
      </w:r>
      <w:r w:rsidR="00361B6C" w:rsidRPr="0047369D">
        <w:rPr>
          <w:rFonts w:ascii="Arial" w:hAnsi="Arial" w:cs="Arial"/>
          <w:lang w:val="en-US"/>
        </w:rPr>
        <w:t>msec</w:t>
      </w:r>
      <w:r w:rsidR="006A4BBE" w:rsidRPr="0047369D">
        <w:rPr>
          <w:rFonts w:ascii="Arial" w:hAnsi="Arial" w:cs="Arial"/>
          <w:lang w:val="en-US"/>
        </w:rPr>
        <w:t xml:space="preserve">) and back to −70 mV was used to produce inhibitory current. During </w:t>
      </w:r>
      <w:r w:rsidR="006A4BBE" w:rsidRPr="0047369D">
        <w:rPr>
          <w:rFonts w:ascii="Arial" w:hAnsi="Arial" w:cs="Arial"/>
          <w:lang w:val="en-US"/>
        </w:rPr>
        <w:lastRenderedPageBreak/>
        <w:t xml:space="preserve">the validation of this current, the reversal potential of Cl− was adjusted from −80 to −16 mV, in order to reproduce the experimental set up of </w:t>
      </w:r>
      <w:r w:rsidR="006A4BBE" w:rsidRPr="0047369D">
        <w:rPr>
          <w:rFonts w:ascii="Arial" w:hAnsi="Arial" w:cs="Arial"/>
          <w:lang w:val="en-US"/>
        </w:rPr>
        <w:fldChar w:fldCharType="begin" w:fldLock="1"/>
      </w:r>
      <w:r w:rsidR="00361B6C" w:rsidRPr="0047369D">
        <w:rPr>
          <w:rFonts w:ascii="Arial" w:hAnsi="Arial" w:cs="Arial"/>
          <w:lang w:val="en-US"/>
        </w:rPr>
        <w:instrText xml:space="preserve">ADDIN CSL_CITATION {"citationItems":[{"id":"ITEM-1","itemData":{"abstract":"Locally projecting GABAergic interneurons are the major providers of inhibition in the neocortex and play a crucial role in several brain functions. Neocortical interneurons are connected via electrical and chemical synapses that may be crucial in modulating complex network oscillations. We investigated the properties of spontaneous and evoked IPSCs in two morphologically and physiologically identified interneuron subtypes, the fast-spiking (FS) and low threshold-spiking (LTS) cells in layer V of rodent sensorimotor cortex. We found that IPSCs recorded in FS cells were several orders of magnitude more frequent, larger in amplitude, and had faster kinetics than IPSCs recorded in LTS cells. GABA A receptor </w:instrText>
      </w:r>
      <w:r w:rsidR="00361B6C" w:rsidRPr="0047369D">
        <w:rPr>
          <w:rFonts w:ascii="Segoe UI Symbol" w:hAnsi="Segoe UI Symbol" w:cs="Segoe UI Symbol"/>
          <w:lang w:val="en-US"/>
        </w:rPr>
        <w:instrText>␣</w:instrText>
      </w:r>
      <w:r w:rsidR="00361B6C" w:rsidRPr="0047369D">
        <w:rPr>
          <w:rFonts w:ascii="Arial" w:hAnsi="Arial" w:cs="Arial"/>
          <w:lang w:val="en-US"/>
        </w:rPr>
        <w:instrText xml:space="preserve">-and </w:instrText>
      </w:r>
      <w:r w:rsidR="00361B6C" w:rsidRPr="0047369D">
        <w:rPr>
          <w:rFonts w:ascii="Segoe UI Symbol" w:hAnsi="Segoe UI Symbol" w:cs="Segoe UI Symbol"/>
          <w:lang w:val="en-US"/>
        </w:rPr>
        <w:instrText>␤</w:instrText>
      </w:r>
      <w:r w:rsidR="00361B6C" w:rsidRPr="0047369D">
        <w:rPr>
          <w:rFonts w:ascii="Arial" w:hAnsi="Arial" w:cs="Arial"/>
          <w:lang w:val="en-US"/>
        </w:rPr>
        <w:instrText xml:space="preserve">-subunit selective modulators, zolpidem and loreclezole, had different effects on IPSCs in FS and LTS interneurons, suggesting differential expression of GABA A receptor subunit subtypes. These pharmacological data indicated that the </w:instrText>
      </w:r>
      <w:r w:rsidR="00361B6C" w:rsidRPr="0047369D">
        <w:rPr>
          <w:rFonts w:ascii="Segoe UI Symbol" w:hAnsi="Segoe UI Symbol" w:cs="Segoe UI Symbol"/>
          <w:lang w:val="en-US"/>
        </w:rPr>
        <w:instrText>␣</w:instrText>
      </w:r>
      <w:r w:rsidR="00361B6C" w:rsidRPr="0047369D">
        <w:rPr>
          <w:rFonts w:ascii="Arial" w:hAnsi="Arial" w:cs="Arial"/>
          <w:lang w:val="en-US"/>
        </w:rPr>
        <w:instrText xml:space="preserve">1 subunit subtype is poorly expressed by LTS cells but makes a large contribution to GABA A receptors on FS cells. This was confirmed by experiments performed in genetically modified mice in which the </w:instrText>
      </w:r>
      <w:r w:rsidR="00361B6C" w:rsidRPr="0047369D">
        <w:rPr>
          <w:rFonts w:ascii="Segoe UI Symbol" w:hAnsi="Segoe UI Symbol" w:cs="Segoe UI Symbol"/>
          <w:lang w:val="en-US"/>
        </w:rPr>
        <w:instrText>␣</w:instrText>
      </w:r>
      <w:r w:rsidR="00361B6C" w:rsidRPr="0047369D">
        <w:rPr>
          <w:rFonts w:ascii="Arial" w:hAnsi="Arial" w:cs="Arial"/>
          <w:lang w:val="en-US"/>
        </w:rPr>
        <w:instrText>1 subunit had been made insensitive to benzodiazepine-like agonists. These results suggest that differences in IPSC waveform are likely attributable to distinctive expression of GABA A receptor subunits in FS and LTS cells. The particular properties of GABAergic input on different interneuronal subtypes might have important consequences for generation and pacing of cortical rhythms underlying several brain functions. Moreover, selective pharmacological manipulation of distinct inhibitory circuits might allow regulation of pyramidal cell activities under specific physiolog-ical and pathophysiological conditions.","author":[{"dropping-particle":"","family":"Bacci","given":"Alberto","non-dropping-particle":"","parse-names":false,"suffix":""},{"dropping-particle":"","family":"Rudolph","given":"Uwe","non-dropping-particle":"","parse-names":false,"suffix":""},{"dropping-particle":"","family":"Huguenard","given":"John R","non-dropping-particle":"","parse-names":false,"suffix":""},{"dropping-particle":"","family":"Prince","given":"David A","non-dropping-particle":"","parse-names":false,"suffix":""}],"id":"ITEM-1","issued":{"date-parts":[["0"]]},"title":"Cellular/Molecular Major Differences in Inhibitory Synaptic Transmission onto Two Neocortical Interneuron Subclasses","type":"article-journal"},"uris":["http://www.mendeley.com/documents/?uuid=df16eb50-9256-46f6-975c-17172333e488"]}],"mendeley":{"formattedCitation":"&lt;sup&gt;2&lt;/sup&gt;","plainTextFormattedCitation":"2","previouslyFormattedCitation":"&lt;sup&gt;2&lt;/sup&gt;"},"properties":{"noteIndex":0},"schema":"https://github.com/citation-style-language/schema/raw/master/csl-citation.json"}</w:instrText>
      </w:r>
      <w:r w:rsidR="006A4BBE" w:rsidRPr="0047369D">
        <w:rPr>
          <w:rFonts w:ascii="Arial" w:hAnsi="Arial" w:cs="Arial"/>
          <w:lang w:val="en-US"/>
        </w:rPr>
        <w:fldChar w:fldCharType="separate"/>
      </w:r>
      <w:r w:rsidR="006A4BBE" w:rsidRPr="0047369D">
        <w:rPr>
          <w:rFonts w:ascii="Arial" w:hAnsi="Arial" w:cs="Arial"/>
          <w:noProof/>
          <w:vertAlign w:val="superscript"/>
          <w:lang w:val="en-US"/>
        </w:rPr>
        <w:t>2</w:t>
      </w:r>
      <w:r w:rsidR="006A4BBE" w:rsidRPr="0047369D">
        <w:rPr>
          <w:rFonts w:ascii="Arial" w:hAnsi="Arial" w:cs="Arial"/>
          <w:lang w:val="en-US"/>
        </w:rPr>
        <w:fldChar w:fldCharType="end"/>
      </w:r>
      <w:r w:rsidR="00361B6C" w:rsidRPr="0047369D">
        <w:rPr>
          <w:rFonts w:ascii="Arial" w:hAnsi="Arial" w:cs="Arial"/>
          <w:lang w:val="en-US"/>
        </w:rPr>
        <w:t>, Mean trace of the two FSBCs responses</w:t>
      </w:r>
      <w:r w:rsidR="006A4BBE" w:rsidRPr="0047369D">
        <w:rPr>
          <w:rFonts w:ascii="Arial" w:hAnsi="Arial" w:cs="Arial"/>
          <w:lang w:val="en-US"/>
        </w:rPr>
        <w:t xml:space="preserve">. </w:t>
      </w:r>
      <w:r w:rsidR="006A4BBE" w:rsidRPr="0047369D">
        <w:rPr>
          <w:rFonts w:ascii="Arial" w:hAnsi="Arial" w:cs="Arial"/>
          <w:b/>
          <w:bCs/>
          <w:lang w:val="en-US"/>
        </w:rPr>
        <w:t xml:space="preserve">e-h </w:t>
      </w:r>
      <w:r w:rsidR="006A4BBE" w:rsidRPr="0047369D">
        <w:rPr>
          <w:rFonts w:ascii="Arial" w:hAnsi="Arial" w:cs="Arial"/>
          <w:lang w:val="en-US"/>
        </w:rPr>
        <w:t xml:space="preserve">Pyramidal Cell responses. </w:t>
      </w:r>
      <w:r w:rsidR="006A4BBE" w:rsidRPr="0047369D">
        <w:rPr>
          <w:rFonts w:ascii="Arial" w:hAnsi="Arial" w:cs="Arial"/>
          <w:b/>
          <w:bCs/>
          <w:lang w:val="en-US"/>
        </w:rPr>
        <w:t xml:space="preserve">e. </w:t>
      </w:r>
      <w:r w:rsidR="006A4BBE" w:rsidRPr="0047369D">
        <w:rPr>
          <w:rFonts w:ascii="Arial" w:hAnsi="Arial" w:cs="Arial"/>
          <w:lang w:val="en-US"/>
        </w:rPr>
        <w:t xml:space="preserve">FI curve of the Pyramidal Cell model same approach as in a. </w:t>
      </w:r>
      <w:r w:rsidR="006A4BBE" w:rsidRPr="0047369D">
        <w:rPr>
          <w:rFonts w:ascii="Arial" w:hAnsi="Arial" w:cs="Arial"/>
          <w:b/>
          <w:bCs/>
          <w:lang w:val="en-US"/>
        </w:rPr>
        <w:t xml:space="preserve">f. </w:t>
      </w:r>
      <w:r w:rsidR="006A4BBE" w:rsidRPr="0047369D">
        <w:rPr>
          <w:rFonts w:ascii="Arial" w:hAnsi="Arial" w:cs="Arial"/>
          <w:lang w:val="en-US"/>
        </w:rPr>
        <w:t xml:space="preserve">Firing profile of the Pyramidal Cell </w:t>
      </w:r>
      <w:r w:rsidR="00361B6C" w:rsidRPr="0047369D">
        <w:rPr>
          <w:rFonts w:ascii="Arial" w:hAnsi="Arial" w:cs="Arial"/>
          <w:lang w:val="en-US"/>
        </w:rPr>
        <w:t>under</w:t>
      </w:r>
      <w:r w:rsidR="006A4BBE" w:rsidRPr="0047369D">
        <w:rPr>
          <w:rFonts w:ascii="Arial" w:hAnsi="Arial" w:cs="Arial"/>
          <w:lang w:val="en-US"/>
        </w:rPr>
        <w:t xml:space="preserve"> current injection (300 pA </w:t>
      </w:r>
      <w:r w:rsidR="00361B6C" w:rsidRPr="0047369D">
        <w:rPr>
          <w:rFonts w:ascii="Arial" w:hAnsi="Arial" w:cs="Arial"/>
          <w:lang w:val="en-US"/>
        </w:rPr>
        <w:t>for</w:t>
      </w:r>
      <w:r w:rsidR="006A4BBE" w:rsidRPr="0047369D">
        <w:rPr>
          <w:rFonts w:ascii="Arial" w:hAnsi="Arial" w:cs="Arial"/>
          <w:lang w:val="en-US"/>
        </w:rPr>
        <w:t xml:space="preserve"> 1 sec) at the cell body. The model </w:t>
      </w:r>
      <w:r w:rsidR="00361B6C" w:rsidRPr="0047369D">
        <w:rPr>
          <w:rFonts w:ascii="Arial" w:hAnsi="Arial" w:cs="Arial"/>
          <w:lang w:val="en-US"/>
        </w:rPr>
        <w:t>successfully</w:t>
      </w:r>
      <w:r w:rsidR="006A4BBE" w:rsidRPr="0047369D">
        <w:rPr>
          <w:rFonts w:ascii="Arial" w:hAnsi="Arial" w:cs="Arial"/>
          <w:lang w:val="en-US"/>
        </w:rPr>
        <w:t xml:space="preserve"> represents the </w:t>
      </w:r>
      <w:r w:rsidR="00361B6C" w:rsidRPr="0047369D">
        <w:rPr>
          <w:rFonts w:ascii="Arial" w:hAnsi="Arial" w:cs="Arial"/>
          <w:lang w:val="en-US"/>
        </w:rPr>
        <w:t xml:space="preserve">typical </w:t>
      </w:r>
      <w:r w:rsidR="006A4BBE" w:rsidRPr="0047369D">
        <w:rPr>
          <w:rFonts w:ascii="Arial" w:hAnsi="Arial" w:cs="Arial"/>
          <w:lang w:val="en-US"/>
        </w:rPr>
        <w:t>experimental phenotype shown in</w:t>
      </w:r>
      <w:r w:rsidR="00361B6C" w:rsidRPr="0047369D">
        <w:rPr>
          <w:rFonts w:ascii="Arial" w:hAnsi="Arial" w:cs="Arial"/>
          <w:lang w:val="en-US"/>
        </w:rPr>
        <w:t xml:space="preserve"> </w:t>
      </w:r>
      <w:r w:rsidR="00361B6C" w:rsidRPr="0047369D">
        <w:rPr>
          <w:rFonts w:ascii="Arial" w:hAnsi="Arial" w:cs="Arial"/>
          <w:lang w:val="en-US"/>
        </w:rPr>
        <w:fldChar w:fldCharType="begin" w:fldLock="1"/>
      </w:r>
      <w:r w:rsidR="00361B6C" w:rsidRPr="0047369D">
        <w:rPr>
          <w:rFonts w:ascii="Arial" w:hAnsi="Arial" w:cs="Arial"/>
          <w:lang w:val="en-US"/>
        </w:rPr>
        <w:instrText>ADDIN CSL_CITATION {"citationItems":[{"id":"ITEM-1","itemData":{"DOI":"10.1016/j.neuron.2017.07.012","ISSN":"08966273","author":[{"dropping-particle":"","family":"Sun","given":"Qian","non-dropping-particle":"","parse-names":false,"suffix":""},{"dropping-particle":"","family":"Sotayo","given":"Alaba","non-dropping-particle":"","parse-names":false,"suffix":""},{"dropping-particle":"","family":"Cazzulino","given":"Alejandro S.","non-dropping-particle":"","parse-names":false,"suffix":""},{"dropping-particle":"","family":"Snyder","given":"Anna M.","non-dropping-particle":"","parse-names":false,"suffix":""},{"dropping-particle":"","family":"Denny","given":"Christine A.","non-dropping-particle":"","parse-names":false,"suffix":""},{"dropping-particle":"","family":"Siegelbaum","given":"Steven A.","non-dropping-particle":"","parse-names":false,"suffix":""}],"container-title":"Neuron","id":"ITEM-1","issue":"3","issued":{"date-parts":[["2017","8"]]},"page":"656-672.e3","title":"Proximodistal Heterogeneity of Hippocampal CA3 Pyramidal Neuron Intrinsic Properties, Connectivity, and Reactivation during Memory Recall","type":"article-journal","volume":"95"},"uris":["http://www.mendeley.com/documents/?uuid=437bf37a-9626-4ee1-86a0-0bfe0659dd52"]}],"mendeley":{"formattedCitation":"&lt;sup&gt;3&lt;/sup&gt;","plainTextFormattedCitation":"3","previouslyFormattedCitation":"&lt;sup&gt;3&lt;/sup&gt;"},"properties":{"noteIndex":0},"schema":"https://github.com/citation-style-language/schema/raw/master/csl-citation.json"}</w:instrText>
      </w:r>
      <w:r w:rsidR="00361B6C" w:rsidRPr="0047369D">
        <w:rPr>
          <w:rFonts w:ascii="Arial" w:hAnsi="Arial" w:cs="Arial"/>
          <w:lang w:val="en-US"/>
        </w:rPr>
        <w:fldChar w:fldCharType="separate"/>
      </w:r>
      <w:r w:rsidR="00361B6C" w:rsidRPr="0047369D">
        <w:rPr>
          <w:rFonts w:ascii="Arial" w:hAnsi="Arial" w:cs="Arial"/>
          <w:noProof/>
          <w:vertAlign w:val="superscript"/>
          <w:lang w:val="en-US"/>
        </w:rPr>
        <w:t>3</w:t>
      </w:r>
      <w:r w:rsidR="00361B6C" w:rsidRPr="0047369D">
        <w:rPr>
          <w:rFonts w:ascii="Arial" w:hAnsi="Arial" w:cs="Arial"/>
          <w:lang w:val="en-US"/>
        </w:rPr>
        <w:fldChar w:fldCharType="end"/>
      </w:r>
      <w:r w:rsidR="00361B6C" w:rsidRPr="0047369D">
        <w:rPr>
          <w:rFonts w:ascii="Arial" w:hAnsi="Arial" w:cs="Arial"/>
          <w:lang w:val="en-US"/>
        </w:rPr>
        <w:t xml:space="preserve">. </w:t>
      </w:r>
      <w:r w:rsidR="00361B6C" w:rsidRPr="0047369D">
        <w:rPr>
          <w:rFonts w:ascii="Arial" w:hAnsi="Arial" w:cs="Arial"/>
          <w:b/>
          <w:bCs/>
          <w:lang w:val="en-US"/>
        </w:rPr>
        <w:t xml:space="preserve">g.  </w:t>
      </w:r>
      <w:r w:rsidR="00361B6C" w:rsidRPr="0047369D">
        <w:rPr>
          <w:rFonts w:ascii="Arial" w:hAnsi="Arial" w:cs="Arial"/>
          <w:lang w:val="en-US"/>
        </w:rPr>
        <w:t xml:space="preserve">AMPA (-70 mV voltage clamp) and NMDA (60 mV voltage clamp) currents of the Pyramidal Cell model mimic the experimental data of </w:t>
      </w:r>
      <w:r w:rsidR="00361B6C" w:rsidRPr="0047369D">
        <w:rPr>
          <w:rFonts w:ascii="Arial" w:hAnsi="Arial" w:cs="Arial"/>
          <w:lang w:val="en-US"/>
        </w:rPr>
        <w:fldChar w:fldCharType="begin" w:fldLock="1"/>
      </w:r>
      <w:r w:rsidR="00361B6C" w:rsidRPr="0047369D">
        <w:rPr>
          <w:rFonts w:ascii="Arial" w:hAnsi="Arial" w:cs="Arial"/>
          <w:lang w:val="en-US"/>
        </w:rPr>
        <w:instrText>ADDIN CSL_CITATION {"citationItems":[{"id":"ITEM-1","itemData":{"DOI":"10.1371/journal.pone.0003993","ISSN":"1932-6203","author":[{"dropping-particle":"","family":"Fukushima","given":"Fumiaki","non-dropping-particle":"","parse-names":false,"suffix":""},{"dropping-particle":"","family":"Nakao","given":"Kazuhito","non-dropping-particle":"","parse-names":false,"suffix":""},{"dropping-particle":"","family":"Shinoe","given":"Toru","non-dropping-particle":"","parse-names":false,"suffix":""},{"dropping-particle":"","family":"Fukaya","given":"Masahiro","non-dropping-particle":"","parse-names":false,"suffix":""},{"dropping-particle":"","family":"Muramatsu","given":"Shin-ichi","non-dropping-particle":"","parse-names":false,"suffix":""},{"dropping-particle":"","family":"Sakimura","given":"Kenji","non-dropping-particle":"","parse-names":false,"suffix":""},{"dropping-particle":"","family":"Kataoka","given":"Hirotaka","non-dropping-particle":"","parse-names":false,"suffix":""},{"dropping-particle":"","family":"Mori","given":"Hisashi","non-dropping-particle":"","parse-names":false,"suffix":""},{"dropping-particle":"","family":"Watanabe","given":"Masahiko","non-dropping-particle":"","parse-names":false,"suffix":""},{"dropping-particle":"","family":"Manabe","given":"Toshiya","non-dropping-particle":"","parse-names":false,"suffix":""},{"dropping-particle":"","family":"Mishina","given":"Masayoshi","non-dropping-particle":"","parse-names":false,"suffix":""}],"container-title":"PLoS ONE","editor":[{"dropping-particle":"","family":"Meunier","given":"Frederic Andre","non-dropping-particle":"","parse-names":false,"suffix":""}],"id":"ITEM-1","issue":"1","issued":{"date-parts":[["2009","1","14"]]},"page":"e3993","title":"Ablation of NMDA Receptors Enhances the Excitability of Hippocampal CA3 Neurons","type":"article-journal","volume":"4"},"uris":["http://www.mendeley.com/documents/?uuid=3449e5ae-b358-4e2b-bfce-3c37bdf5b898"]}],"mendeley":{"formattedCitation":"&lt;sup&gt;4&lt;/sup&gt;","plainTextFormattedCitation":"4","previouslyFormattedCitation":"&lt;sup&gt;4&lt;/sup&gt;"},"properties":{"noteIndex":0},"schema":"https://github.com/citation-style-language/schema/raw/master/csl-citation.json"}</w:instrText>
      </w:r>
      <w:r w:rsidR="00361B6C" w:rsidRPr="0047369D">
        <w:rPr>
          <w:rFonts w:ascii="Arial" w:hAnsi="Arial" w:cs="Arial"/>
          <w:lang w:val="en-US"/>
        </w:rPr>
        <w:fldChar w:fldCharType="separate"/>
      </w:r>
      <w:r w:rsidR="00361B6C" w:rsidRPr="0047369D">
        <w:rPr>
          <w:rFonts w:ascii="Arial" w:hAnsi="Arial" w:cs="Arial"/>
          <w:noProof/>
          <w:vertAlign w:val="superscript"/>
          <w:lang w:val="en-US"/>
        </w:rPr>
        <w:t>4</w:t>
      </w:r>
      <w:r w:rsidR="00361B6C" w:rsidRPr="0047369D">
        <w:rPr>
          <w:rFonts w:ascii="Arial" w:hAnsi="Arial" w:cs="Arial"/>
          <w:lang w:val="en-US"/>
        </w:rPr>
        <w:fldChar w:fldCharType="end"/>
      </w:r>
      <w:r w:rsidR="00361B6C" w:rsidRPr="0047369D">
        <w:rPr>
          <w:rFonts w:ascii="Arial" w:hAnsi="Arial" w:cs="Arial"/>
          <w:lang w:val="en-US"/>
        </w:rPr>
        <w:t xml:space="preserve">. </w:t>
      </w:r>
      <w:r w:rsidR="00361B6C" w:rsidRPr="0047369D">
        <w:rPr>
          <w:rFonts w:ascii="Arial" w:hAnsi="Arial" w:cs="Arial"/>
          <w:b/>
          <w:bCs/>
          <w:lang w:val="en-US"/>
        </w:rPr>
        <w:t xml:space="preserve">h. </w:t>
      </w:r>
      <w:r w:rsidR="00361B6C" w:rsidRPr="0047369D">
        <w:rPr>
          <w:rFonts w:ascii="Arial" w:hAnsi="Arial" w:cs="Arial"/>
          <w:lang w:val="en-US"/>
        </w:rPr>
        <w:t xml:space="preserve">Inhibitory current calibration based on experimental data from </w:t>
      </w:r>
      <w:r w:rsidR="00361B6C" w:rsidRPr="0047369D">
        <w:rPr>
          <w:rFonts w:ascii="Arial" w:hAnsi="Arial" w:cs="Arial"/>
          <w:lang w:val="en-US"/>
        </w:rPr>
        <w:fldChar w:fldCharType="begin" w:fldLock="1"/>
      </w:r>
      <w:r w:rsidR="0004734A" w:rsidRPr="0047369D">
        <w:rPr>
          <w:rFonts w:ascii="Arial" w:hAnsi="Arial" w:cs="Arial"/>
          <w:lang w:val="en-US"/>
        </w:rPr>
        <w:instrText>ADDIN CSL_CITATION {"citationItems":[{"id":"ITEM-1","itemData":{"DOI":"10.1002/hipo.23245","ISSN":"1050-9631","abstract":"The hippocampus is a medial temporal lobe structure in the brain and is widely studied for its role in memory and learning, in particular, spacial memory and emotional responses. It was thought to be a homogenous structure but emerging evidence shows differentiation along the dorsoventral axis and even microdomains for functional and cellular markers. We have examined in two cell</w:instrText>
      </w:r>
      <w:r w:rsidR="0004734A" w:rsidRPr="0047369D">
        <w:rPr>
          <w:rFonts w:ascii="Cambria Math" w:hAnsi="Cambria Math" w:cs="Cambria Math"/>
          <w:lang w:val="en-US"/>
        </w:rPr>
        <w:instrText>‐</w:instrText>
      </w:r>
      <w:r w:rsidR="0004734A" w:rsidRPr="0047369D">
        <w:rPr>
          <w:rFonts w:ascii="Arial" w:hAnsi="Arial" w:cs="Arial"/>
          <w:lang w:val="en-US"/>
        </w:rPr>
        <w:instrText>types of the hippocampal projection neurons, the dentate gyrus (DG) granule cells and CA3 pyramidal neurons, if the GABA</w:instrText>
      </w:r>
      <w:r w:rsidR="0004734A" w:rsidRPr="0047369D">
        <w:rPr>
          <w:rFonts w:ascii="Cambria Math" w:hAnsi="Cambria Math" w:cs="Cambria Math"/>
          <w:lang w:val="en-US"/>
        </w:rPr>
        <w:instrText>‐</w:instrText>
      </w:r>
      <w:r w:rsidR="0004734A" w:rsidRPr="0047369D">
        <w:rPr>
          <w:rFonts w:ascii="Arial" w:hAnsi="Arial" w:cs="Arial"/>
          <w:lang w:val="en-US"/>
        </w:rPr>
        <w:instrText>activated tonic current density varied between the dorsal (septal) and the ventral (temporal) poles of the male mouse hippocampus. Tonic synaptic currents, arising from spontaneous and miniature inhibitory postsynaptic currents (sIPSC, mIPSC), and extrasynaptic tonic currents were evaluated. The results revealed different levels of sIPSC but not mIPSC density between the dorsal and ventral hippocampal neurons for both the DG granule cells and the CA3 pyramidal neurons. The extrasynaptic tonic current density was larger in the DG granule cells as compared to the CA3 pyramidal neurons but did not vary between the dorsal and ventral regions. IPSC bursting was observed in both cell</w:instrText>
      </w:r>
      <w:r w:rsidR="0004734A" w:rsidRPr="0047369D">
        <w:rPr>
          <w:rFonts w:ascii="Cambria Math" w:hAnsi="Cambria Math" w:cs="Cambria Math"/>
          <w:lang w:val="en-US"/>
        </w:rPr>
        <w:instrText>‐</w:instrText>
      </w:r>
      <w:r w:rsidR="0004734A" w:rsidRPr="0047369D">
        <w:rPr>
          <w:rFonts w:ascii="Arial" w:hAnsi="Arial" w:cs="Arial"/>
          <w:lang w:val="en-US"/>
        </w:rPr>
        <w:instrText xml:space="preserve">types in the ventral hippocampus but was more common in the CA3 pyramidal neurons. Only in the dorsal DG granule cells was the level of the sIPSC and mIPSC density similar. The results indicate that the tonic GABAergic inhibition is particularly strong in the ventral hippocampal DG granule cells and enhanced in the dorsal as compared to the ventral hippocampal CA3 pyramidal neurons.","author":[{"dropping-particle":"","family":"Netsyk","given":"Olga","non-dropping-particle":"","parse-names":false,"suffix":""},{"dropping-particle":"","family":"Hammoud","given":"Hayma","non-dropping-particle":"","parse-names":false,"suffix":""},{"dropping-particle":"V.","family":"Korol","given":"Sergiy","non-dropping-particle":"","parse-names":false,"suffix":""},{"dropping-particle":"","family":"Jin","given":"Zhe","non-dropping-particle":"","parse-names":false,"suffix":""},{"dropping-particle":"","family":"Tafreshiha","given":"Atieh S.","non-dropping-particle":"","parse-names":false,"suffix":""},{"dropping-particle":"","family":"Birnir","given":"Bryndis","non-dropping-particle":"","parse-names":false,"suffix":""}],"container-title":"Hippocampus","id":"ITEM-1","issue":"11","issued":{"date-parts":[["2020","11","13"]]},"page":"1146-1157","title":"Tonic &lt;scp&gt;GABA&lt;/scp&gt; </w:instrText>
      </w:r>
      <w:r w:rsidR="0004734A" w:rsidRPr="0047369D">
        <w:rPr>
          <w:rFonts w:ascii="Cambria Math" w:hAnsi="Cambria Math" w:cs="Cambria Math"/>
          <w:lang w:val="en-US"/>
        </w:rPr>
        <w:instrText>‐</w:instrText>
      </w:r>
      <w:r w:rsidR="0004734A" w:rsidRPr="0047369D">
        <w:rPr>
          <w:rFonts w:ascii="Arial" w:hAnsi="Arial" w:cs="Arial"/>
          <w:lang w:val="en-US"/>
        </w:rPr>
        <w:instrText>activated synaptic and extrasynaptic currents in dentate gyrus granule cells and &lt;scp&gt;CA3&lt;/scp&gt; pyramidal neurons along the mouse hippocampal dorsoventral axis","type":"article-journal","volume":"30"},"uris":["http://www.mendeley.com/documents/?uuid=9eb7da33-4574-4fbf-b1bf-ef5e2b88f54b"]}],"mendeley":{"formattedCitation":"&lt;sup&gt;5&lt;/sup&gt;","plainTextFormattedCitation":"5","previouslyFormattedCitation":"&lt;sup&gt;5&lt;/sup&gt;"},"properties":{"noteIndex":0},"schema":"https://github.com/citation-style-language/schema/raw/master/csl-citation.json"}</w:instrText>
      </w:r>
      <w:r w:rsidR="00361B6C" w:rsidRPr="0047369D">
        <w:rPr>
          <w:rFonts w:ascii="Arial" w:hAnsi="Arial" w:cs="Arial"/>
          <w:lang w:val="en-US"/>
        </w:rPr>
        <w:fldChar w:fldCharType="separate"/>
      </w:r>
      <w:r w:rsidR="00361B6C" w:rsidRPr="0047369D">
        <w:rPr>
          <w:rFonts w:ascii="Arial" w:hAnsi="Arial" w:cs="Arial"/>
          <w:noProof/>
          <w:vertAlign w:val="superscript"/>
          <w:lang w:val="en-US"/>
        </w:rPr>
        <w:t>5</w:t>
      </w:r>
      <w:r w:rsidR="00361B6C" w:rsidRPr="0047369D">
        <w:rPr>
          <w:rFonts w:ascii="Arial" w:hAnsi="Arial" w:cs="Arial"/>
          <w:lang w:val="en-US"/>
        </w:rPr>
        <w:fldChar w:fldCharType="end"/>
      </w:r>
      <w:r w:rsidR="00361B6C" w:rsidRPr="0047369D">
        <w:rPr>
          <w:rFonts w:ascii="Arial" w:hAnsi="Arial" w:cs="Arial"/>
          <w:lang w:val="en-US"/>
        </w:rPr>
        <w:t>.</w:t>
      </w:r>
    </w:p>
    <w:p w14:paraId="34D19CB8" w14:textId="77777777" w:rsidR="00F05D60" w:rsidRPr="0047369D" w:rsidRDefault="00F05D60" w:rsidP="006A4BBE">
      <w:pPr>
        <w:tabs>
          <w:tab w:val="left" w:pos="2664"/>
        </w:tabs>
        <w:jc w:val="both"/>
        <w:rPr>
          <w:rFonts w:ascii="Arial" w:hAnsi="Arial" w:cs="Arial"/>
          <w:lang w:val="en-US"/>
        </w:rPr>
      </w:pPr>
    </w:p>
    <w:p w14:paraId="368F998B" w14:textId="77777777" w:rsidR="00361B6C" w:rsidRPr="0047369D" w:rsidRDefault="00361B6C" w:rsidP="006A4BBE">
      <w:pPr>
        <w:tabs>
          <w:tab w:val="left" w:pos="2664"/>
        </w:tabs>
        <w:jc w:val="both"/>
        <w:rPr>
          <w:rFonts w:ascii="Arial" w:hAnsi="Arial" w:cs="Arial"/>
          <w:lang w:val="en-US"/>
        </w:rPr>
      </w:pPr>
    </w:p>
    <w:p w14:paraId="165A11FC" w14:textId="186CA0E4" w:rsidR="00A61C88" w:rsidRPr="0047369D" w:rsidRDefault="00BA51AD" w:rsidP="00BF32C6">
      <w:pPr>
        <w:jc w:val="both"/>
        <w:rPr>
          <w:rFonts w:ascii="Arial" w:hAnsi="Arial" w:cs="Arial"/>
          <w:b/>
          <w:bCs/>
          <w:lang w:val="en-US"/>
        </w:rPr>
      </w:pPr>
      <w:r w:rsidRPr="0047369D">
        <w:rPr>
          <w:rFonts w:ascii="Arial" w:hAnsi="Arial" w:cs="Arial"/>
          <w:b/>
          <w:bCs/>
          <w:noProof/>
          <w:lang w:val="en-US"/>
        </w:rPr>
        <w:drawing>
          <wp:anchor distT="0" distB="0" distL="114300" distR="114300" simplePos="0" relativeHeight="251671552" behindDoc="0" locked="0" layoutInCell="1" allowOverlap="1" wp14:anchorId="40EA0929" wp14:editId="2383BCFE">
            <wp:simplePos x="0" y="0"/>
            <wp:positionH relativeFrom="column">
              <wp:posOffset>-391160</wp:posOffset>
            </wp:positionH>
            <wp:positionV relativeFrom="paragraph">
              <wp:posOffset>117</wp:posOffset>
            </wp:positionV>
            <wp:extent cx="6513830" cy="5486166"/>
            <wp:effectExtent l="0" t="0" r="1270" b="635"/>
            <wp:wrapThrough wrapText="bothSides">
              <wp:wrapPolygon edited="0">
                <wp:start x="0" y="0"/>
                <wp:lineTo x="0" y="21527"/>
                <wp:lineTo x="21541" y="21527"/>
                <wp:lineTo x="21541" y="0"/>
                <wp:lineTo x="0" y="0"/>
              </wp:wrapPolygon>
            </wp:wrapThrough>
            <wp:docPr id="459653004" name="Εικόνα 7" descr="Εικόνα που περιέχει κείμενο, διάγραμμα&#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653004" name="Εικόνα 7" descr="Εικόνα που περιέχει κείμενο, διάγραμμα&#10;&#10;Περιγραφή που δημιουργήθηκε αυτόματα"/>
                    <pic:cNvPicPr/>
                  </pic:nvPicPr>
                  <pic:blipFill>
                    <a:blip r:embed="rId7" cstate="print">
                      <a:extLst>
                        <a:ext uri="{28A0092B-C50C-407E-A947-70E740481C1C}">
                          <a14:useLocalDpi xmlns:a14="http://schemas.microsoft.com/office/drawing/2010/main" val="0"/>
                        </a:ext>
                      </a:extLst>
                    </a:blip>
                    <a:stretch>
                      <a:fillRect/>
                    </a:stretch>
                  </pic:blipFill>
                  <pic:spPr>
                    <a:xfrm>
                      <a:off x="0" y="0"/>
                      <a:ext cx="6521963" cy="5493016"/>
                    </a:xfrm>
                    <a:prstGeom prst="rect">
                      <a:avLst/>
                    </a:prstGeom>
                  </pic:spPr>
                </pic:pic>
              </a:graphicData>
            </a:graphic>
            <wp14:sizeRelH relativeFrom="margin">
              <wp14:pctWidth>0</wp14:pctWidth>
            </wp14:sizeRelH>
            <wp14:sizeRelV relativeFrom="margin">
              <wp14:pctHeight>0</wp14:pctHeight>
            </wp14:sizeRelV>
          </wp:anchor>
        </w:drawing>
      </w:r>
      <w:r w:rsidR="0075692C" w:rsidRPr="0047369D">
        <w:rPr>
          <w:rFonts w:ascii="Arial" w:hAnsi="Arial" w:cs="Arial"/>
          <w:b/>
          <w:bCs/>
          <w:lang w:val="en-US"/>
        </w:rPr>
        <w:t>Figure S</w:t>
      </w:r>
      <w:r w:rsidR="000C4377" w:rsidRPr="0047369D">
        <w:rPr>
          <w:rFonts w:ascii="Arial" w:hAnsi="Arial" w:cs="Arial"/>
          <w:b/>
          <w:bCs/>
          <w:lang w:val="en-US"/>
        </w:rPr>
        <w:t>2</w:t>
      </w:r>
      <w:r w:rsidR="0075692C" w:rsidRPr="0047369D">
        <w:rPr>
          <w:rFonts w:ascii="Arial" w:hAnsi="Arial" w:cs="Arial"/>
          <w:lang w:val="en-US"/>
        </w:rPr>
        <w:t>.</w:t>
      </w:r>
      <w:r w:rsidR="00CB0A2E" w:rsidRPr="0047369D">
        <w:rPr>
          <w:rFonts w:ascii="Arial" w:hAnsi="Arial" w:cs="Arial"/>
          <w:lang w:val="en-US"/>
        </w:rPr>
        <w:t xml:space="preserve"> </w:t>
      </w:r>
      <w:r w:rsidR="00CB0A2E" w:rsidRPr="0047369D">
        <w:rPr>
          <w:rFonts w:ascii="Arial" w:hAnsi="Arial" w:cs="Arial"/>
          <w:b/>
          <w:bCs/>
          <w:lang w:val="en-US"/>
        </w:rPr>
        <w:t xml:space="preserve">Mechanisms of bimodal nonlinear dendritic integration in </w:t>
      </w:r>
      <w:r w:rsidR="00A61C88" w:rsidRPr="0047369D">
        <w:rPr>
          <w:rFonts w:ascii="Arial" w:hAnsi="Arial" w:cs="Arial"/>
          <w:b/>
          <w:bCs/>
          <w:lang w:val="en-US"/>
        </w:rPr>
        <w:t>M</w:t>
      </w:r>
      <w:r w:rsidR="00CB0A2E" w:rsidRPr="0047369D">
        <w:rPr>
          <w:rFonts w:ascii="Arial" w:hAnsi="Arial" w:cs="Arial"/>
          <w:b/>
          <w:bCs/>
          <w:lang w:val="en-US"/>
        </w:rPr>
        <w:t xml:space="preserve">ulticompartmental </w:t>
      </w:r>
      <w:r w:rsidR="00A61C88" w:rsidRPr="0047369D">
        <w:rPr>
          <w:rFonts w:ascii="Arial" w:hAnsi="Arial" w:cs="Arial"/>
          <w:b/>
          <w:bCs/>
          <w:lang w:val="en-US"/>
        </w:rPr>
        <w:t>M</w:t>
      </w:r>
      <w:r w:rsidR="00CB0A2E" w:rsidRPr="0047369D">
        <w:rPr>
          <w:rFonts w:ascii="Arial" w:hAnsi="Arial" w:cs="Arial"/>
          <w:b/>
          <w:bCs/>
          <w:lang w:val="en-US"/>
        </w:rPr>
        <w:t xml:space="preserve">odels of </w:t>
      </w:r>
      <w:r w:rsidR="00A61C88" w:rsidRPr="0047369D">
        <w:rPr>
          <w:rFonts w:ascii="Arial" w:hAnsi="Arial" w:cs="Arial"/>
          <w:b/>
          <w:bCs/>
          <w:lang w:val="en-US"/>
        </w:rPr>
        <w:t>H</w:t>
      </w:r>
      <w:r w:rsidR="00CB0A2E" w:rsidRPr="0047369D">
        <w:rPr>
          <w:rFonts w:ascii="Arial" w:hAnsi="Arial" w:cs="Arial"/>
          <w:b/>
          <w:bCs/>
          <w:lang w:val="en-US"/>
        </w:rPr>
        <w:t xml:space="preserve">ippocampal FSBCs. </w:t>
      </w:r>
    </w:p>
    <w:p w14:paraId="22E217B9" w14:textId="3BEB23AD" w:rsidR="00281B65" w:rsidRPr="0047369D" w:rsidRDefault="00A61C88" w:rsidP="00BF32C6">
      <w:pPr>
        <w:jc w:val="both"/>
        <w:rPr>
          <w:rFonts w:ascii="Arial" w:hAnsi="Arial" w:cs="Arial"/>
          <w:lang w:val="en-US"/>
        </w:rPr>
      </w:pPr>
      <w:proofErr w:type="spellStart"/>
      <w:proofErr w:type="gramStart"/>
      <w:r w:rsidRPr="0047369D">
        <w:rPr>
          <w:rFonts w:ascii="Arial" w:hAnsi="Arial" w:cs="Arial"/>
          <w:b/>
          <w:bCs/>
          <w:lang w:val="en-US"/>
        </w:rPr>
        <w:t>a</w:t>
      </w:r>
      <w:r w:rsidRPr="0047369D">
        <w:rPr>
          <w:rFonts w:ascii="Arial" w:hAnsi="Arial" w:cs="Arial"/>
          <w:lang w:val="en-US"/>
        </w:rPr>
        <w:t>.Illustration</w:t>
      </w:r>
      <w:proofErr w:type="spellEnd"/>
      <w:proofErr w:type="gramEnd"/>
      <w:r w:rsidRPr="0047369D">
        <w:rPr>
          <w:rFonts w:ascii="Arial" w:hAnsi="Arial" w:cs="Arial"/>
          <w:lang w:val="en-US"/>
        </w:rPr>
        <w:t xml:space="preserve"> of the morphological characteristics of supralinear and sublinear dendrites in bimodal FSBC models. Supralinear dendrites (purple) are larger, whereas sublinear dendrites (blue) are longer and thinner. </w:t>
      </w:r>
      <w:r w:rsidRPr="0047369D">
        <w:rPr>
          <w:rFonts w:ascii="Arial" w:hAnsi="Arial" w:cs="Arial"/>
          <w:b/>
          <w:bCs/>
          <w:lang w:val="en-US"/>
        </w:rPr>
        <w:t>b-c</w:t>
      </w:r>
      <w:r w:rsidRPr="0047369D">
        <w:rPr>
          <w:rFonts w:ascii="Arial" w:hAnsi="Arial" w:cs="Arial"/>
          <w:lang w:val="en-US"/>
        </w:rPr>
        <w:t xml:space="preserve">. Discriminative features between dendrite types: supralinear dendrites have larger volumes (b) and lower input resistance (c) compared to sublinear </w:t>
      </w:r>
      <w:r w:rsidRPr="0047369D">
        <w:rPr>
          <w:rFonts w:ascii="Arial" w:hAnsi="Arial" w:cs="Arial"/>
          <w:lang w:val="en-US"/>
        </w:rPr>
        <w:lastRenderedPageBreak/>
        <w:t xml:space="preserve">dendrites. Statistical significance was determined using the Mann–Whitney U test. </w:t>
      </w:r>
      <w:r w:rsidRPr="0047369D">
        <w:rPr>
          <w:rFonts w:ascii="Arial" w:hAnsi="Arial" w:cs="Arial"/>
          <w:b/>
          <w:bCs/>
          <w:lang w:val="en-US"/>
        </w:rPr>
        <w:t>d-e</w:t>
      </w:r>
      <w:r w:rsidRPr="0047369D">
        <w:rPr>
          <w:rFonts w:ascii="Arial" w:hAnsi="Arial" w:cs="Arial"/>
          <w:lang w:val="en-US"/>
        </w:rPr>
        <w:t xml:space="preserve">. Supralinear dendrites (purple) are capable of generating local sodium-dependent spikes, whereas sublinear dendrites (blue) cannot (d). Blocking active sodium conductances in FSBC dendrites completely abolishes the supralinear mode (e). </w:t>
      </w:r>
      <w:r w:rsidRPr="0047369D">
        <w:rPr>
          <w:rFonts w:ascii="Arial" w:hAnsi="Arial" w:cs="Arial"/>
          <w:b/>
          <w:bCs/>
          <w:lang w:val="en-US"/>
        </w:rPr>
        <w:t>f-g</w:t>
      </w:r>
      <w:r w:rsidRPr="0047369D">
        <w:rPr>
          <w:rFonts w:ascii="Arial" w:hAnsi="Arial" w:cs="Arial"/>
          <w:lang w:val="en-US"/>
        </w:rPr>
        <w:t xml:space="preserve">. Forward propagation efficiency in bimodal nonlinear dendrites of FSBCs: Current injection (100 pA) at randomly selected dendrites and recording at the soma show that sublinear branches (f) propagate signals less effectively compared to supralinear branches (g). Panels </w:t>
      </w:r>
      <w:proofErr w:type="spellStart"/>
      <w:r w:rsidRPr="0047369D">
        <w:rPr>
          <w:rFonts w:ascii="Arial" w:hAnsi="Arial" w:cs="Arial"/>
          <w:lang w:val="en-US"/>
        </w:rPr>
        <w:t>a,d</w:t>
      </w:r>
      <w:r w:rsidR="00755E83" w:rsidRPr="0047369D">
        <w:rPr>
          <w:rFonts w:ascii="Arial" w:hAnsi="Arial" w:cs="Arial"/>
          <w:lang w:val="en-US"/>
        </w:rPr>
        <w:t>,</w:t>
      </w:r>
      <w:r w:rsidRPr="0047369D">
        <w:rPr>
          <w:rFonts w:ascii="Arial" w:hAnsi="Arial" w:cs="Arial"/>
          <w:lang w:val="en-US"/>
        </w:rPr>
        <w:t>e</w:t>
      </w:r>
      <w:proofErr w:type="spellEnd"/>
      <w:r w:rsidRPr="0047369D">
        <w:rPr>
          <w:rFonts w:ascii="Arial" w:hAnsi="Arial" w:cs="Arial"/>
          <w:lang w:val="en-US"/>
        </w:rPr>
        <w:t xml:space="preserve"> were adopted from </w:t>
      </w:r>
      <w:r w:rsidR="00984A00" w:rsidRPr="0047369D">
        <w:rPr>
          <w:rFonts w:ascii="Arial" w:hAnsi="Arial" w:cs="Arial"/>
          <w:lang w:val="en-US"/>
        </w:rPr>
        <w:fldChar w:fldCharType="begin" w:fldLock="1"/>
      </w:r>
      <w:r w:rsidR="0004734A" w:rsidRPr="0047369D">
        <w:rPr>
          <w:rFonts w:ascii="Arial" w:hAnsi="Arial" w:cs="Arial"/>
          <w:lang w:val="en-US"/>
        </w:rPr>
        <w:instrText>ADDIN CSL_CITATION {"citationItems":[{"id":"ITEM-1","itemData":{"DOI":"10.1038/s41467-019-11537-7","ISSN":"2041-1723","abstract":"Interneurons are critical for the proper functioning of neural circuits. While often morphologically complex, their dendrites have been ignored for decades, treating them as linear point neurons. Exciting new findings reveal complex, non-linear dendritic computations that call for a new theory of interneuron arithmetic. Using detailed biophysical models, we predict that dendrites of FS basket cells in both hippocampus and prefrontal cortex come in two flavors: supralinear, supporting local sodium spikes within large-volume branches and sublinear, in small-volume branches. Synaptic activation of varying sets of these dendrites leads to somatic firing variability that cannot be fully explained by the point neuron reduction. Instead, a 2-stage artificial neural network (ANN), with sub- and supralinear hidden nodes, captures most of the variance. Reduced neuronal circuit modeling suggest that this bi-modal, 2-stage integration in FS basket cells confers substantial resource savings in memory encoding as well as the linking of memories across time.","author":[{"dropping-particle":"","family":"Tzilivaki","given":"Alexandra","non-dropping-particle":"","parse-names":false,"suffix":""},{"dropping-particle":"","family":"Kastellakis","given":"George","non-dropping-particle":"","parse-names":false,"suffix":""},{"dropping-particle":"","family":"Poirazi","given":"Panayiota","non-dropping-particle":"","parse-names":false,"suffix":""}],"container-title":"Nature Communications","id":"ITEM-1","issue":"1","issued":{"date-parts":[["2019","8","14"]]},"page":"3664","title":"Challenging the point neuron dogma: FS basket cells as 2-stage nonlinear integrators","type":"article-journal","volume":"10"},"uris":["http://www.mendeley.com/documents/?uuid=20787a3d-65a7-4cb7-b292-748e9b409361"]}],"mendeley":{"formattedCitation":"&lt;sup&gt;6&lt;/sup&gt;","plainTextFormattedCitation":"6","previouslyFormattedCitation":"&lt;sup&gt;6&lt;/sup&gt;"},"properties":{"noteIndex":0},"schema":"https://github.com/citation-style-language/schema/raw/master/csl-citation.json"}</w:instrText>
      </w:r>
      <w:r w:rsidR="00984A00" w:rsidRPr="0047369D">
        <w:rPr>
          <w:rFonts w:ascii="Arial" w:hAnsi="Arial" w:cs="Arial"/>
          <w:lang w:val="en-US"/>
        </w:rPr>
        <w:fldChar w:fldCharType="separate"/>
      </w:r>
      <w:r w:rsidR="00361B6C" w:rsidRPr="0047369D">
        <w:rPr>
          <w:rFonts w:ascii="Arial" w:hAnsi="Arial" w:cs="Arial"/>
          <w:noProof/>
          <w:vertAlign w:val="superscript"/>
          <w:lang w:val="en-US"/>
        </w:rPr>
        <w:t>6</w:t>
      </w:r>
      <w:r w:rsidR="00984A00" w:rsidRPr="0047369D">
        <w:rPr>
          <w:rFonts w:ascii="Arial" w:hAnsi="Arial" w:cs="Arial"/>
          <w:lang w:val="en-US"/>
        </w:rPr>
        <w:fldChar w:fldCharType="end"/>
      </w:r>
    </w:p>
    <w:p w14:paraId="73FAEC9A" w14:textId="77777777" w:rsidR="00281B65" w:rsidRPr="0047369D" w:rsidRDefault="00281B65" w:rsidP="00BF32C6">
      <w:pPr>
        <w:jc w:val="both"/>
        <w:rPr>
          <w:rFonts w:ascii="Arial" w:hAnsi="Arial" w:cs="Arial"/>
          <w:lang w:val="en-US"/>
        </w:rPr>
      </w:pPr>
    </w:p>
    <w:p w14:paraId="12883893" w14:textId="07B0483A" w:rsidR="00281B65" w:rsidRPr="0047369D" w:rsidRDefault="00680B04" w:rsidP="00BF32C6">
      <w:pPr>
        <w:jc w:val="both"/>
        <w:rPr>
          <w:rFonts w:ascii="Arial" w:hAnsi="Arial" w:cs="Arial"/>
          <w:lang w:val="en-US"/>
        </w:rPr>
      </w:pPr>
      <w:r w:rsidRPr="0047369D">
        <w:rPr>
          <w:rFonts w:ascii="Arial" w:hAnsi="Arial" w:cs="Arial"/>
          <w:b/>
          <w:bCs/>
          <w:noProof/>
          <w:lang w:val="en-US"/>
        </w:rPr>
        <w:drawing>
          <wp:anchor distT="0" distB="0" distL="114300" distR="114300" simplePos="0" relativeHeight="251675648" behindDoc="0" locked="0" layoutInCell="1" allowOverlap="1" wp14:anchorId="09AD7FDD" wp14:editId="6FFB0D75">
            <wp:simplePos x="0" y="0"/>
            <wp:positionH relativeFrom="column">
              <wp:posOffset>-328295</wp:posOffset>
            </wp:positionH>
            <wp:positionV relativeFrom="paragraph">
              <wp:posOffset>295275</wp:posOffset>
            </wp:positionV>
            <wp:extent cx="6387465" cy="5005070"/>
            <wp:effectExtent l="0" t="0" r="0" b="5080"/>
            <wp:wrapThrough wrapText="bothSides">
              <wp:wrapPolygon edited="0">
                <wp:start x="0" y="0"/>
                <wp:lineTo x="0" y="21540"/>
                <wp:lineTo x="21516" y="21540"/>
                <wp:lineTo x="21516" y="0"/>
                <wp:lineTo x="0" y="0"/>
              </wp:wrapPolygon>
            </wp:wrapThrough>
            <wp:docPr id="2006645627"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645627" name="Εικόνα 2006645627"/>
                    <pic:cNvPicPr/>
                  </pic:nvPicPr>
                  <pic:blipFill>
                    <a:blip r:embed="rId8" cstate="print">
                      <a:extLst>
                        <a:ext uri="{28A0092B-C50C-407E-A947-70E740481C1C}">
                          <a14:useLocalDpi xmlns:a14="http://schemas.microsoft.com/office/drawing/2010/main" val="0"/>
                        </a:ext>
                      </a:extLst>
                    </a:blip>
                    <a:stretch>
                      <a:fillRect/>
                    </a:stretch>
                  </pic:blipFill>
                  <pic:spPr>
                    <a:xfrm>
                      <a:off x="0" y="0"/>
                      <a:ext cx="6387465" cy="5005070"/>
                    </a:xfrm>
                    <a:prstGeom prst="rect">
                      <a:avLst/>
                    </a:prstGeom>
                  </pic:spPr>
                </pic:pic>
              </a:graphicData>
            </a:graphic>
            <wp14:sizeRelH relativeFrom="margin">
              <wp14:pctWidth>0</wp14:pctWidth>
            </wp14:sizeRelH>
            <wp14:sizeRelV relativeFrom="margin">
              <wp14:pctHeight>0</wp14:pctHeight>
            </wp14:sizeRelV>
          </wp:anchor>
        </w:drawing>
      </w:r>
    </w:p>
    <w:p w14:paraId="3D4B570B" w14:textId="2E9C9219" w:rsidR="002E6F9F" w:rsidRPr="0047369D" w:rsidRDefault="007D46D7" w:rsidP="007D46D7">
      <w:pPr>
        <w:jc w:val="both"/>
        <w:rPr>
          <w:rFonts w:ascii="Arial" w:hAnsi="Arial" w:cs="Arial"/>
          <w:b/>
          <w:bCs/>
          <w:lang w:val="en-US"/>
        </w:rPr>
      </w:pPr>
      <w:r w:rsidRPr="0047369D">
        <w:rPr>
          <w:rFonts w:ascii="Arial" w:hAnsi="Arial" w:cs="Arial"/>
          <w:b/>
          <w:bCs/>
          <w:lang w:val="en-US"/>
        </w:rPr>
        <w:t>Figure S</w:t>
      </w:r>
      <w:r w:rsidR="000C4377" w:rsidRPr="0047369D">
        <w:rPr>
          <w:rFonts w:ascii="Arial" w:hAnsi="Arial" w:cs="Arial"/>
          <w:b/>
          <w:bCs/>
          <w:lang w:val="en-US"/>
        </w:rPr>
        <w:t>3</w:t>
      </w:r>
      <w:r w:rsidRPr="0047369D">
        <w:rPr>
          <w:rFonts w:ascii="Arial" w:hAnsi="Arial" w:cs="Arial"/>
          <w:b/>
          <w:bCs/>
          <w:lang w:val="en-US"/>
        </w:rPr>
        <w:t>. Sensitivity Analysis on Synaptic and Input Parameters (Related to Figure 2).</w:t>
      </w:r>
    </w:p>
    <w:p w14:paraId="69BE1786" w14:textId="51F56BA3" w:rsidR="00281B65" w:rsidRPr="0047369D" w:rsidRDefault="007D46D7" w:rsidP="007D46D7">
      <w:pPr>
        <w:jc w:val="both"/>
        <w:rPr>
          <w:rFonts w:ascii="Arial" w:hAnsi="Arial" w:cs="Arial"/>
          <w:b/>
          <w:bCs/>
          <w:lang w:val="en-US"/>
        </w:rPr>
      </w:pPr>
      <w:r w:rsidRPr="0047369D">
        <w:rPr>
          <w:rFonts w:ascii="Arial" w:hAnsi="Arial" w:cs="Arial"/>
          <w:b/>
          <w:bCs/>
          <w:lang w:val="en-US"/>
        </w:rPr>
        <w:t>a-c</w:t>
      </w:r>
      <w:r w:rsidRPr="0047369D">
        <w:rPr>
          <w:rFonts w:ascii="Arial" w:hAnsi="Arial" w:cs="Arial"/>
          <w:lang w:val="en-US"/>
        </w:rPr>
        <w:t xml:space="preserve">. 15% increase in the synaptic conductance values (applied to both input and network synapses for/from both PCs and FSBCs) do not alter the enhancement of fast peak frequency and power observed with supralinear activation. </w:t>
      </w:r>
      <w:r w:rsidRPr="0047369D">
        <w:rPr>
          <w:rFonts w:ascii="Arial" w:hAnsi="Arial" w:cs="Arial"/>
          <w:b/>
          <w:bCs/>
          <w:lang w:val="en-US"/>
        </w:rPr>
        <w:t>d-f</w:t>
      </w:r>
      <w:r w:rsidRPr="0047369D">
        <w:rPr>
          <w:rFonts w:ascii="Arial" w:hAnsi="Arial" w:cs="Arial"/>
          <w:lang w:val="en-US"/>
        </w:rPr>
        <w:t xml:space="preserve">. 15% reduction of the synaptic conductance values (for both input and network synapses involving PCs and FSBCs) also maintain the observed increase in fast peak frequency and power upon supralinear activation. </w:t>
      </w:r>
      <w:r w:rsidRPr="0047369D">
        <w:rPr>
          <w:rFonts w:ascii="Arial" w:hAnsi="Arial" w:cs="Arial"/>
          <w:b/>
          <w:bCs/>
          <w:lang w:val="en-US"/>
        </w:rPr>
        <w:t>g-</w:t>
      </w:r>
      <w:proofErr w:type="spellStart"/>
      <w:r w:rsidRPr="0047369D">
        <w:rPr>
          <w:rFonts w:ascii="Arial" w:hAnsi="Arial" w:cs="Arial"/>
          <w:b/>
          <w:bCs/>
          <w:lang w:val="en-US"/>
        </w:rPr>
        <w:t>i</w:t>
      </w:r>
      <w:proofErr w:type="spellEnd"/>
      <w:r w:rsidRPr="0047369D">
        <w:rPr>
          <w:rFonts w:ascii="Arial" w:hAnsi="Arial" w:cs="Arial"/>
          <w:lang w:val="en-US"/>
        </w:rPr>
        <w:t>. Modifications to input parameters (input phase shifted 180°, peak frequency 5 Hz) similarly do not affect the enhancement of fast peak frequency and power driven by supralinear activation.</w:t>
      </w:r>
      <w:r w:rsidR="00250261" w:rsidRPr="0047369D">
        <w:rPr>
          <w:rFonts w:ascii="Arial" w:hAnsi="Arial" w:cs="Arial"/>
          <w:lang w:val="en-US"/>
        </w:rPr>
        <w:t xml:space="preserve"> Statistical analyses for multigroup comparisons were performed using the Kruskal-Wallis test, followed by a post-hoc correction for multiple comparisons.</w:t>
      </w:r>
    </w:p>
    <w:p w14:paraId="5B0B3C79" w14:textId="77777777" w:rsidR="00F05D60" w:rsidRPr="0047369D" w:rsidRDefault="00F05D60" w:rsidP="007E26A4">
      <w:pPr>
        <w:jc w:val="both"/>
        <w:rPr>
          <w:rFonts w:ascii="Arial" w:hAnsi="Arial" w:cs="Arial"/>
          <w:lang w:val="en-US"/>
        </w:rPr>
      </w:pPr>
      <w:r w:rsidRPr="0047369D">
        <w:rPr>
          <w:rFonts w:ascii="Arial" w:hAnsi="Arial" w:cs="Arial"/>
          <w:b/>
          <w:bCs/>
          <w:noProof/>
          <w:lang w:val="en-US"/>
        </w:rPr>
        <w:lastRenderedPageBreak/>
        <w:drawing>
          <wp:anchor distT="0" distB="0" distL="114300" distR="114300" simplePos="0" relativeHeight="251676672" behindDoc="0" locked="0" layoutInCell="1" allowOverlap="1" wp14:anchorId="684541F4" wp14:editId="21FF9820">
            <wp:simplePos x="0" y="0"/>
            <wp:positionH relativeFrom="margin">
              <wp:align>center</wp:align>
            </wp:positionH>
            <wp:positionV relativeFrom="paragraph">
              <wp:posOffset>0</wp:posOffset>
            </wp:positionV>
            <wp:extent cx="5541010" cy="7141210"/>
            <wp:effectExtent l="0" t="0" r="2540" b="2540"/>
            <wp:wrapThrough wrapText="bothSides">
              <wp:wrapPolygon edited="0">
                <wp:start x="0" y="0"/>
                <wp:lineTo x="0" y="21550"/>
                <wp:lineTo x="21536" y="21550"/>
                <wp:lineTo x="21536" y="0"/>
                <wp:lineTo x="0" y="0"/>
              </wp:wrapPolygon>
            </wp:wrapThrough>
            <wp:docPr id="148558408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584085" name="Εικόνα 1485584085"/>
                    <pic:cNvPicPr/>
                  </pic:nvPicPr>
                  <pic:blipFill>
                    <a:blip r:embed="rId9" cstate="print">
                      <a:extLst>
                        <a:ext uri="{28A0092B-C50C-407E-A947-70E740481C1C}">
                          <a14:useLocalDpi xmlns:a14="http://schemas.microsoft.com/office/drawing/2010/main" val="0"/>
                        </a:ext>
                      </a:extLst>
                    </a:blip>
                    <a:stretch>
                      <a:fillRect/>
                    </a:stretch>
                  </pic:blipFill>
                  <pic:spPr>
                    <a:xfrm>
                      <a:off x="0" y="0"/>
                      <a:ext cx="5541010" cy="7141210"/>
                    </a:xfrm>
                    <a:prstGeom prst="rect">
                      <a:avLst/>
                    </a:prstGeom>
                  </pic:spPr>
                </pic:pic>
              </a:graphicData>
            </a:graphic>
            <wp14:sizeRelH relativeFrom="margin">
              <wp14:pctWidth>0</wp14:pctWidth>
            </wp14:sizeRelH>
            <wp14:sizeRelV relativeFrom="margin">
              <wp14:pctHeight>0</wp14:pctHeight>
            </wp14:sizeRelV>
          </wp:anchor>
        </w:drawing>
      </w:r>
    </w:p>
    <w:p w14:paraId="166BEB24" w14:textId="55F2B4B4" w:rsidR="00091D7A" w:rsidRPr="0047369D" w:rsidRDefault="007E26A4" w:rsidP="007E26A4">
      <w:pPr>
        <w:jc w:val="both"/>
        <w:rPr>
          <w:rFonts w:ascii="Arial" w:hAnsi="Arial" w:cs="Arial"/>
          <w:lang w:val="en-US"/>
        </w:rPr>
      </w:pPr>
      <w:r w:rsidRPr="0047369D">
        <w:rPr>
          <w:rFonts w:ascii="Arial" w:hAnsi="Arial" w:cs="Arial"/>
          <w:b/>
          <w:bCs/>
          <w:lang w:val="en-US"/>
        </w:rPr>
        <w:t>Figure S</w:t>
      </w:r>
      <w:r w:rsidR="000C4377" w:rsidRPr="0047369D">
        <w:rPr>
          <w:rFonts w:ascii="Arial" w:hAnsi="Arial" w:cs="Arial"/>
          <w:b/>
          <w:bCs/>
          <w:lang w:val="en-US"/>
        </w:rPr>
        <w:t>4</w:t>
      </w:r>
      <w:r w:rsidRPr="0047369D">
        <w:rPr>
          <w:rFonts w:ascii="Arial" w:hAnsi="Arial" w:cs="Arial"/>
          <w:b/>
          <w:bCs/>
          <w:lang w:val="en-US"/>
        </w:rPr>
        <w:t>. Differential Modulation of Slow and Fast LFP Components by Supralinear and Sublinear FSBC Dendritic Trees.</w:t>
      </w:r>
    </w:p>
    <w:p w14:paraId="35ECB679" w14:textId="6FF12B8C" w:rsidR="00BA51AD" w:rsidRPr="0047369D" w:rsidRDefault="007E26A4" w:rsidP="007E26A4">
      <w:pPr>
        <w:jc w:val="both"/>
        <w:rPr>
          <w:rFonts w:ascii="Arial" w:hAnsi="Arial" w:cs="Arial"/>
          <w:lang w:val="en-US"/>
        </w:rPr>
      </w:pPr>
      <w:r w:rsidRPr="0047369D">
        <w:rPr>
          <w:rFonts w:ascii="Arial" w:hAnsi="Arial" w:cs="Arial"/>
          <w:b/>
          <w:bCs/>
          <w:lang w:val="en-US"/>
        </w:rPr>
        <w:t>a</w:t>
      </w:r>
      <w:r w:rsidRPr="0047369D">
        <w:rPr>
          <w:rFonts w:ascii="Arial" w:hAnsi="Arial" w:cs="Arial"/>
          <w:lang w:val="en-US"/>
        </w:rPr>
        <w:t>. Activation of FSBCs equipped with purely supralinear dendritic trees, showcasing representative LFP traces bandpassed at slow (3-10 Hz) and high (30-200 Hz) frequencies.</w:t>
      </w:r>
      <w:r w:rsidRPr="0047369D">
        <w:rPr>
          <w:rFonts w:ascii="Arial" w:hAnsi="Arial" w:cs="Arial"/>
          <w:b/>
          <w:bCs/>
          <w:lang w:val="en-US"/>
        </w:rPr>
        <w:t xml:space="preserve"> b</w:t>
      </w:r>
      <w:r w:rsidRPr="0047369D">
        <w:rPr>
          <w:rFonts w:ascii="Arial" w:hAnsi="Arial" w:cs="Arial"/>
          <w:lang w:val="en-US"/>
        </w:rPr>
        <w:t xml:space="preserve">. Similar to </w:t>
      </w:r>
      <w:proofErr w:type="gramStart"/>
      <w:r w:rsidR="005152DF" w:rsidRPr="0047369D">
        <w:rPr>
          <w:rFonts w:ascii="Arial" w:hAnsi="Arial" w:cs="Arial"/>
          <w:b/>
          <w:bCs/>
          <w:lang w:val="en-US"/>
        </w:rPr>
        <w:t>a</w:t>
      </w:r>
      <w:r w:rsidR="005152DF" w:rsidRPr="0047369D">
        <w:rPr>
          <w:rFonts w:ascii="Arial" w:hAnsi="Arial" w:cs="Arial"/>
          <w:lang w:val="en-US"/>
        </w:rPr>
        <w:t xml:space="preserve"> but</w:t>
      </w:r>
      <w:proofErr w:type="gramEnd"/>
      <w:r w:rsidRPr="0047369D">
        <w:rPr>
          <w:rFonts w:ascii="Arial" w:hAnsi="Arial" w:cs="Arial"/>
          <w:lang w:val="en-US"/>
        </w:rPr>
        <w:t xml:space="preserve"> displaying activation of FSBCs with purely sublinear dendritic trees.</w:t>
      </w:r>
      <w:r w:rsidRPr="0047369D">
        <w:rPr>
          <w:rFonts w:ascii="Arial" w:hAnsi="Arial" w:cs="Arial"/>
          <w:b/>
          <w:bCs/>
          <w:lang w:val="en-US"/>
        </w:rPr>
        <w:t xml:space="preserve"> c-d</w:t>
      </w:r>
      <w:r w:rsidRPr="0047369D">
        <w:rPr>
          <w:rFonts w:ascii="Arial" w:hAnsi="Arial" w:cs="Arial"/>
          <w:lang w:val="en-US"/>
        </w:rPr>
        <w:t xml:space="preserve">. Power Spectrum Density (PSD) plots of the LFP evoked when FSBCs are equipped with purely supralinear (c) or purely sublinear (d) dendritic trees, highlighting differences in </w:t>
      </w:r>
      <w:r w:rsidRPr="0047369D">
        <w:rPr>
          <w:rFonts w:ascii="Arial" w:hAnsi="Arial" w:cs="Arial"/>
          <w:lang w:val="en-US"/>
        </w:rPr>
        <w:lastRenderedPageBreak/>
        <w:t>frequency response.</w:t>
      </w:r>
      <w:r w:rsidRPr="0047369D">
        <w:rPr>
          <w:rFonts w:ascii="Arial" w:hAnsi="Arial" w:cs="Arial"/>
          <w:b/>
          <w:bCs/>
          <w:lang w:val="en-US"/>
        </w:rPr>
        <w:t xml:space="preserve"> e-g</w:t>
      </w:r>
      <w:r w:rsidRPr="0047369D">
        <w:rPr>
          <w:rFonts w:ascii="Arial" w:hAnsi="Arial" w:cs="Arial"/>
          <w:lang w:val="en-US"/>
        </w:rPr>
        <w:t>. Comparative analysis of the peak fast-frequency (e) and peak power of fast (f) and slow (g) oscillations for FSBCs with bimodal (grey), supralinear (purple), or sublinear (blue) dendritic trees. Data are derived from 30 random simulation trials.</w:t>
      </w:r>
      <w:r w:rsidRPr="0047369D">
        <w:rPr>
          <w:rFonts w:ascii="Arial" w:hAnsi="Arial" w:cs="Arial"/>
          <w:b/>
          <w:bCs/>
          <w:lang w:val="en-US"/>
        </w:rPr>
        <w:t xml:space="preserve"> h</w:t>
      </w:r>
      <w:r w:rsidRPr="0047369D">
        <w:rPr>
          <w:rFonts w:ascii="Arial" w:hAnsi="Arial" w:cs="Arial"/>
          <w:lang w:val="en-US"/>
        </w:rPr>
        <w:t>. Firing activity of the PCs and FSBCs populations within the microcircuit network across 30 random simulation trials. Activation of supralinear FSBC dendritic trees results in a decreased E/I balance compared to both bimodal (control) and sublinear trees.</w:t>
      </w:r>
      <w:r w:rsidR="00394D63" w:rsidRPr="0047369D">
        <w:rPr>
          <w:rFonts w:ascii="Arial" w:hAnsi="Arial" w:cs="Arial"/>
          <w:b/>
          <w:bCs/>
          <w:lang w:val="en-US"/>
        </w:rPr>
        <w:t xml:space="preserve"> </w:t>
      </w:r>
      <w:r w:rsidRPr="0047369D">
        <w:rPr>
          <w:rFonts w:ascii="Arial" w:hAnsi="Arial" w:cs="Arial"/>
          <w:lang w:val="en-US"/>
        </w:rPr>
        <w:t>Statistical analyses for multigroup comparisons were conducted using the Kruskal-Wallis test</w:t>
      </w:r>
      <w:r w:rsidR="00CB7AE6" w:rsidRPr="0047369D">
        <w:rPr>
          <w:rFonts w:ascii="Arial" w:hAnsi="Arial" w:cs="Arial"/>
          <w:lang w:val="en-US"/>
        </w:rPr>
        <w:t xml:space="preserve"> </w:t>
      </w:r>
      <w:r w:rsidR="00CB7AE6" w:rsidRPr="0047369D">
        <w:rPr>
          <w:rFonts w:ascii="Arial" w:hAnsi="Arial" w:cs="Arial"/>
        </w:rPr>
        <w:t>followed by a post-hoc correction for multiple comparisons</w:t>
      </w:r>
      <w:r w:rsidRPr="0047369D">
        <w:rPr>
          <w:rFonts w:ascii="Arial" w:hAnsi="Arial" w:cs="Arial"/>
          <w:lang w:val="en-US"/>
        </w:rPr>
        <w:t>. Paired comparisons and p-values were calculated using the Mann-Whitney U test</w:t>
      </w:r>
      <w:r w:rsidR="00394D63" w:rsidRPr="0047369D">
        <w:rPr>
          <w:rFonts w:ascii="Arial" w:hAnsi="Arial" w:cs="Arial"/>
          <w:lang w:val="en-US"/>
        </w:rPr>
        <w:t xml:space="preserve"> for data with unequal variance</w:t>
      </w:r>
      <w:r w:rsidR="00401450" w:rsidRPr="0047369D">
        <w:rPr>
          <w:rFonts w:ascii="Arial" w:hAnsi="Arial" w:cs="Arial"/>
          <w:lang w:val="en-US"/>
        </w:rPr>
        <w:t>.</w:t>
      </w:r>
    </w:p>
    <w:p w14:paraId="0B379FEE" w14:textId="77777777" w:rsidR="00F05D60" w:rsidRPr="0047369D" w:rsidRDefault="00F05D60" w:rsidP="007E26A4">
      <w:pPr>
        <w:jc w:val="both"/>
        <w:rPr>
          <w:rFonts w:ascii="Arial" w:hAnsi="Arial" w:cs="Arial"/>
          <w:lang w:val="en-US"/>
        </w:rPr>
      </w:pPr>
    </w:p>
    <w:p w14:paraId="57739523" w14:textId="77777777" w:rsidR="001D3504" w:rsidRPr="0047369D" w:rsidRDefault="001D3504" w:rsidP="007E26A4">
      <w:pPr>
        <w:jc w:val="both"/>
        <w:rPr>
          <w:rFonts w:ascii="Arial" w:hAnsi="Arial" w:cs="Arial"/>
          <w:lang w:val="en-US"/>
        </w:rPr>
      </w:pPr>
    </w:p>
    <w:p w14:paraId="490162A3" w14:textId="18941636" w:rsidR="00612CD1" w:rsidRPr="0047369D" w:rsidRDefault="001D3504" w:rsidP="00BA0B25">
      <w:pPr>
        <w:jc w:val="both"/>
        <w:rPr>
          <w:rFonts w:ascii="Arial" w:hAnsi="Arial" w:cs="Arial"/>
          <w:lang w:val="en-US"/>
        </w:rPr>
      </w:pPr>
      <w:r w:rsidRPr="0047369D">
        <w:rPr>
          <w:rFonts w:ascii="Arial" w:hAnsi="Arial" w:cs="Arial"/>
          <w:b/>
          <w:bCs/>
          <w:noProof/>
          <w:lang w:val="en-US"/>
        </w:rPr>
        <w:drawing>
          <wp:anchor distT="0" distB="0" distL="114300" distR="114300" simplePos="0" relativeHeight="251677696" behindDoc="0" locked="0" layoutInCell="1" allowOverlap="1" wp14:anchorId="478E6ADF" wp14:editId="43EABB95">
            <wp:simplePos x="0" y="0"/>
            <wp:positionH relativeFrom="margin">
              <wp:posOffset>514350</wp:posOffset>
            </wp:positionH>
            <wp:positionV relativeFrom="paragraph">
              <wp:posOffset>41275</wp:posOffset>
            </wp:positionV>
            <wp:extent cx="4743450" cy="6169660"/>
            <wp:effectExtent l="0" t="0" r="0" b="2540"/>
            <wp:wrapThrough wrapText="bothSides">
              <wp:wrapPolygon edited="0">
                <wp:start x="0" y="0"/>
                <wp:lineTo x="0" y="21542"/>
                <wp:lineTo x="21513" y="21542"/>
                <wp:lineTo x="21513" y="0"/>
                <wp:lineTo x="0" y="0"/>
              </wp:wrapPolygon>
            </wp:wrapThrough>
            <wp:docPr id="1661808375"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808375" name="Εικόνα 166180837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43450" cy="6169660"/>
                    </a:xfrm>
                    <a:prstGeom prst="rect">
                      <a:avLst/>
                    </a:prstGeom>
                  </pic:spPr>
                </pic:pic>
              </a:graphicData>
            </a:graphic>
            <wp14:sizeRelH relativeFrom="margin">
              <wp14:pctWidth>0</wp14:pctWidth>
            </wp14:sizeRelH>
            <wp14:sizeRelV relativeFrom="margin">
              <wp14:pctHeight>0</wp14:pctHeight>
            </wp14:sizeRelV>
          </wp:anchor>
        </w:drawing>
      </w:r>
    </w:p>
    <w:p w14:paraId="268A2EFF" w14:textId="0F784885" w:rsidR="00091D7A" w:rsidRPr="0047369D" w:rsidRDefault="00091D7A" w:rsidP="00091D7A">
      <w:pPr>
        <w:jc w:val="both"/>
        <w:rPr>
          <w:rFonts w:ascii="Arial" w:hAnsi="Arial" w:cs="Arial"/>
          <w:b/>
          <w:bCs/>
          <w:lang w:val="en-US"/>
        </w:rPr>
      </w:pPr>
      <w:r w:rsidRPr="0047369D">
        <w:rPr>
          <w:rFonts w:ascii="Arial" w:hAnsi="Arial" w:cs="Arial"/>
          <w:b/>
          <w:bCs/>
          <w:lang w:val="en-US"/>
        </w:rPr>
        <w:t>Figure S</w:t>
      </w:r>
      <w:r w:rsidR="000C4377" w:rsidRPr="0047369D">
        <w:rPr>
          <w:rFonts w:ascii="Arial" w:hAnsi="Arial" w:cs="Arial"/>
          <w:b/>
          <w:bCs/>
          <w:lang w:val="en-US"/>
        </w:rPr>
        <w:t>5</w:t>
      </w:r>
      <w:r w:rsidRPr="0047369D">
        <w:rPr>
          <w:rFonts w:ascii="Arial" w:hAnsi="Arial" w:cs="Arial"/>
          <w:b/>
          <w:bCs/>
          <w:lang w:val="en-US"/>
        </w:rPr>
        <w:t>. Impact of Clustered Synaptic Activation on LFP and E/I Balance in Bimodal, Supralinear, and Sublinear FSBC Dendritic Configurations.</w:t>
      </w:r>
    </w:p>
    <w:p w14:paraId="1E39A62F" w14:textId="059BF898" w:rsidR="00091D7A" w:rsidRPr="0047369D" w:rsidRDefault="00091D7A" w:rsidP="00091D7A">
      <w:pPr>
        <w:jc w:val="both"/>
        <w:rPr>
          <w:rFonts w:ascii="Arial" w:hAnsi="Arial" w:cs="Arial"/>
          <w:b/>
          <w:bCs/>
          <w:lang w:val="en-US"/>
        </w:rPr>
      </w:pPr>
    </w:p>
    <w:p w14:paraId="5DBC2D51" w14:textId="4051A775" w:rsidR="00EA0E0F" w:rsidRPr="0047369D" w:rsidRDefault="001D3504" w:rsidP="00F05D60">
      <w:pPr>
        <w:pStyle w:val="a6"/>
        <w:numPr>
          <w:ilvl w:val="0"/>
          <w:numId w:val="3"/>
        </w:numPr>
        <w:jc w:val="both"/>
        <w:rPr>
          <w:rFonts w:ascii="Arial" w:hAnsi="Arial" w:cs="Arial"/>
          <w:lang w:val="en-US"/>
        </w:rPr>
      </w:pPr>
      <w:r w:rsidRPr="0047369D">
        <w:rPr>
          <w:noProof/>
          <w:lang w:val="en-US"/>
        </w:rPr>
        <w:drawing>
          <wp:anchor distT="0" distB="0" distL="114300" distR="114300" simplePos="0" relativeHeight="251678720" behindDoc="0" locked="0" layoutInCell="1" allowOverlap="1" wp14:anchorId="337E7566" wp14:editId="136FD27D">
            <wp:simplePos x="0" y="0"/>
            <wp:positionH relativeFrom="margin">
              <wp:posOffset>-476250</wp:posOffset>
            </wp:positionH>
            <wp:positionV relativeFrom="paragraph">
              <wp:posOffset>3018790</wp:posOffset>
            </wp:positionV>
            <wp:extent cx="6680200" cy="5463540"/>
            <wp:effectExtent l="0" t="0" r="6350" b="3810"/>
            <wp:wrapThrough wrapText="bothSides">
              <wp:wrapPolygon edited="0">
                <wp:start x="0" y="0"/>
                <wp:lineTo x="0" y="21540"/>
                <wp:lineTo x="21559" y="21540"/>
                <wp:lineTo x="21559" y="0"/>
                <wp:lineTo x="0" y="0"/>
              </wp:wrapPolygon>
            </wp:wrapThrough>
            <wp:docPr id="135734382"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34382" name="Εικόνα 13573438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80200" cy="5463540"/>
                    </a:xfrm>
                    <a:prstGeom prst="rect">
                      <a:avLst/>
                    </a:prstGeom>
                  </pic:spPr>
                </pic:pic>
              </a:graphicData>
            </a:graphic>
            <wp14:sizeRelH relativeFrom="margin">
              <wp14:pctWidth>0</wp14:pctWidth>
            </wp14:sizeRelH>
            <wp14:sizeRelV relativeFrom="margin">
              <wp14:pctHeight>0</wp14:pctHeight>
            </wp14:sizeRelV>
          </wp:anchor>
        </w:drawing>
      </w:r>
      <w:r w:rsidR="00091D7A" w:rsidRPr="0047369D">
        <w:rPr>
          <w:rFonts w:ascii="Arial" w:hAnsi="Arial" w:cs="Arial"/>
          <w:lang w:val="en-US"/>
        </w:rPr>
        <w:t xml:space="preserve">Activation of FSBCs with bimodal nonlinear dendrites (control configuration), showing representative LFP traces for slow (3-10 Hz) and fast (30-200 Hz) frequencies. Synapses are clustered in a few randomly chosen supralinear or sublinear branches. </w:t>
      </w:r>
      <w:r w:rsidR="00091D7A" w:rsidRPr="0047369D">
        <w:rPr>
          <w:rFonts w:ascii="Arial" w:hAnsi="Arial" w:cs="Arial"/>
          <w:b/>
          <w:bCs/>
          <w:lang w:val="en-US"/>
        </w:rPr>
        <w:t>b</w:t>
      </w:r>
      <w:r w:rsidR="00091D7A" w:rsidRPr="0047369D">
        <w:rPr>
          <w:rFonts w:ascii="Arial" w:hAnsi="Arial" w:cs="Arial"/>
          <w:lang w:val="en-US"/>
        </w:rPr>
        <w:t xml:space="preserve">. Activation of FSBCs with purely supralinear dendritic trees, showing LFP traces under clustered synaptic activation. </w:t>
      </w:r>
      <w:r w:rsidR="00091D7A" w:rsidRPr="0047369D">
        <w:rPr>
          <w:rFonts w:ascii="Arial" w:hAnsi="Arial" w:cs="Arial"/>
          <w:b/>
          <w:bCs/>
          <w:lang w:val="en-US"/>
        </w:rPr>
        <w:t>c</w:t>
      </w:r>
      <w:r w:rsidR="00091D7A" w:rsidRPr="0047369D">
        <w:rPr>
          <w:rFonts w:ascii="Arial" w:hAnsi="Arial" w:cs="Arial"/>
          <w:lang w:val="en-US"/>
        </w:rPr>
        <w:t xml:space="preserve">. Activation of FSBCs with purely sublinear dendritic trees, similar to conditions in a and b, illustrating the effect of clustered synaptic activation on LFP traces. </w:t>
      </w:r>
      <w:r w:rsidR="00091D7A" w:rsidRPr="0047369D">
        <w:rPr>
          <w:rFonts w:ascii="Arial" w:hAnsi="Arial" w:cs="Arial"/>
          <w:b/>
          <w:bCs/>
          <w:lang w:val="en-US"/>
        </w:rPr>
        <w:t>d-f</w:t>
      </w:r>
      <w:r w:rsidR="00091D7A" w:rsidRPr="0047369D">
        <w:rPr>
          <w:rFonts w:ascii="Arial" w:hAnsi="Arial" w:cs="Arial"/>
          <w:lang w:val="en-US"/>
        </w:rPr>
        <w:t xml:space="preserve">. Power Spectrum Density (PSD) plots for LFPs under clustered synaptic conditions in FSBCs with bimodal (d), supralinear (e), and sublinear (f) dendritic configurations. </w:t>
      </w:r>
      <w:r w:rsidR="00091D7A" w:rsidRPr="0047369D">
        <w:rPr>
          <w:rFonts w:ascii="Arial" w:hAnsi="Arial" w:cs="Arial"/>
          <w:b/>
          <w:bCs/>
          <w:lang w:val="en-US"/>
        </w:rPr>
        <w:t>g-</w:t>
      </w:r>
      <w:proofErr w:type="spellStart"/>
      <w:r w:rsidR="00091D7A" w:rsidRPr="0047369D">
        <w:rPr>
          <w:rFonts w:ascii="Arial" w:hAnsi="Arial" w:cs="Arial"/>
          <w:b/>
          <w:bCs/>
          <w:lang w:val="en-US"/>
        </w:rPr>
        <w:t>i</w:t>
      </w:r>
      <w:proofErr w:type="spellEnd"/>
      <w:r w:rsidR="00091D7A" w:rsidRPr="0047369D">
        <w:rPr>
          <w:rFonts w:ascii="Arial" w:hAnsi="Arial" w:cs="Arial"/>
          <w:lang w:val="en-US"/>
        </w:rPr>
        <w:t>. Comparison of peak frequency (g) and peak power for the fast LFP component (30-200 Hz) (h), and peak power for the slow LFP component (</w:t>
      </w:r>
      <w:proofErr w:type="spellStart"/>
      <w:r w:rsidR="00091D7A" w:rsidRPr="0047369D">
        <w:rPr>
          <w:rFonts w:ascii="Arial" w:hAnsi="Arial" w:cs="Arial"/>
          <w:lang w:val="en-US"/>
        </w:rPr>
        <w:t>i</w:t>
      </w:r>
      <w:proofErr w:type="spellEnd"/>
      <w:r w:rsidR="00091D7A" w:rsidRPr="0047369D">
        <w:rPr>
          <w:rFonts w:ascii="Arial" w:hAnsi="Arial" w:cs="Arial"/>
          <w:lang w:val="en-US"/>
        </w:rPr>
        <w:t xml:space="preserve">), across dendritic configurations. </w:t>
      </w:r>
      <w:r w:rsidR="00091D7A" w:rsidRPr="0047369D">
        <w:rPr>
          <w:rFonts w:ascii="Arial" w:hAnsi="Arial" w:cs="Arial"/>
          <w:b/>
          <w:bCs/>
          <w:lang w:val="en-US"/>
        </w:rPr>
        <w:t>j</w:t>
      </w:r>
      <w:r w:rsidR="00091D7A" w:rsidRPr="0047369D">
        <w:rPr>
          <w:rFonts w:ascii="Arial" w:hAnsi="Arial" w:cs="Arial"/>
          <w:lang w:val="en-US"/>
        </w:rPr>
        <w:t>. Firing activity of PC and FSBC populations in the microcircuit network from 30 random simulation trials. Clustering in supralinear FSBC dendritic trees decreases the E/I balance in the network compared to bimodal (control) or sublinear trees. Statistical analyses for multigroup comparisons were conducted using the Kruskal-Wallis test</w:t>
      </w:r>
      <w:r w:rsidR="00250261" w:rsidRPr="0047369D">
        <w:rPr>
          <w:rFonts w:ascii="Arial" w:hAnsi="Arial" w:cs="Arial"/>
          <w:lang w:val="en-US"/>
        </w:rPr>
        <w:t xml:space="preserve"> </w:t>
      </w:r>
      <w:r w:rsidR="00CB7AE6" w:rsidRPr="0047369D">
        <w:rPr>
          <w:rFonts w:ascii="Arial" w:hAnsi="Arial" w:cs="Arial"/>
        </w:rPr>
        <w:t>followed by a post-hoc correction for multiple comparisons</w:t>
      </w:r>
      <w:r w:rsidR="00091D7A" w:rsidRPr="0047369D">
        <w:rPr>
          <w:rFonts w:ascii="Arial" w:hAnsi="Arial" w:cs="Arial"/>
          <w:lang w:val="en-US"/>
        </w:rPr>
        <w:t>. Paired comparisons and p-values were calculated using the Mann-Whitney U test for data with unequal variance.</w:t>
      </w:r>
    </w:p>
    <w:p w14:paraId="6EB937F3" w14:textId="785E881F" w:rsidR="00FD4609" w:rsidRPr="0047369D" w:rsidRDefault="002D04A2" w:rsidP="00FD4609">
      <w:pPr>
        <w:jc w:val="both"/>
        <w:rPr>
          <w:rFonts w:ascii="Arial" w:hAnsi="Arial" w:cs="Arial"/>
          <w:b/>
          <w:bCs/>
          <w:lang w:val="en-US"/>
        </w:rPr>
      </w:pPr>
      <w:bookmarkStart w:id="0" w:name="_Hlk171934366"/>
      <w:r w:rsidRPr="0047369D">
        <w:rPr>
          <w:rFonts w:ascii="Arial" w:hAnsi="Arial" w:cs="Arial"/>
          <w:b/>
          <w:bCs/>
          <w:lang w:val="en-US"/>
        </w:rPr>
        <w:lastRenderedPageBreak/>
        <w:t>Figure S</w:t>
      </w:r>
      <w:r w:rsidR="000C4377" w:rsidRPr="0047369D">
        <w:rPr>
          <w:rFonts w:ascii="Arial" w:hAnsi="Arial" w:cs="Arial"/>
          <w:b/>
          <w:bCs/>
          <w:lang w:val="en-US"/>
        </w:rPr>
        <w:t>6</w:t>
      </w:r>
      <w:r w:rsidRPr="0047369D">
        <w:rPr>
          <w:rFonts w:ascii="Arial" w:hAnsi="Arial" w:cs="Arial"/>
          <w:b/>
          <w:bCs/>
          <w:lang w:val="en-US"/>
        </w:rPr>
        <w:t>. Slow-Fast Oscillation Coupling in the Microcircuit Model Under Various Dendritic and Synaptic Configurations in FSBCs.</w:t>
      </w:r>
    </w:p>
    <w:p w14:paraId="3DA56FCF" w14:textId="277E89CA" w:rsidR="001D3504" w:rsidRPr="0047369D" w:rsidRDefault="002D04A2" w:rsidP="00FD4609">
      <w:pPr>
        <w:jc w:val="both"/>
        <w:rPr>
          <w:rFonts w:ascii="Arial" w:hAnsi="Arial" w:cs="Arial"/>
          <w:lang w:val="en-US"/>
        </w:rPr>
      </w:pPr>
      <w:r w:rsidRPr="0047369D">
        <w:rPr>
          <w:rFonts w:ascii="Arial" w:hAnsi="Arial" w:cs="Arial"/>
          <w:b/>
          <w:bCs/>
          <w:lang w:val="en-US"/>
        </w:rPr>
        <w:t>a-e</w:t>
      </w:r>
      <w:r w:rsidRPr="0047369D">
        <w:rPr>
          <w:rFonts w:ascii="Arial" w:hAnsi="Arial" w:cs="Arial"/>
          <w:lang w:val="en-US"/>
        </w:rPr>
        <w:t>. Representative comodulograms illustrating the slow-fast coupling for the protocols detailed in Figures 2 and S</w:t>
      </w:r>
      <w:r w:rsidR="00FD4609" w:rsidRPr="0047369D">
        <w:rPr>
          <w:rFonts w:ascii="Arial" w:hAnsi="Arial" w:cs="Arial"/>
          <w:lang w:val="en-US"/>
        </w:rPr>
        <w:t>3</w:t>
      </w:r>
      <w:r w:rsidRPr="0047369D">
        <w:rPr>
          <w:rFonts w:ascii="Arial" w:hAnsi="Arial" w:cs="Arial"/>
          <w:lang w:val="en-US"/>
        </w:rPr>
        <w:t>. These visualizations provide insights into the phase-amplitude coupling dynamics under different synaptic and dendritic configurations.</w:t>
      </w:r>
      <w:r w:rsidR="00FD4609" w:rsidRPr="0047369D">
        <w:rPr>
          <w:rFonts w:ascii="Arial" w:hAnsi="Arial" w:cs="Arial"/>
          <w:lang w:val="en-US"/>
        </w:rPr>
        <w:t xml:space="preserve"> Data from 30 random simulation trials are represented.</w:t>
      </w:r>
      <w:r w:rsidR="00FD4609" w:rsidRPr="0047369D">
        <w:rPr>
          <w:rFonts w:ascii="Arial" w:hAnsi="Arial" w:cs="Arial"/>
          <w:b/>
          <w:bCs/>
          <w:lang w:val="en-US"/>
        </w:rPr>
        <w:t xml:space="preserve"> </w:t>
      </w:r>
      <w:r w:rsidRPr="0047369D">
        <w:rPr>
          <w:rFonts w:ascii="Arial" w:hAnsi="Arial" w:cs="Arial"/>
          <w:b/>
          <w:bCs/>
          <w:lang w:val="en-US"/>
        </w:rPr>
        <w:t>f</w:t>
      </w:r>
      <w:r w:rsidRPr="0047369D">
        <w:rPr>
          <w:rFonts w:ascii="Arial" w:hAnsi="Arial" w:cs="Arial"/>
          <w:lang w:val="en-US"/>
        </w:rPr>
        <w:t xml:space="preserve">. Coupling analysis shows that synaptic distribution in a dispersed configuration across bimodal, purely supralinear, or purely sublinear FSBC dendritic trees does not affect slow-fast oscillation coupling. </w:t>
      </w:r>
      <w:r w:rsidRPr="0047369D">
        <w:rPr>
          <w:rFonts w:ascii="Arial" w:hAnsi="Arial" w:cs="Arial"/>
          <w:b/>
          <w:bCs/>
          <w:lang w:val="en-US"/>
        </w:rPr>
        <w:t>g-</w:t>
      </w:r>
      <w:proofErr w:type="spellStart"/>
      <w:r w:rsidRPr="0047369D">
        <w:rPr>
          <w:rFonts w:ascii="Arial" w:hAnsi="Arial" w:cs="Arial"/>
          <w:b/>
          <w:bCs/>
          <w:lang w:val="en-US"/>
        </w:rPr>
        <w:t>i</w:t>
      </w:r>
      <w:proofErr w:type="spellEnd"/>
      <w:r w:rsidRPr="0047369D">
        <w:rPr>
          <w:rFonts w:ascii="Arial" w:hAnsi="Arial" w:cs="Arial"/>
          <w:lang w:val="en-US"/>
        </w:rPr>
        <w:t>. Similar to a-</w:t>
      </w:r>
      <w:r w:rsidR="00393766" w:rsidRPr="0047369D">
        <w:rPr>
          <w:rFonts w:ascii="Arial" w:hAnsi="Arial" w:cs="Arial"/>
          <w:lang w:val="en-US"/>
        </w:rPr>
        <w:t>e but</w:t>
      </w:r>
      <w:r w:rsidRPr="0047369D">
        <w:rPr>
          <w:rFonts w:ascii="Arial" w:hAnsi="Arial" w:cs="Arial"/>
          <w:lang w:val="en-US"/>
        </w:rPr>
        <w:t xml:space="preserve"> showcasing comodulograms for a clustered synaptic arrangement</w:t>
      </w:r>
      <w:r w:rsidR="00FD4609" w:rsidRPr="0047369D">
        <w:rPr>
          <w:rFonts w:ascii="Arial" w:hAnsi="Arial" w:cs="Arial"/>
          <w:lang w:val="en-US"/>
        </w:rPr>
        <w:t xml:space="preserve"> (detailed in Figure S4)</w:t>
      </w:r>
      <w:r w:rsidRPr="0047369D">
        <w:rPr>
          <w:rFonts w:ascii="Arial" w:hAnsi="Arial" w:cs="Arial"/>
          <w:lang w:val="en-US"/>
        </w:rPr>
        <w:t xml:space="preserve">, using the same </w:t>
      </w:r>
      <w:r w:rsidR="001749DC" w:rsidRPr="0047369D">
        <w:rPr>
          <w:rFonts w:ascii="Arial" w:hAnsi="Arial" w:cs="Arial"/>
          <w:lang w:val="en-US"/>
        </w:rPr>
        <w:t>number</w:t>
      </w:r>
      <w:r w:rsidRPr="0047369D">
        <w:rPr>
          <w:rFonts w:ascii="Arial" w:hAnsi="Arial" w:cs="Arial"/>
          <w:lang w:val="en-US"/>
        </w:rPr>
        <w:t xml:space="preserve"> of synapses as in the dispersed experiments. </w:t>
      </w:r>
      <w:r w:rsidRPr="0047369D">
        <w:rPr>
          <w:rFonts w:ascii="Arial" w:hAnsi="Arial" w:cs="Arial"/>
          <w:b/>
          <w:bCs/>
          <w:lang w:val="en-US"/>
        </w:rPr>
        <w:t>j.</w:t>
      </w:r>
      <w:r w:rsidRPr="0047369D">
        <w:rPr>
          <w:rFonts w:ascii="Arial" w:hAnsi="Arial" w:cs="Arial"/>
          <w:lang w:val="en-US"/>
        </w:rPr>
        <w:t xml:space="preserve"> </w:t>
      </w:r>
      <w:r w:rsidR="00FD4609" w:rsidRPr="0047369D">
        <w:rPr>
          <w:rFonts w:ascii="Arial" w:hAnsi="Arial" w:cs="Arial"/>
          <w:lang w:val="en-US"/>
        </w:rPr>
        <w:t>MI indicates</w:t>
      </w:r>
      <w:r w:rsidRPr="0047369D">
        <w:rPr>
          <w:rFonts w:ascii="Arial" w:hAnsi="Arial" w:cs="Arial"/>
          <w:lang w:val="en-US"/>
        </w:rPr>
        <w:t xml:space="preserve"> that slow-fast oscillation coupling decreases when synapses are clustered in purely sublinear dendritic trees compared to other configurations.</w:t>
      </w:r>
      <w:r w:rsidR="00FD4609" w:rsidRPr="0047369D">
        <w:rPr>
          <w:rFonts w:ascii="Arial" w:hAnsi="Arial" w:cs="Arial"/>
          <w:lang w:val="en-US"/>
        </w:rPr>
        <w:t xml:space="preserve"> </w:t>
      </w:r>
      <w:r w:rsidRPr="0047369D">
        <w:rPr>
          <w:rFonts w:ascii="Arial" w:hAnsi="Arial" w:cs="Arial"/>
          <w:lang w:val="en-US"/>
        </w:rPr>
        <w:t xml:space="preserve">Multigroup comparisons were performed using the Kruskal-Wallis test </w:t>
      </w:r>
      <w:r w:rsidR="00CB7AE6" w:rsidRPr="0047369D">
        <w:rPr>
          <w:rFonts w:ascii="Arial" w:hAnsi="Arial" w:cs="Arial"/>
        </w:rPr>
        <w:t>followed by a post-hoc correction for multiple comparisons</w:t>
      </w:r>
      <w:r w:rsidR="00CB7AE6" w:rsidRPr="0047369D">
        <w:rPr>
          <w:rFonts w:ascii="Arial" w:hAnsi="Arial" w:cs="Arial"/>
          <w:lang w:val="en-US"/>
        </w:rPr>
        <w:t xml:space="preserve"> for multi-group</w:t>
      </w:r>
      <w:r w:rsidRPr="0047369D">
        <w:rPr>
          <w:rFonts w:ascii="Arial" w:hAnsi="Arial" w:cs="Arial"/>
          <w:lang w:val="en-US"/>
        </w:rPr>
        <w:t xml:space="preserve"> data with unequal variance. This statistical approach was chosen to accommodate the diversity in the data from 30 random simulation trials.</w:t>
      </w:r>
    </w:p>
    <w:tbl>
      <w:tblPr>
        <w:tblStyle w:val="50"/>
        <w:tblpPr w:leftFromText="180" w:rightFromText="180" w:vertAnchor="text" w:horzAnchor="margin" w:tblpY="632"/>
        <w:tblW w:w="8495" w:type="dxa"/>
        <w:tblLook w:val="04A0" w:firstRow="1" w:lastRow="0" w:firstColumn="1" w:lastColumn="0" w:noHBand="0" w:noVBand="1"/>
      </w:tblPr>
      <w:tblGrid>
        <w:gridCol w:w="1167"/>
        <w:gridCol w:w="2286"/>
        <w:gridCol w:w="1886"/>
        <w:gridCol w:w="1623"/>
        <w:gridCol w:w="1533"/>
      </w:tblGrid>
      <w:tr w:rsidR="00025373" w:rsidRPr="0047369D" w14:paraId="58FD5936" w14:textId="77777777" w:rsidTr="00025373">
        <w:trPr>
          <w:cnfStyle w:val="100000000000" w:firstRow="1" w:lastRow="0" w:firstColumn="0" w:lastColumn="0" w:oddVBand="0" w:evenVBand="0" w:oddHBand="0" w:evenHBand="0" w:firstRowFirstColumn="0" w:firstRowLastColumn="0" w:lastRowFirstColumn="0" w:lastRowLastColumn="0"/>
          <w:trHeight w:val="324"/>
        </w:trPr>
        <w:tc>
          <w:tcPr>
            <w:cnfStyle w:val="001000000100" w:firstRow="0" w:lastRow="0" w:firstColumn="1" w:lastColumn="0" w:oddVBand="0" w:evenVBand="0" w:oddHBand="0" w:evenHBand="0" w:firstRowFirstColumn="1" w:firstRowLastColumn="0" w:lastRowFirstColumn="0" w:lastRowLastColumn="0"/>
            <w:tcW w:w="8495" w:type="dxa"/>
            <w:gridSpan w:val="5"/>
          </w:tcPr>
          <w:p w14:paraId="51738D37" w14:textId="0D238A9F" w:rsidR="00025373" w:rsidRPr="0047369D" w:rsidRDefault="00025373" w:rsidP="00025373">
            <w:pPr>
              <w:jc w:val="left"/>
              <w:rPr>
                <w:rFonts w:ascii="Arial" w:hAnsi="Arial" w:cs="Arial"/>
                <w:b/>
                <w:sz w:val="22"/>
                <w:lang w:val="en-US"/>
              </w:rPr>
            </w:pPr>
            <w:r w:rsidRPr="0047369D">
              <w:rPr>
                <w:rFonts w:ascii="Arial" w:hAnsi="Arial" w:cs="Arial"/>
                <w:b/>
                <w:sz w:val="22"/>
                <w:lang w:val="en-US"/>
              </w:rPr>
              <w:t>Table S1. Active properties of Fast Spiking Basket Cell (FSBC) Models</w:t>
            </w:r>
          </w:p>
        </w:tc>
      </w:tr>
      <w:tr w:rsidR="00025373" w:rsidRPr="0047369D" w14:paraId="5C689E0D" w14:textId="77777777" w:rsidTr="00025373">
        <w:trPr>
          <w:cnfStyle w:val="000000100000" w:firstRow="0" w:lastRow="0" w:firstColumn="0" w:lastColumn="0" w:oddVBand="0" w:evenVBand="0" w:oddHBand="1" w:evenHBand="0" w:firstRowFirstColumn="0" w:firstRowLastColumn="0" w:lastRowFirstColumn="0" w:lastRowLastColumn="0"/>
          <w:trHeight w:val="514"/>
        </w:trPr>
        <w:tc>
          <w:tcPr>
            <w:cnfStyle w:val="001000000000" w:firstRow="0" w:lastRow="0" w:firstColumn="1" w:lastColumn="0" w:oddVBand="0" w:evenVBand="0" w:oddHBand="0" w:evenHBand="0" w:firstRowFirstColumn="0" w:firstRowLastColumn="0" w:lastRowFirstColumn="0" w:lastRowLastColumn="0"/>
            <w:tcW w:w="0" w:type="auto"/>
          </w:tcPr>
          <w:p w14:paraId="0A544B7B" w14:textId="77777777" w:rsidR="00025373" w:rsidRPr="0047369D" w:rsidRDefault="00025373" w:rsidP="007D59DB">
            <w:pPr>
              <w:rPr>
                <w:rFonts w:ascii="Arial" w:hAnsi="Arial" w:cs="Arial"/>
                <w:i w:val="0"/>
                <w:sz w:val="22"/>
                <w:lang w:val="en-US"/>
              </w:rPr>
            </w:pPr>
            <w:r w:rsidRPr="0047369D">
              <w:rPr>
                <w:rFonts w:ascii="Arial" w:hAnsi="Arial" w:cs="Arial"/>
                <w:sz w:val="22"/>
                <w:lang w:val="en-US"/>
              </w:rPr>
              <w:t>Ion channel (S/cm</w:t>
            </w:r>
            <w:r w:rsidRPr="0047369D">
              <w:rPr>
                <w:rFonts w:ascii="Arial" w:hAnsi="Arial" w:cs="Arial"/>
                <w:sz w:val="22"/>
                <w:vertAlign w:val="superscript"/>
                <w:lang w:val="en-US"/>
              </w:rPr>
              <w:t>2</w:t>
            </w:r>
            <w:r w:rsidRPr="0047369D">
              <w:rPr>
                <w:rFonts w:ascii="Arial" w:hAnsi="Arial" w:cs="Arial"/>
                <w:sz w:val="22"/>
                <w:lang w:val="en-US"/>
              </w:rPr>
              <w:t>)</w:t>
            </w:r>
          </w:p>
        </w:tc>
        <w:tc>
          <w:tcPr>
            <w:tcW w:w="2286" w:type="dxa"/>
          </w:tcPr>
          <w:p w14:paraId="5EE05F82"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i/>
                <w:lang w:val="en-US"/>
              </w:rPr>
            </w:pPr>
            <w:r w:rsidRPr="0047369D">
              <w:rPr>
                <w:rFonts w:ascii="Arial" w:hAnsi="Arial" w:cs="Arial"/>
                <w:i/>
                <w:lang w:val="en-US"/>
              </w:rPr>
              <w:t>Soma</w:t>
            </w:r>
          </w:p>
        </w:tc>
        <w:tc>
          <w:tcPr>
            <w:tcW w:w="1886" w:type="dxa"/>
          </w:tcPr>
          <w:p w14:paraId="60BCF669"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i/>
                <w:lang w:val="en-US"/>
              </w:rPr>
            </w:pPr>
            <w:r w:rsidRPr="0047369D">
              <w:rPr>
                <w:rFonts w:ascii="Arial" w:hAnsi="Arial" w:cs="Arial"/>
                <w:i/>
                <w:lang w:val="en-US"/>
              </w:rPr>
              <w:t>Axon</w:t>
            </w:r>
          </w:p>
        </w:tc>
        <w:tc>
          <w:tcPr>
            <w:tcW w:w="1623" w:type="dxa"/>
          </w:tcPr>
          <w:p w14:paraId="4C460178"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i/>
                <w:lang w:val="en-US"/>
              </w:rPr>
            </w:pPr>
            <w:r w:rsidRPr="0047369D">
              <w:rPr>
                <w:rFonts w:ascii="Arial" w:hAnsi="Arial" w:cs="Arial"/>
                <w:i/>
                <w:lang w:val="en-US"/>
              </w:rPr>
              <w:t>Proximal dendrites</w:t>
            </w:r>
          </w:p>
        </w:tc>
        <w:tc>
          <w:tcPr>
            <w:tcW w:w="1533" w:type="dxa"/>
          </w:tcPr>
          <w:p w14:paraId="34B344F1"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i/>
                <w:lang w:val="en-US"/>
              </w:rPr>
            </w:pPr>
            <w:r w:rsidRPr="0047369D">
              <w:rPr>
                <w:rFonts w:ascii="Arial" w:hAnsi="Arial" w:cs="Arial"/>
                <w:i/>
                <w:lang w:val="en-US"/>
              </w:rPr>
              <w:t>Distal Dendrites</w:t>
            </w:r>
          </w:p>
        </w:tc>
      </w:tr>
      <w:tr w:rsidR="007E2124" w:rsidRPr="0047369D" w14:paraId="15E26429" w14:textId="77777777" w:rsidTr="00025373">
        <w:trPr>
          <w:trHeight w:val="243"/>
        </w:trPr>
        <w:tc>
          <w:tcPr>
            <w:cnfStyle w:val="001000000000" w:firstRow="0" w:lastRow="0" w:firstColumn="1" w:lastColumn="0" w:oddVBand="0" w:evenVBand="0" w:oddHBand="0" w:evenHBand="0" w:firstRowFirstColumn="0" w:firstRowLastColumn="0" w:lastRowFirstColumn="0" w:lastRowLastColumn="0"/>
            <w:tcW w:w="0" w:type="auto"/>
          </w:tcPr>
          <w:p w14:paraId="79D726C8" w14:textId="7095529B" w:rsidR="007E2124" w:rsidRPr="0047369D" w:rsidRDefault="007E2124" w:rsidP="007E2124">
            <w:pPr>
              <w:rPr>
                <w:rFonts w:ascii="Arial" w:hAnsi="Arial" w:cs="Arial"/>
                <w:sz w:val="22"/>
                <w:lang w:val="en-US"/>
              </w:rPr>
            </w:pPr>
            <w:r w:rsidRPr="0047369D">
              <w:rPr>
                <w:rFonts w:ascii="Arial" w:hAnsi="Arial" w:cs="Arial"/>
                <w:sz w:val="22"/>
                <w:lang w:val="en-US"/>
              </w:rPr>
              <w:t>Na</w:t>
            </w:r>
            <w:r w:rsidRPr="0047369D">
              <w:rPr>
                <w:rFonts w:ascii="Arial" w:hAnsi="Arial" w:cs="Arial"/>
                <w:sz w:val="22"/>
                <w:vertAlign w:val="subscript"/>
                <w:lang w:val="en-US"/>
              </w:rPr>
              <w:t>v</w:t>
            </w:r>
          </w:p>
        </w:tc>
        <w:tc>
          <w:tcPr>
            <w:tcW w:w="2286" w:type="dxa"/>
          </w:tcPr>
          <w:p w14:paraId="4DF7C5F5" w14:textId="2B8EFB4C" w:rsidR="007E2124" w:rsidRPr="0047369D" w:rsidRDefault="007E2124" w:rsidP="007E2124">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0.396</w:t>
            </w:r>
          </w:p>
        </w:tc>
        <w:tc>
          <w:tcPr>
            <w:tcW w:w="1886" w:type="dxa"/>
          </w:tcPr>
          <w:p w14:paraId="274B572C" w14:textId="77777777" w:rsidR="007E2124" w:rsidRPr="0047369D" w:rsidRDefault="007E2124" w:rsidP="007E2124">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1.296</w:t>
            </w:r>
          </w:p>
          <w:p w14:paraId="35723939" w14:textId="77777777" w:rsidR="007E2124" w:rsidRPr="0047369D" w:rsidRDefault="007E2124" w:rsidP="007E2124">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p>
        </w:tc>
        <w:tc>
          <w:tcPr>
            <w:tcW w:w="1623" w:type="dxa"/>
          </w:tcPr>
          <w:p w14:paraId="7A0A04CA" w14:textId="105BEE2E" w:rsidR="007E2124" w:rsidRPr="0047369D" w:rsidRDefault="007E2124" w:rsidP="007E2124">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0.018</w:t>
            </w:r>
          </w:p>
        </w:tc>
        <w:tc>
          <w:tcPr>
            <w:tcW w:w="1533" w:type="dxa"/>
          </w:tcPr>
          <w:p w14:paraId="6D66A55A" w14:textId="31CD2138" w:rsidR="007E2124" w:rsidRPr="0047369D" w:rsidRDefault="007E2124" w:rsidP="007E2124">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0.014</w:t>
            </w:r>
          </w:p>
        </w:tc>
      </w:tr>
      <w:tr w:rsidR="007E2124" w:rsidRPr="0047369D" w14:paraId="75E22A3D" w14:textId="77777777" w:rsidTr="00025373">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0" w:type="auto"/>
          </w:tcPr>
          <w:p w14:paraId="0616BA55" w14:textId="77777777" w:rsidR="00025373" w:rsidRPr="0047369D" w:rsidRDefault="00025373" w:rsidP="007D59DB">
            <w:pPr>
              <w:rPr>
                <w:rFonts w:ascii="Arial" w:hAnsi="Arial" w:cs="Arial"/>
                <w:sz w:val="22"/>
                <w:vertAlign w:val="subscript"/>
                <w:lang w:val="en-US"/>
              </w:rPr>
            </w:pPr>
            <w:r w:rsidRPr="0047369D">
              <w:rPr>
                <w:rFonts w:ascii="Arial" w:hAnsi="Arial" w:cs="Arial"/>
                <w:sz w:val="22"/>
                <w:lang w:val="en-US"/>
              </w:rPr>
              <w:t>H</w:t>
            </w:r>
            <w:r w:rsidRPr="0047369D">
              <w:rPr>
                <w:rFonts w:ascii="Arial" w:hAnsi="Arial" w:cs="Arial"/>
                <w:sz w:val="22"/>
                <w:vertAlign w:val="subscript"/>
                <w:lang w:val="en-US"/>
              </w:rPr>
              <w:t>v</w:t>
            </w:r>
          </w:p>
        </w:tc>
        <w:tc>
          <w:tcPr>
            <w:tcW w:w="2286" w:type="dxa"/>
          </w:tcPr>
          <w:p w14:paraId="30F71517"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0.00001</w:t>
            </w:r>
          </w:p>
        </w:tc>
        <w:tc>
          <w:tcPr>
            <w:tcW w:w="1886" w:type="dxa"/>
          </w:tcPr>
          <w:p w14:paraId="11F0CE67"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623" w:type="dxa"/>
          </w:tcPr>
          <w:p w14:paraId="5E2AFDFD"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533" w:type="dxa"/>
          </w:tcPr>
          <w:p w14:paraId="325EB212"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r>
      <w:tr w:rsidR="007E2124" w:rsidRPr="0047369D" w14:paraId="6D6E525F" w14:textId="77777777" w:rsidTr="00025373">
        <w:trPr>
          <w:trHeight w:val="514"/>
        </w:trPr>
        <w:tc>
          <w:tcPr>
            <w:cnfStyle w:val="001000000000" w:firstRow="0" w:lastRow="0" w:firstColumn="1" w:lastColumn="0" w:oddVBand="0" w:evenVBand="0" w:oddHBand="0" w:evenHBand="0" w:firstRowFirstColumn="0" w:firstRowLastColumn="0" w:lastRowFirstColumn="0" w:lastRowLastColumn="0"/>
            <w:tcW w:w="0" w:type="auto"/>
          </w:tcPr>
          <w:p w14:paraId="007B4DDD" w14:textId="77777777" w:rsidR="00025373" w:rsidRPr="0047369D" w:rsidRDefault="00025373" w:rsidP="007D59DB">
            <w:pPr>
              <w:rPr>
                <w:rFonts w:ascii="Arial" w:hAnsi="Arial" w:cs="Arial"/>
                <w:sz w:val="22"/>
                <w:lang w:val="en-US"/>
              </w:rPr>
            </w:pPr>
            <w:proofErr w:type="spellStart"/>
            <w:r w:rsidRPr="0047369D">
              <w:rPr>
                <w:rFonts w:ascii="Arial" w:hAnsi="Arial" w:cs="Arial"/>
                <w:sz w:val="22"/>
                <w:lang w:val="en-US"/>
              </w:rPr>
              <w:t>Kdr</w:t>
            </w:r>
            <w:r w:rsidRPr="0047369D">
              <w:rPr>
                <w:rFonts w:ascii="Arial" w:hAnsi="Arial" w:cs="Arial"/>
                <w:sz w:val="22"/>
                <w:vertAlign w:val="subscript"/>
                <w:lang w:val="en-US"/>
              </w:rPr>
              <w:t>v</w:t>
            </w:r>
            <w:proofErr w:type="spellEnd"/>
          </w:p>
        </w:tc>
        <w:tc>
          <w:tcPr>
            <w:tcW w:w="2286" w:type="dxa"/>
          </w:tcPr>
          <w:p w14:paraId="25BC52A6" w14:textId="2BEDED26"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0.0432</w:t>
            </w:r>
          </w:p>
        </w:tc>
        <w:tc>
          <w:tcPr>
            <w:tcW w:w="1886" w:type="dxa"/>
          </w:tcPr>
          <w:p w14:paraId="67A86E1C" w14:textId="61AF8E03"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 xml:space="preserve">0.144 </w:t>
            </w:r>
          </w:p>
        </w:tc>
        <w:tc>
          <w:tcPr>
            <w:tcW w:w="1623" w:type="dxa"/>
          </w:tcPr>
          <w:p w14:paraId="43950CE0"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0.0009</w:t>
            </w:r>
          </w:p>
        </w:tc>
        <w:tc>
          <w:tcPr>
            <w:tcW w:w="1533" w:type="dxa"/>
          </w:tcPr>
          <w:p w14:paraId="481BCC02"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0.009</w:t>
            </w:r>
          </w:p>
        </w:tc>
      </w:tr>
      <w:tr w:rsidR="007E2124" w:rsidRPr="0047369D" w14:paraId="0BC07050" w14:textId="77777777" w:rsidTr="00025373">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0" w:type="auto"/>
          </w:tcPr>
          <w:p w14:paraId="3C5B0B0F" w14:textId="77777777" w:rsidR="00025373" w:rsidRPr="0047369D" w:rsidRDefault="00025373" w:rsidP="007D59DB">
            <w:pPr>
              <w:rPr>
                <w:rFonts w:ascii="Arial" w:hAnsi="Arial" w:cs="Arial"/>
                <w:sz w:val="22"/>
                <w:lang w:val="en-US"/>
              </w:rPr>
            </w:pPr>
            <w:proofErr w:type="spellStart"/>
            <w:r w:rsidRPr="0047369D">
              <w:rPr>
                <w:rFonts w:ascii="Arial" w:hAnsi="Arial" w:cs="Arial"/>
                <w:sz w:val="22"/>
                <w:lang w:val="en-US"/>
              </w:rPr>
              <w:t>Kslow</w:t>
            </w:r>
            <w:r w:rsidRPr="0047369D">
              <w:rPr>
                <w:rFonts w:ascii="Arial" w:hAnsi="Arial" w:cs="Arial"/>
                <w:sz w:val="22"/>
                <w:vertAlign w:val="subscript"/>
                <w:lang w:val="en-US"/>
              </w:rPr>
              <w:t>v</w:t>
            </w:r>
            <w:proofErr w:type="spellEnd"/>
          </w:p>
        </w:tc>
        <w:tc>
          <w:tcPr>
            <w:tcW w:w="2286" w:type="dxa"/>
          </w:tcPr>
          <w:p w14:paraId="0BC424BB"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0.000725</w:t>
            </w:r>
          </w:p>
        </w:tc>
        <w:tc>
          <w:tcPr>
            <w:tcW w:w="1886" w:type="dxa"/>
          </w:tcPr>
          <w:p w14:paraId="7EC1CB15"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623" w:type="dxa"/>
          </w:tcPr>
          <w:p w14:paraId="6B98EAD3"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533" w:type="dxa"/>
          </w:tcPr>
          <w:p w14:paraId="647586C7"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r>
      <w:tr w:rsidR="007E2124" w:rsidRPr="0047369D" w14:paraId="48125D61" w14:textId="77777777" w:rsidTr="00025373">
        <w:trPr>
          <w:trHeight w:val="257"/>
        </w:trPr>
        <w:tc>
          <w:tcPr>
            <w:cnfStyle w:val="001000000000" w:firstRow="0" w:lastRow="0" w:firstColumn="1" w:lastColumn="0" w:oddVBand="0" w:evenVBand="0" w:oddHBand="0" w:evenHBand="0" w:firstRowFirstColumn="0" w:firstRowLastColumn="0" w:lastRowFirstColumn="0" w:lastRowLastColumn="0"/>
            <w:tcW w:w="0" w:type="auto"/>
          </w:tcPr>
          <w:p w14:paraId="70A175BE" w14:textId="77777777" w:rsidR="00025373" w:rsidRPr="0047369D" w:rsidRDefault="00025373" w:rsidP="007D59DB">
            <w:pPr>
              <w:rPr>
                <w:rFonts w:ascii="Arial" w:hAnsi="Arial" w:cs="Arial"/>
                <w:sz w:val="22"/>
                <w:vertAlign w:val="subscript"/>
                <w:lang w:val="en-US"/>
              </w:rPr>
            </w:pPr>
            <w:proofErr w:type="spellStart"/>
            <w:r w:rsidRPr="0047369D">
              <w:rPr>
                <w:rFonts w:ascii="Arial" w:hAnsi="Arial" w:cs="Arial"/>
                <w:sz w:val="22"/>
                <w:lang w:val="en-US"/>
              </w:rPr>
              <w:t>Kct</w:t>
            </w:r>
            <w:r w:rsidRPr="0047369D">
              <w:rPr>
                <w:rFonts w:ascii="Arial" w:hAnsi="Arial" w:cs="Arial"/>
                <w:sz w:val="22"/>
                <w:vertAlign w:val="subscript"/>
                <w:lang w:val="en-US"/>
              </w:rPr>
              <w:t>v</w:t>
            </w:r>
            <w:proofErr w:type="spellEnd"/>
          </w:p>
        </w:tc>
        <w:tc>
          <w:tcPr>
            <w:tcW w:w="2286" w:type="dxa"/>
          </w:tcPr>
          <w:p w14:paraId="7D2EDB34"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0.0001</w:t>
            </w:r>
          </w:p>
        </w:tc>
        <w:tc>
          <w:tcPr>
            <w:tcW w:w="1886" w:type="dxa"/>
          </w:tcPr>
          <w:p w14:paraId="099C4A5D"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623" w:type="dxa"/>
          </w:tcPr>
          <w:p w14:paraId="4BDD77A0"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533" w:type="dxa"/>
          </w:tcPr>
          <w:p w14:paraId="0A43048D"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X</w:t>
            </w:r>
          </w:p>
        </w:tc>
      </w:tr>
      <w:tr w:rsidR="007E2124" w:rsidRPr="0047369D" w14:paraId="2C0BBC5C" w14:textId="77777777" w:rsidTr="0002537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0" w:type="auto"/>
          </w:tcPr>
          <w:p w14:paraId="03952902" w14:textId="77777777" w:rsidR="00025373" w:rsidRPr="0047369D" w:rsidRDefault="00025373" w:rsidP="007D59DB">
            <w:pPr>
              <w:rPr>
                <w:rFonts w:ascii="Arial" w:hAnsi="Arial" w:cs="Arial"/>
                <w:sz w:val="22"/>
                <w:vertAlign w:val="subscript"/>
                <w:lang w:val="en-US"/>
              </w:rPr>
            </w:pPr>
            <w:proofErr w:type="spellStart"/>
            <w:r w:rsidRPr="0047369D">
              <w:rPr>
                <w:rFonts w:ascii="Arial" w:hAnsi="Arial" w:cs="Arial"/>
                <w:sz w:val="22"/>
                <w:lang w:val="en-US"/>
              </w:rPr>
              <w:t>Kca</w:t>
            </w:r>
            <w:r w:rsidRPr="0047369D">
              <w:rPr>
                <w:rFonts w:ascii="Arial" w:hAnsi="Arial" w:cs="Arial"/>
                <w:sz w:val="22"/>
                <w:vertAlign w:val="subscript"/>
                <w:lang w:val="en-US"/>
              </w:rPr>
              <w:t>v</w:t>
            </w:r>
            <w:proofErr w:type="spellEnd"/>
          </w:p>
        </w:tc>
        <w:tc>
          <w:tcPr>
            <w:tcW w:w="2286" w:type="dxa"/>
          </w:tcPr>
          <w:p w14:paraId="0C52F23E"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0.02</w:t>
            </w:r>
          </w:p>
        </w:tc>
        <w:tc>
          <w:tcPr>
            <w:tcW w:w="1886" w:type="dxa"/>
          </w:tcPr>
          <w:p w14:paraId="6523F70F"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623" w:type="dxa"/>
          </w:tcPr>
          <w:p w14:paraId="2FC9DFAE"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533" w:type="dxa"/>
          </w:tcPr>
          <w:p w14:paraId="6E96D8E5"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r>
      <w:tr w:rsidR="007E2124" w:rsidRPr="0047369D" w14:paraId="4A606B24" w14:textId="77777777" w:rsidTr="00025373">
        <w:trPr>
          <w:trHeight w:val="446"/>
        </w:trPr>
        <w:tc>
          <w:tcPr>
            <w:cnfStyle w:val="001000000000" w:firstRow="0" w:lastRow="0" w:firstColumn="1" w:lastColumn="0" w:oddVBand="0" w:evenVBand="0" w:oddHBand="0" w:evenHBand="0" w:firstRowFirstColumn="0" w:firstRowLastColumn="0" w:lastRowFirstColumn="0" w:lastRowLastColumn="0"/>
            <w:tcW w:w="0" w:type="auto"/>
          </w:tcPr>
          <w:p w14:paraId="5945CFF1" w14:textId="145B9AE1" w:rsidR="00025373" w:rsidRPr="0047369D" w:rsidRDefault="00025373" w:rsidP="007D59DB">
            <w:pPr>
              <w:rPr>
                <w:rFonts w:ascii="Arial" w:hAnsi="Arial" w:cs="Arial"/>
                <w:sz w:val="22"/>
                <w:vertAlign w:val="subscript"/>
                <w:lang w:val="en-US"/>
              </w:rPr>
            </w:pPr>
            <w:r w:rsidRPr="0047369D">
              <w:rPr>
                <w:rFonts w:ascii="Arial" w:hAnsi="Arial" w:cs="Arial"/>
                <w:sz w:val="22"/>
                <w:lang w:val="en-US"/>
              </w:rPr>
              <w:t>Ka</w:t>
            </w:r>
            <w:r w:rsidRPr="0047369D">
              <w:rPr>
                <w:rFonts w:ascii="Arial" w:hAnsi="Arial" w:cs="Arial"/>
                <w:sz w:val="22"/>
                <w:vertAlign w:val="subscript"/>
                <w:lang w:val="en-US"/>
              </w:rPr>
              <w:t xml:space="preserve">v </w:t>
            </w:r>
            <w:r w:rsidRPr="0047369D">
              <w:rPr>
                <w:rFonts w:ascii="Arial" w:hAnsi="Arial" w:cs="Arial"/>
                <w:sz w:val="22"/>
                <w:lang w:val="en-US"/>
              </w:rPr>
              <w:t xml:space="preserve">(proximal type) </w:t>
            </w:r>
            <w:r w:rsidRPr="0047369D">
              <w:rPr>
                <w:rFonts w:ascii="Arial" w:hAnsi="Arial" w:cs="Arial"/>
              </w:rPr>
              <w:fldChar w:fldCharType="begin" w:fldLock="1"/>
            </w:r>
            <w:r w:rsidR="0004734A" w:rsidRPr="0047369D">
              <w:rPr>
                <w:rFonts w:ascii="Arial" w:hAnsi="Arial" w:cs="Arial"/>
                <w:sz w:val="22"/>
                <w:lang w:val="en-US"/>
              </w:rPr>
              <w:instrText>ADDIN CSL_CITATION {"citationItems":[{"id":"ITEM-1","itemData":{"DOI":"10.1113/jphysiol.2003.042598","ISBN":"0022-3751 (Print)","ISSN":"0022-3751","PMID":"12844507","abstract":"In this second study, we have combined two-photon calcium imaging with whole-cell recording and anatomic reconstructions to directly characterize synaptically evoked calcium signals in three types of mouse V1 supragranular interneurones: parvalbumin-positive fast spikers (FS), calretinin-positive irregular spikers (IS), and adapting cells (AD). We observed that subthreshold synaptic activation evoked calcium signals locally restricted to individual dendritic compartments. These signals were mediated by NMDA receptors (NMDARs) in AD and IS cells, whereas in FS cells, calcium-permeable AMPA receptors (CP-AMPARs) provided an additional and kinetically distinct influx. Furthermore, even a single, subthreshold synaptic activation evoked a larger dendritic calcium influx than backpropagating action potentials. Our results demonstrate that NMDARs dominate subthreshold calcium dynamics in interneurones and reveal the functional contribution of CP-AMPARs to a specific subclass of cortical interneurone. These data highlight different strategies in dendritic signal processing by distinct classes of interneurones.","author":[{"dropping-particle":"","family":"Goldberg","given":"Jesse H","non-dropping-particle":"","parse-names":false,"suffix":""},{"dropping-particle":"","family":"Yuste","given":"Rafael","non-dropping-particle":"","parse-names":false,"suffix":""},{"dropping-particle":"","family":"Tamas","given":"Gabor","non-dropping-particle":"","parse-names":false,"suffix":""}],"container-title":"The Journal of physiology","id":"ITEM-1","issue":"Pt 1","issued":{"date-parts":[["2003"]]},"page":"67-78","title":"Ca2+ imaging of mouse neocortical interneurone dendrites: contribution of Ca2+-permeable AMPA and NMDA receptors to subthreshold Ca2+dynamics.","type":"article-journal","volume":"551"},"uris":["http://www.mendeley.com/documents/?uuid=ce4823c1-6de7-482d-a293-b72946574b3f"]}],"mendeley":{"formattedCitation":"&lt;sup&gt;7&lt;/sup&gt;","plainTextFormattedCitation":"7","previouslyFormattedCitation":"&lt;sup&gt;7&lt;/sup&gt;"},"properties":{"noteIndex":0},"schema":"https://github.com/citation-style-language/schema/raw/master/csl-citation.json"}</w:instrText>
            </w:r>
            <w:r w:rsidRPr="0047369D">
              <w:rPr>
                <w:rFonts w:ascii="Arial" w:hAnsi="Arial" w:cs="Arial"/>
              </w:rPr>
              <w:fldChar w:fldCharType="separate"/>
            </w:r>
            <w:r w:rsidR="00361B6C" w:rsidRPr="0047369D">
              <w:rPr>
                <w:rFonts w:ascii="Arial" w:hAnsi="Arial" w:cs="Arial"/>
                <w:i w:val="0"/>
                <w:noProof/>
                <w:sz w:val="22"/>
                <w:vertAlign w:val="superscript"/>
                <w:lang w:val="en-US"/>
              </w:rPr>
              <w:t>7</w:t>
            </w:r>
            <w:r w:rsidRPr="0047369D">
              <w:rPr>
                <w:rFonts w:ascii="Arial" w:hAnsi="Arial" w:cs="Arial"/>
              </w:rPr>
              <w:fldChar w:fldCharType="end"/>
            </w:r>
          </w:p>
        </w:tc>
        <w:tc>
          <w:tcPr>
            <w:tcW w:w="2286" w:type="dxa"/>
          </w:tcPr>
          <w:p w14:paraId="66472511"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0.0032</w:t>
            </w:r>
          </w:p>
        </w:tc>
        <w:tc>
          <w:tcPr>
            <w:tcW w:w="1886" w:type="dxa"/>
          </w:tcPr>
          <w:p w14:paraId="5265F92E"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623" w:type="dxa"/>
          </w:tcPr>
          <w:p w14:paraId="2D154B27"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0.001</w:t>
            </w:r>
          </w:p>
        </w:tc>
        <w:tc>
          <w:tcPr>
            <w:tcW w:w="1533" w:type="dxa"/>
          </w:tcPr>
          <w:p w14:paraId="24F0F129"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0.0009</w:t>
            </w:r>
          </w:p>
        </w:tc>
      </w:tr>
      <w:tr w:rsidR="007E2124" w:rsidRPr="0047369D" w14:paraId="2BCB8AD3" w14:textId="77777777" w:rsidTr="00025373">
        <w:trPr>
          <w:cnfStyle w:val="000000100000" w:firstRow="0" w:lastRow="0" w:firstColumn="0" w:lastColumn="0" w:oddVBand="0" w:evenVBand="0" w:oddHBand="1"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0" w:type="auto"/>
          </w:tcPr>
          <w:p w14:paraId="6FFB1539" w14:textId="3A5A461B" w:rsidR="00025373" w:rsidRPr="0047369D" w:rsidRDefault="00025373" w:rsidP="007D59DB">
            <w:pPr>
              <w:rPr>
                <w:rFonts w:ascii="Arial" w:hAnsi="Arial" w:cs="Arial"/>
                <w:sz w:val="22"/>
                <w:lang w:val="en-US"/>
              </w:rPr>
            </w:pPr>
            <w:r w:rsidRPr="0047369D">
              <w:rPr>
                <w:rFonts w:ascii="Arial" w:hAnsi="Arial" w:cs="Arial"/>
                <w:sz w:val="22"/>
                <w:lang w:val="en-US"/>
              </w:rPr>
              <w:t>Ka</w:t>
            </w:r>
            <w:r w:rsidRPr="0047369D">
              <w:rPr>
                <w:rFonts w:ascii="Arial" w:hAnsi="Arial" w:cs="Arial"/>
                <w:sz w:val="22"/>
                <w:vertAlign w:val="subscript"/>
                <w:lang w:val="en-US"/>
              </w:rPr>
              <w:t>v</w:t>
            </w:r>
            <w:r w:rsidRPr="0047369D">
              <w:rPr>
                <w:rFonts w:ascii="Arial" w:hAnsi="Arial" w:cs="Arial"/>
                <w:sz w:val="22"/>
                <w:lang w:val="en-US"/>
              </w:rPr>
              <w:t xml:space="preserve"> (distal type) </w:t>
            </w:r>
            <w:r w:rsidRPr="0047369D">
              <w:rPr>
                <w:rFonts w:ascii="Arial" w:hAnsi="Arial" w:cs="Arial"/>
              </w:rPr>
              <w:fldChar w:fldCharType="begin" w:fldLock="1"/>
            </w:r>
            <w:r w:rsidR="0004734A" w:rsidRPr="0047369D">
              <w:rPr>
                <w:rFonts w:ascii="Arial" w:hAnsi="Arial" w:cs="Arial"/>
                <w:sz w:val="22"/>
                <w:lang w:val="en-US"/>
              </w:rPr>
              <w:instrText>ADDIN CSL_CITATION {"citationItems":[{"id":"ITEM-1","itemData":{"DOI":"10.1016/j.tins.2005.01.005","ISBN":"0166-2236 (Print)","ISSN":"01662236","PMID":"15749170","abstract":"Dendrites of pyramidal neurons are complex, electrically active structures that can produce local and global Ca2+ compartments. Recent studies indicate that dendrites of cortical GABAergic interneurons are also highly specialized, and that different subtypes vary in their morphology, in their intrinsic and synaptic conductances and in the Ca2+ signals they generate. Because interneurons play a major role in oscillations, understanding their dendrites could offer key insights into rhythmogenesis. Different interneuron subtypes have different synaptic integration properties and generate differentially timed inhibition at distinct sites of the pyramidal neuraxis. In addition, interneuron dendrites generate diverse Ca2+ signals that reflect this circuit function and probably also implement subclass-specific plasticity and homeostasis. ?? 2005 Elsevier Ltd. All rights reserved.","author":[{"dropping-particle":"","family":"Goldberg","given":"Jesse H.","non-dropping-particle":"","parse-names":false,"suffix":""},{"dropping-particle":"","family":"Yuste","given":"Rafael","non-dropping-particle":"","parse-names":false,"suffix":""}],"container-title":"Trends in Neurosciences","id":"ITEM-1","issue":"3","issued":{"date-parts":[["2005"]]},"page":"158-167","title":"Space matters: Local and global dendritic Ca2+ compartmentalization in cortical interneurons","type":"article-journal","volume":"28"},"uris":["http://www.mendeley.com/documents/?uuid=143a9270-a640-4b63-ac9c-836ac2881904","http://www.mendeley.com/documents/?uuid=42394235-285c-496a-ac2e-3f98ebe705e4","http://www.mendeley.com/documents/?uuid=d86da8f1-6f22-4c0e-9b65-6d9944dd0ba8"]}],"mendeley":{"formattedCitation":"&lt;sup&gt;8&lt;/sup&gt;","plainTextFormattedCitation":"8","previouslyFormattedCitation":"&lt;sup&gt;8&lt;/sup&gt;"},"properties":{"noteIndex":0},"schema":"https://github.com/citation-style-language/schema/raw/master/csl-citation.json"}</w:instrText>
            </w:r>
            <w:r w:rsidRPr="0047369D">
              <w:rPr>
                <w:rFonts w:ascii="Arial" w:hAnsi="Arial" w:cs="Arial"/>
              </w:rPr>
              <w:fldChar w:fldCharType="separate"/>
            </w:r>
            <w:r w:rsidR="00361B6C" w:rsidRPr="0047369D">
              <w:rPr>
                <w:rFonts w:ascii="Arial" w:hAnsi="Arial" w:cs="Arial"/>
                <w:i w:val="0"/>
                <w:noProof/>
                <w:sz w:val="22"/>
                <w:vertAlign w:val="superscript"/>
                <w:lang w:val="en-US"/>
              </w:rPr>
              <w:t>8</w:t>
            </w:r>
            <w:r w:rsidRPr="0047369D">
              <w:rPr>
                <w:rFonts w:ascii="Arial" w:hAnsi="Arial" w:cs="Arial"/>
              </w:rPr>
              <w:fldChar w:fldCharType="end"/>
            </w:r>
          </w:p>
        </w:tc>
        <w:tc>
          <w:tcPr>
            <w:tcW w:w="2286" w:type="dxa"/>
          </w:tcPr>
          <w:p w14:paraId="0E6A210C"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886" w:type="dxa"/>
          </w:tcPr>
          <w:p w14:paraId="18828E39"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623" w:type="dxa"/>
          </w:tcPr>
          <w:p w14:paraId="6396D169"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533" w:type="dxa"/>
          </w:tcPr>
          <w:p w14:paraId="2BEC8588"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0.00216</w:t>
            </w:r>
          </w:p>
        </w:tc>
      </w:tr>
      <w:tr w:rsidR="007E2124" w:rsidRPr="0047369D" w14:paraId="42D7A777" w14:textId="77777777" w:rsidTr="00025373">
        <w:trPr>
          <w:trHeight w:val="257"/>
        </w:trPr>
        <w:tc>
          <w:tcPr>
            <w:cnfStyle w:val="001000000000" w:firstRow="0" w:lastRow="0" w:firstColumn="1" w:lastColumn="0" w:oddVBand="0" w:evenVBand="0" w:oddHBand="0" w:evenHBand="0" w:firstRowFirstColumn="0" w:firstRowLastColumn="0" w:lastRowFirstColumn="0" w:lastRowLastColumn="0"/>
            <w:tcW w:w="0" w:type="auto"/>
          </w:tcPr>
          <w:p w14:paraId="3A998104" w14:textId="77777777" w:rsidR="00025373" w:rsidRPr="0047369D" w:rsidRDefault="00025373" w:rsidP="007D59DB">
            <w:pPr>
              <w:rPr>
                <w:rFonts w:ascii="Arial" w:hAnsi="Arial" w:cs="Arial"/>
                <w:sz w:val="22"/>
                <w:vertAlign w:val="subscript"/>
                <w:lang w:val="en-US"/>
              </w:rPr>
            </w:pPr>
            <w:r w:rsidRPr="0047369D">
              <w:rPr>
                <w:rFonts w:ascii="Arial" w:hAnsi="Arial" w:cs="Arial"/>
                <w:sz w:val="22"/>
                <w:lang w:val="en-US"/>
              </w:rPr>
              <w:t>Cal</w:t>
            </w:r>
            <w:r w:rsidRPr="0047369D">
              <w:rPr>
                <w:rFonts w:ascii="Arial" w:hAnsi="Arial" w:cs="Arial"/>
                <w:sz w:val="22"/>
                <w:vertAlign w:val="subscript"/>
                <w:lang w:val="en-US"/>
              </w:rPr>
              <w:t>v</w:t>
            </w:r>
          </w:p>
        </w:tc>
        <w:tc>
          <w:tcPr>
            <w:tcW w:w="2286" w:type="dxa"/>
          </w:tcPr>
          <w:p w14:paraId="2DF7516B"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886" w:type="dxa"/>
          </w:tcPr>
          <w:p w14:paraId="03FB3CFB"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623" w:type="dxa"/>
          </w:tcPr>
          <w:p w14:paraId="585F2B1F"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0.00003</w:t>
            </w:r>
          </w:p>
        </w:tc>
        <w:tc>
          <w:tcPr>
            <w:tcW w:w="1533" w:type="dxa"/>
          </w:tcPr>
          <w:p w14:paraId="5606181B"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0.00003</w:t>
            </w:r>
          </w:p>
        </w:tc>
      </w:tr>
      <w:tr w:rsidR="007E2124" w:rsidRPr="0047369D" w14:paraId="0DDA6183" w14:textId="77777777" w:rsidTr="0002537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0" w:type="auto"/>
          </w:tcPr>
          <w:p w14:paraId="66404A08" w14:textId="77777777" w:rsidR="00025373" w:rsidRPr="0047369D" w:rsidRDefault="00025373" w:rsidP="007D59DB">
            <w:pPr>
              <w:rPr>
                <w:rFonts w:ascii="Arial" w:hAnsi="Arial" w:cs="Arial"/>
                <w:sz w:val="22"/>
                <w:lang w:val="en-US"/>
              </w:rPr>
            </w:pPr>
            <w:proofErr w:type="spellStart"/>
            <w:r w:rsidRPr="0047369D">
              <w:rPr>
                <w:rFonts w:ascii="Arial" w:hAnsi="Arial" w:cs="Arial"/>
                <w:sz w:val="22"/>
                <w:lang w:val="en-US"/>
              </w:rPr>
              <w:t>Can</w:t>
            </w:r>
            <w:r w:rsidRPr="0047369D">
              <w:rPr>
                <w:rFonts w:ascii="Arial" w:hAnsi="Arial" w:cs="Arial"/>
                <w:sz w:val="22"/>
                <w:vertAlign w:val="subscript"/>
                <w:lang w:val="en-US"/>
              </w:rPr>
              <w:t>v</w:t>
            </w:r>
            <w:proofErr w:type="spellEnd"/>
          </w:p>
        </w:tc>
        <w:tc>
          <w:tcPr>
            <w:tcW w:w="2286" w:type="dxa"/>
          </w:tcPr>
          <w:p w14:paraId="4B6511E3"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886" w:type="dxa"/>
          </w:tcPr>
          <w:p w14:paraId="7F6C0A67"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623" w:type="dxa"/>
          </w:tcPr>
          <w:p w14:paraId="6ED8028F"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0.00003</w:t>
            </w:r>
          </w:p>
        </w:tc>
        <w:tc>
          <w:tcPr>
            <w:tcW w:w="1533" w:type="dxa"/>
          </w:tcPr>
          <w:p w14:paraId="6FE70C93"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0.00003</w:t>
            </w:r>
          </w:p>
        </w:tc>
      </w:tr>
      <w:tr w:rsidR="007E2124" w:rsidRPr="0047369D" w14:paraId="0CBCF0F8" w14:textId="77777777" w:rsidTr="00025373">
        <w:trPr>
          <w:trHeight w:val="243"/>
        </w:trPr>
        <w:tc>
          <w:tcPr>
            <w:cnfStyle w:val="001000000000" w:firstRow="0" w:lastRow="0" w:firstColumn="1" w:lastColumn="0" w:oddVBand="0" w:evenVBand="0" w:oddHBand="0" w:evenHBand="0" w:firstRowFirstColumn="0" w:firstRowLastColumn="0" w:lastRowFirstColumn="0" w:lastRowLastColumn="0"/>
            <w:tcW w:w="0" w:type="auto"/>
          </w:tcPr>
          <w:p w14:paraId="0DDB86AE" w14:textId="77777777" w:rsidR="00025373" w:rsidRPr="0047369D" w:rsidRDefault="00025373" w:rsidP="007D59DB">
            <w:pPr>
              <w:rPr>
                <w:rFonts w:ascii="Arial" w:hAnsi="Arial" w:cs="Arial"/>
                <w:sz w:val="22"/>
                <w:vertAlign w:val="subscript"/>
                <w:lang w:val="en-US"/>
              </w:rPr>
            </w:pPr>
            <w:proofErr w:type="spellStart"/>
            <w:r w:rsidRPr="0047369D">
              <w:rPr>
                <w:rFonts w:ascii="Arial" w:hAnsi="Arial" w:cs="Arial"/>
                <w:sz w:val="22"/>
                <w:lang w:val="en-US"/>
              </w:rPr>
              <w:t>Cat</w:t>
            </w:r>
            <w:r w:rsidRPr="0047369D">
              <w:rPr>
                <w:rFonts w:ascii="Arial" w:hAnsi="Arial" w:cs="Arial"/>
                <w:sz w:val="22"/>
                <w:vertAlign w:val="subscript"/>
                <w:lang w:val="en-US"/>
              </w:rPr>
              <w:t>v</w:t>
            </w:r>
            <w:proofErr w:type="spellEnd"/>
          </w:p>
        </w:tc>
        <w:tc>
          <w:tcPr>
            <w:tcW w:w="2286" w:type="dxa"/>
          </w:tcPr>
          <w:p w14:paraId="39CA7B81"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886" w:type="dxa"/>
          </w:tcPr>
          <w:p w14:paraId="27F0E9D8"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X</w:t>
            </w:r>
          </w:p>
        </w:tc>
        <w:tc>
          <w:tcPr>
            <w:tcW w:w="1623" w:type="dxa"/>
          </w:tcPr>
          <w:p w14:paraId="6047BF1C"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0.0002</w:t>
            </w:r>
          </w:p>
        </w:tc>
        <w:tc>
          <w:tcPr>
            <w:tcW w:w="1533" w:type="dxa"/>
          </w:tcPr>
          <w:p w14:paraId="3B7B857D"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0.0002</w:t>
            </w:r>
          </w:p>
        </w:tc>
      </w:tr>
      <w:tr w:rsidR="007E2124" w:rsidRPr="0047369D" w14:paraId="3377447A" w14:textId="77777777" w:rsidTr="00025373">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0" w:type="auto"/>
          </w:tcPr>
          <w:p w14:paraId="4775046E" w14:textId="77777777" w:rsidR="00025373" w:rsidRPr="0047369D" w:rsidRDefault="00025373" w:rsidP="007D59DB">
            <w:pPr>
              <w:rPr>
                <w:rFonts w:ascii="Arial" w:hAnsi="Arial" w:cs="Arial"/>
                <w:sz w:val="22"/>
                <w:lang w:val="en-US"/>
              </w:rPr>
            </w:pPr>
            <w:r w:rsidRPr="0047369D">
              <w:rPr>
                <w:rFonts w:ascii="Arial" w:hAnsi="Arial" w:cs="Arial"/>
                <w:sz w:val="22"/>
                <w:lang w:val="en-US"/>
              </w:rPr>
              <w:t>Calcium buffering dynamics</w:t>
            </w:r>
          </w:p>
        </w:tc>
        <w:tc>
          <w:tcPr>
            <w:tcW w:w="2286" w:type="dxa"/>
          </w:tcPr>
          <w:p w14:paraId="6F37BB7C"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Yes</w:t>
            </w:r>
          </w:p>
        </w:tc>
        <w:tc>
          <w:tcPr>
            <w:tcW w:w="1886" w:type="dxa"/>
          </w:tcPr>
          <w:p w14:paraId="482087D8"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No</w:t>
            </w:r>
          </w:p>
        </w:tc>
        <w:tc>
          <w:tcPr>
            <w:tcW w:w="1623" w:type="dxa"/>
          </w:tcPr>
          <w:p w14:paraId="230856CB"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Yes</w:t>
            </w:r>
          </w:p>
        </w:tc>
        <w:tc>
          <w:tcPr>
            <w:tcW w:w="1533" w:type="dxa"/>
          </w:tcPr>
          <w:p w14:paraId="11F65DC0"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Yes</w:t>
            </w:r>
          </w:p>
        </w:tc>
      </w:tr>
    </w:tbl>
    <w:p w14:paraId="36F62FE0" w14:textId="77777777" w:rsidR="006A1468" w:rsidRPr="0047369D" w:rsidRDefault="006A1468" w:rsidP="00FD4609">
      <w:pPr>
        <w:jc w:val="both"/>
        <w:rPr>
          <w:rFonts w:ascii="Arial" w:hAnsi="Arial" w:cs="Arial"/>
          <w:lang w:val="en-US"/>
        </w:rPr>
      </w:pPr>
    </w:p>
    <w:p w14:paraId="28C508C4" w14:textId="64F9070B" w:rsidR="00D443CF" w:rsidRPr="0047369D" w:rsidRDefault="00755E83" w:rsidP="00FD4609">
      <w:pPr>
        <w:jc w:val="both"/>
        <w:rPr>
          <w:rFonts w:ascii="Arial" w:hAnsi="Arial" w:cs="Arial"/>
          <w:i/>
          <w:iCs/>
          <w:lang w:val="en-US"/>
        </w:rPr>
      </w:pPr>
      <w:r w:rsidRPr="0047369D">
        <w:rPr>
          <w:rFonts w:ascii="Arial" w:hAnsi="Arial" w:cs="Arial"/>
          <w:lang w:val="en-US"/>
        </w:rPr>
        <w:t>*</w:t>
      </w:r>
      <w:r w:rsidRPr="0047369D">
        <w:rPr>
          <w:rFonts w:ascii="Arial" w:hAnsi="Arial" w:cs="Arial"/>
          <w:i/>
          <w:iCs/>
          <w:lang w:val="en-US"/>
        </w:rPr>
        <w:t xml:space="preserve">values as per </w:t>
      </w:r>
      <w:r w:rsidRPr="0047369D">
        <w:rPr>
          <w:rFonts w:ascii="Arial" w:hAnsi="Arial" w:cs="Arial"/>
          <w:i/>
          <w:iCs/>
          <w:lang w:val="en-US"/>
        </w:rPr>
        <w:fldChar w:fldCharType="begin" w:fldLock="1"/>
      </w:r>
      <w:r w:rsidR="0004734A" w:rsidRPr="0047369D">
        <w:rPr>
          <w:rFonts w:ascii="Arial" w:hAnsi="Arial" w:cs="Arial"/>
          <w:i/>
          <w:iCs/>
          <w:lang w:val="en-US"/>
        </w:rPr>
        <w:instrText>ADDIN CSL_CITATION {"citationItems":[{"id":"ITEM-1","itemData":{"DOI":"10.1038/s41467-019-11537-7","ISSN":"2041-1723","abstract":"Interneurons are critical for the proper functioning of neural circuits. While often morphologically complex, their dendrites have been ignored for decades, treating them as linear point neurons. Exciting new findings reveal complex, non-linear dendritic computations that call for a new theory of interneuron arithmetic. Using detailed biophysical models, we predict that dendrites of FS basket cells in both hippocampus and prefrontal cortex come in two flavors: supralinear, supporting local sodium spikes within large-volume branches and sublinear, in small-volume branches. Synaptic activation of varying sets of these dendrites leads to somatic firing variability that cannot be fully explained by the point neuron reduction. Instead, a 2-stage artificial neural network (ANN), with sub- and supralinear hidden nodes, captures most of the variance. Reduced neuronal circuit modeling suggest that this bi-modal, 2-stage integration in FS basket cells confers substantial resource savings in memory encoding as well as the linking of memories across time.","author":[{"dropping-particle":"","family":"Tzilivaki","given":"Alexandra","non-dropping-particle":"","parse-names":false,"suffix":""},{"dropping-particle":"","family":"Kastellakis","given":"George","non-dropping-particle":"","parse-names":false,"suffix":""},{"dropping-particle":"","family":"Poirazi","given":"Panayiota","non-dropping-particle":"","parse-names":false,"suffix":""}],"container-title":"Nature Communications","id":"ITEM-1","issue":"1","issued":{"date-parts":[["2019","8","14"]]},"page":"3664","title":"Challenging the point neuron dogma: FS basket cells as 2-stage nonlinear integrators","type":"article-journal","volume":"10"},"uris":["http://www.mendeley.com/documents/?uuid=20787a3d-65a7-4cb7-b292-748e9b409361"]},{"id":"ITEM-2","itemData":{"DOI":"10.1113/jphysiol.2003.042598","ISBN":"0022-3751 (Print)","ISSN":"0022-3751","PMID":"12844507","abstract":"In this second study, we have combined two-photon calcium imaging with whole-cell recording and anatomic reconstructions to directly characterize synaptically evoked calcium signals in three types of mouse V1 supragranular interneurones: parvalbumin-positive fast spikers (FS), calretinin-positive irregular spikers (IS), and adapting cells (AD). We observed that subthreshold synaptic activation evoked calcium signals locally restricted to individual dendritic compartments. These signals were mediated by NMDA receptors (NMDARs) in AD and IS cells, whereas in FS cells, calcium-permeable AMPA receptors (CP-AMPARs) provided an additional and kinetically distinct influx. Furthermore, even a single, subthreshold synaptic activation evoked a larger dendritic calcium influx than backpropagating action potentials. Our results demonstrate that NMDARs dominate subthreshold calcium dynamics in interneurones and reveal the functional contribution of CP-AMPARs to a specific subclass of cortical interneurone. These data highlight different strategies in dendritic signal processing by distinct classes of interneurones.","author":[{"dropping-particle":"","family":"Goldberg","given":"Jesse H","non-dropping-particle":"","parse-names":false,"suffix":""},{"dropping-particle":"","family":"Yuste","given":"Rafael","non-dropping-particle":"","parse-names":false,"suffix":""},{"dropping-particle":"","family":"Tamas","given":"Gabor","non-dropping-particle":"","parse-names":false,"suffix":""}],"container-title":"The Journal of physiology","id":"ITEM-2","issue":"Pt 1","issued":{"date-parts":[["2003"]]},"page":"67-78","title":"Ca2+ imaging of mouse neocortical interneurone dendrites: contribution of Ca2+-permeable AMPA and NMDA receptors to subthreshold Ca2+dynamics.","type":"article-journal","volume":"551"},"uris":["http://www.mendeley.com/documents/?uuid=ce4823c1-6de7-482d-a293-b72946574b3f"]},{"id":"ITEM-3","itemData":{"DOI":"10.1016/j.tins.2005.01.005","ISBN":"0166-2236 (Print)","ISSN":"01662236","PMID":"15749170","abstract":"Dendrites of pyramidal neurons are complex, electrically active structures that can produce local and global Ca2+ compartments. Recent studies indicate that dendrites of cortical GABAergic interneurons are also highly specialized, and that different subtypes vary in their morphology, in their intrinsic and synaptic conductances and in the Ca2+ signals they generate. Because interneurons play a major role in oscillations, understanding their dendrites could offer key insights into rhythmogenesis. Different interneuron subtypes have different synaptic integration properties and generate differentially timed inhibition at distinct sites of the pyramidal neuraxis. In addition, interneuron dendrites generate diverse Ca2+ signals that reflect this circuit function and probably also implement subclass-specific plasticity and homeostasis. ?? 2005 Elsevier Ltd. All rights reserved.","author":[{"dropping-particle":"","family":"Goldberg","given":"Jesse H.","non-dropping-particle":"","parse-names":false,"suffix":""},{"dropping-particle":"","family":"Yuste","given":"Rafael","non-dropping-particle":"","parse-names":false,"suffix":""}],"container-title":"Trends in Neurosciences","id":"ITEM-3","issue":"3","issued":{"date-parts":[["2005"]]},"page":"158-167","title":"Space matters: Local and global dendritic Ca2+ compartmentalization in cortical interneurons","type":"article-journal","volume":"28"},"uris":["http://www.mendeley.com/documents/?uuid=d86da8f1-6f22-4c0e-9b65-6d9944dd0ba8"]}],"mendeley":{"formattedCitation":"&lt;sup&gt;6–8&lt;/sup&gt;","plainTextFormattedCitation":"6–8","previouslyFormattedCitation":"&lt;sup&gt;6–8&lt;/sup&gt;"},"properties":{"noteIndex":0},"schema":"https://github.com/citation-style-language/schema/raw/master/csl-citation.json"}</w:instrText>
      </w:r>
      <w:r w:rsidRPr="0047369D">
        <w:rPr>
          <w:rFonts w:ascii="Arial" w:hAnsi="Arial" w:cs="Arial"/>
          <w:i/>
          <w:iCs/>
          <w:lang w:val="en-US"/>
        </w:rPr>
        <w:fldChar w:fldCharType="separate"/>
      </w:r>
      <w:r w:rsidR="00361B6C" w:rsidRPr="0047369D">
        <w:rPr>
          <w:rFonts w:ascii="Arial" w:hAnsi="Arial" w:cs="Arial"/>
          <w:iCs/>
          <w:noProof/>
          <w:vertAlign w:val="superscript"/>
          <w:lang w:val="en-US"/>
        </w:rPr>
        <w:t>6–8</w:t>
      </w:r>
      <w:r w:rsidRPr="0047369D">
        <w:rPr>
          <w:rFonts w:ascii="Arial" w:hAnsi="Arial" w:cs="Arial"/>
          <w:i/>
          <w:iCs/>
          <w:lang w:val="en-US"/>
        </w:rPr>
        <w:fldChar w:fldCharType="end"/>
      </w:r>
    </w:p>
    <w:tbl>
      <w:tblPr>
        <w:tblStyle w:val="50"/>
        <w:tblpPr w:leftFromText="180" w:rightFromText="180" w:vertAnchor="text" w:horzAnchor="margin" w:tblpY="287"/>
        <w:tblW w:w="9077" w:type="dxa"/>
        <w:tblLook w:val="04A0" w:firstRow="1" w:lastRow="0" w:firstColumn="1" w:lastColumn="0" w:noHBand="0" w:noVBand="1"/>
      </w:tblPr>
      <w:tblGrid>
        <w:gridCol w:w="3123"/>
        <w:gridCol w:w="1396"/>
        <w:gridCol w:w="1508"/>
        <w:gridCol w:w="1678"/>
        <w:gridCol w:w="1372"/>
      </w:tblGrid>
      <w:tr w:rsidR="00025373" w:rsidRPr="0047369D" w14:paraId="5F18A9A2" w14:textId="77777777" w:rsidTr="00D443CF">
        <w:trPr>
          <w:cnfStyle w:val="100000000000" w:firstRow="1" w:lastRow="0" w:firstColumn="0" w:lastColumn="0" w:oddVBand="0" w:evenVBand="0" w:oddHBand="0" w:evenHBand="0" w:firstRowFirstColumn="0" w:firstRowLastColumn="0" w:lastRowFirstColumn="0" w:lastRowLastColumn="0"/>
          <w:trHeight w:val="97"/>
        </w:trPr>
        <w:tc>
          <w:tcPr>
            <w:cnfStyle w:val="001000000100" w:firstRow="0" w:lastRow="0" w:firstColumn="1" w:lastColumn="0" w:oddVBand="0" w:evenVBand="0" w:oddHBand="0" w:evenHBand="0" w:firstRowFirstColumn="1" w:firstRowLastColumn="0" w:lastRowFirstColumn="0" w:lastRowLastColumn="0"/>
            <w:tcW w:w="9077" w:type="dxa"/>
            <w:gridSpan w:val="5"/>
          </w:tcPr>
          <w:p w14:paraId="531B7307" w14:textId="6D2447B3" w:rsidR="00025373" w:rsidRPr="0047369D" w:rsidRDefault="00025373" w:rsidP="00D443CF">
            <w:pPr>
              <w:jc w:val="left"/>
              <w:rPr>
                <w:rFonts w:ascii="Arial" w:hAnsi="Arial" w:cs="Arial"/>
                <w:b/>
                <w:sz w:val="22"/>
                <w:lang w:val="en-US"/>
              </w:rPr>
            </w:pPr>
            <w:r w:rsidRPr="0047369D">
              <w:rPr>
                <w:rFonts w:ascii="Arial" w:hAnsi="Arial" w:cs="Arial"/>
                <w:b/>
                <w:sz w:val="22"/>
                <w:lang w:val="en-US"/>
              </w:rPr>
              <w:t>Table S2. Passive properties of FSBC</w:t>
            </w:r>
            <w:r w:rsidR="00D443CF" w:rsidRPr="0047369D">
              <w:rPr>
                <w:rFonts w:ascii="Arial" w:hAnsi="Arial" w:cs="Arial"/>
                <w:b/>
                <w:sz w:val="22"/>
                <w:lang w:val="en-US"/>
              </w:rPr>
              <w:t>s</w:t>
            </w:r>
          </w:p>
        </w:tc>
      </w:tr>
      <w:tr w:rsidR="00025373" w:rsidRPr="0047369D" w14:paraId="0084E307" w14:textId="77777777" w:rsidTr="00D443CF">
        <w:trPr>
          <w:cnfStyle w:val="000000100000" w:firstRow="0" w:lastRow="0" w:firstColumn="0" w:lastColumn="0" w:oddVBand="0" w:evenVBand="0" w:oddHBand="1" w:evenHBand="0" w:firstRowFirstColumn="0" w:firstRowLastColumn="0" w:lastRowFirstColumn="0" w:lastRowLastColumn="0"/>
          <w:trHeight w:val="79"/>
        </w:trPr>
        <w:tc>
          <w:tcPr>
            <w:cnfStyle w:val="001000000000" w:firstRow="0" w:lastRow="0" w:firstColumn="1" w:lastColumn="0" w:oddVBand="0" w:evenVBand="0" w:oddHBand="0" w:evenHBand="0" w:firstRowFirstColumn="0" w:firstRowLastColumn="0" w:lastRowFirstColumn="0" w:lastRowLastColumn="0"/>
            <w:tcW w:w="3123" w:type="dxa"/>
          </w:tcPr>
          <w:p w14:paraId="5030A0BD" w14:textId="77777777" w:rsidR="00025373" w:rsidRPr="0047369D" w:rsidRDefault="00025373" w:rsidP="00025373">
            <w:pPr>
              <w:jc w:val="center"/>
              <w:rPr>
                <w:rFonts w:ascii="Arial" w:hAnsi="Arial" w:cs="Arial"/>
                <w:sz w:val="22"/>
                <w:lang w:val="en-US"/>
              </w:rPr>
            </w:pPr>
          </w:p>
        </w:tc>
        <w:tc>
          <w:tcPr>
            <w:tcW w:w="1396" w:type="dxa"/>
          </w:tcPr>
          <w:p w14:paraId="74935A48"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i/>
                <w:lang w:val="en-US"/>
              </w:rPr>
            </w:pPr>
            <w:r w:rsidRPr="0047369D">
              <w:rPr>
                <w:rFonts w:ascii="Arial" w:hAnsi="Arial" w:cs="Arial"/>
                <w:i/>
                <w:lang w:val="en-US"/>
              </w:rPr>
              <w:t>Soma</w:t>
            </w:r>
          </w:p>
        </w:tc>
        <w:tc>
          <w:tcPr>
            <w:tcW w:w="1508" w:type="dxa"/>
          </w:tcPr>
          <w:p w14:paraId="53FB8460"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i/>
                <w:lang w:val="en-US"/>
              </w:rPr>
            </w:pPr>
            <w:r w:rsidRPr="0047369D">
              <w:rPr>
                <w:rFonts w:ascii="Arial" w:hAnsi="Arial" w:cs="Arial"/>
                <w:i/>
                <w:lang w:val="en-US"/>
              </w:rPr>
              <w:t>Axon</w:t>
            </w:r>
          </w:p>
        </w:tc>
        <w:tc>
          <w:tcPr>
            <w:tcW w:w="1678" w:type="dxa"/>
          </w:tcPr>
          <w:p w14:paraId="73123967"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i/>
                <w:lang w:val="en-US"/>
              </w:rPr>
            </w:pPr>
            <w:r w:rsidRPr="0047369D">
              <w:rPr>
                <w:rFonts w:ascii="Arial" w:hAnsi="Arial" w:cs="Arial"/>
                <w:i/>
                <w:lang w:val="en-US"/>
              </w:rPr>
              <w:t>Proximal dendrites</w:t>
            </w:r>
          </w:p>
        </w:tc>
        <w:tc>
          <w:tcPr>
            <w:tcW w:w="1372" w:type="dxa"/>
          </w:tcPr>
          <w:p w14:paraId="1D311F27"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i/>
                <w:lang w:val="en-US"/>
              </w:rPr>
            </w:pPr>
            <w:r w:rsidRPr="0047369D">
              <w:rPr>
                <w:rFonts w:ascii="Arial" w:hAnsi="Arial" w:cs="Arial"/>
                <w:i/>
                <w:lang w:val="en-US"/>
              </w:rPr>
              <w:t>Distal Dendrites</w:t>
            </w:r>
          </w:p>
        </w:tc>
      </w:tr>
      <w:tr w:rsidR="00025373" w:rsidRPr="0047369D" w14:paraId="32F9C393" w14:textId="77777777" w:rsidTr="00D443CF">
        <w:trPr>
          <w:trHeight w:val="74"/>
        </w:trPr>
        <w:tc>
          <w:tcPr>
            <w:cnfStyle w:val="001000000000" w:firstRow="0" w:lastRow="0" w:firstColumn="1" w:lastColumn="0" w:oddVBand="0" w:evenVBand="0" w:oddHBand="0" w:evenHBand="0" w:firstRowFirstColumn="0" w:firstRowLastColumn="0" w:lastRowFirstColumn="0" w:lastRowLastColumn="0"/>
            <w:tcW w:w="3123" w:type="dxa"/>
          </w:tcPr>
          <w:p w14:paraId="05063E71" w14:textId="6816B0FB" w:rsidR="00025373" w:rsidRPr="0047369D" w:rsidRDefault="00025373" w:rsidP="00025373">
            <w:pPr>
              <w:rPr>
                <w:rFonts w:ascii="Arial" w:hAnsi="Arial" w:cs="Arial"/>
                <w:sz w:val="22"/>
                <w:lang w:val="en-US"/>
              </w:rPr>
            </w:pPr>
            <w:r w:rsidRPr="0047369D">
              <w:rPr>
                <w:rFonts w:ascii="Arial" w:hAnsi="Arial" w:cs="Arial"/>
                <w:sz w:val="22"/>
                <w:lang w:val="en-US"/>
              </w:rPr>
              <w:t>Leak conductance (</w:t>
            </w:r>
            <w:proofErr w:type="spellStart"/>
            <w:r w:rsidRPr="0047369D">
              <w:rPr>
                <w:rFonts w:ascii="Arial" w:hAnsi="Arial" w:cs="Arial"/>
                <w:sz w:val="22"/>
                <w:lang w:val="en-US"/>
              </w:rPr>
              <w:t>g_pas</w:t>
            </w:r>
            <w:proofErr w:type="spellEnd"/>
            <w:r w:rsidRPr="0047369D">
              <w:rPr>
                <w:rFonts w:ascii="Arial" w:hAnsi="Arial" w:cs="Arial"/>
                <w:sz w:val="22"/>
                <w:lang w:val="en-US"/>
              </w:rPr>
              <w:t>)</w:t>
            </w:r>
            <w:r w:rsidRPr="0047369D">
              <w:rPr>
                <w:rFonts w:ascii="Arial" w:hAnsi="Arial" w:cs="Arial"/>
              </w:rPr>
              <w:fldChar w:fldCharType="begin" w:fldLock="1"/>
            </w:r>
            <w:r w:rsidR="0004734A" w:rsidRPr="0047369D">
              <w:rPr>
                <w:rFonts w:ascii="Arial" w:hAnsi="Arial" w:cs="Arial"/>
                <w:sz w:val="22"/>
                <w:lang w:val="en-US"/>
              </w:rPr>
              <w:instrText>ADDIN CSL_CITATION {"citationItems":[{"id":"ITEM-1","itemData":{"DOI":"10.1073/pnas.0910716107","ISSN":"1091-6490","PMID":"20080772","abstract":"Fast-spiking, parvalbumin-expressing basket cells (BCs) play a key role in feedforward and feedback inhibition in the hippocampus. However, the dendritic mechanisms underlying rapid interneuron recruitment have remained unclear. To quantitatively address this question, we developed detailed passive cable models of BCs in the dentate gyrus based on dual somatic or somatodendritic recordings and complete morphologic reconstructions. Both specific membrane capacitance and axial resistivity were comparable to those of pyramidal neurons, but the average somatodendritic specific membrane resistance (R(m)) was substantially lower in BCs. Furthermore, R(m) was markedly nonuniform, being lowest in soma and proximal dendrites, intermediate in distal dendrites, and highest in the axon. Thus, the somatodendritic gradient of R(m) was the reverse of that in pyramidal neurons. Further computational analysis revealed that these unique cable properties accelerate the time course of synaptic potentials at the soma in response to fast inputs, while boosting the efficacy of slow distal inputs. These properties will facilitate both rapid phasic and efficient tonic activation of BCs in hippocampal microcircuits.","author":[{"dropping-particle":"","family":"Nörenberg","given":"Anja","non-dropping-particle":"","parse-names":false,"suffix":""},{"dropping-particle":"","family":"Hu","given":"Hua","non-dropping-particle":"","parse-names":false,"suffix":""},{"dropping-particle":"","family":"Vida","given":"Imre","non-dropping-particle":"","parse-names":false,"suffix":""},{"dropping-particle":"","family":"Bartos","given":"Marlene","non-dropping-particle":"","parse-names":false,"suffix":""},{"dropping-particle":"","family":"Jonas","given":"Peter","non-dropping-particle":"","parse-names":false,"suffix":""}],"container-title":"Proceedings of the National Academy of Sciences of the United States of America","id":"ITEM-1","issue":"2","issued":{"date-parts":[["2010","1"]]},"page":"894-9","title":"Distinct nonuniform cable properties optimize rapid and efficient activation of fast-spiking GABAergic interneurons.","type":"article-journal","volume":"107"},"uris":["http://www.mendeley.com/documents/?uuid=1907eea1-ef26-41d9-a445-45a1722195e3"]}],"mendeley":{"formattedCitation":"&lt;sup&gt;9&lt;/sup&gt;","plainTextFormattedCitation":"9","previouslyFormattedCitation":"&lt;sup&gt;9&lt;/sup&gt;"},"properties":{"noteIndex":0},"schema":"https://github.com/citation-style-language/schema/raw/master/csl-citation.json"}</w:instrText>
            </w:r>
            <w:r w:rsidRPr="0047369D">
              <w:rPr>
                <w:rFonts w:ascii="Arial" w:hAnsi="Arial" w:cs="Arial"/>
              </w:rPr>
              <w:fldChar w:fldCharType="separate"/>
            </w:r>
            <w:r w:rsidR="00361B6C" w:rsidRPr="0047369D">
              <w:rPr>
                <w:rFonts w:ascii="Arial" w:hAnsi="Arial" w:cs="Arial"/>
                <w:i w:val="0"/>
                <w:noProof/>
                <w:sz w:val="22"/>
                <w:vertAlign w:val="superscript"/>
                <w:lang w:val="en-US"/>
              </w:rPr>
              <w:t>9</w:t>
            </w:r>
            <w:r w:rsidRPr="0047369D">
              <w:rPr>
                <w:rFonts w:ascii="Arial" w:hAnsi="Arial" w:cs="Arial"/>
              </w:rPr>
              <w:fldChar w:fldCharType="end"/>
            </w:r>
            <w:r w:rsidRPr="0047369D">
              <w:rPr>
                <w:rFonts w:ascii="Arial" w:hAnsi="Arial" w:cs="Arial"/>
                <w:sz w:val="22"/>
                <w:lang w:val="en-US"/>
              </w:rPr>
              <w:t xml:space="preserve"> </w:t>
            </w:r>
          </w:p>
        </w:tc>
        <w:tc>
          <w:tcPr>
            <w:tcW w:w="1396" w:type="dxa"/>
          </w:tcPr>
          <w:p w14:paraId="5B961FAF" w14:textId="77777777" w:rsidR="00025373" w:rsidRPr="0047369D" w:rsidRDefault="00025373"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1.315e-4 S/cm</w:t>
            </w:r>
            <w:r w:rsidRPr="0047369D">
              <w:rPr>
                <w:rFonts w:ascii="Arial" w:hAnsi="Arial" w:cs="Arial"/>
                <w:vertAlign w:val="superscript"/>
                <w:lang w:val="en-US"/>
              </w:rPr>
              <w:t>2</w:t>
            </w:r>
          </w:p>
        </w:tc>
        <w:tc>
          <w:tcPr>
            <w:tcW w:w="1508" w:type="dxa"/>
          </w:tcPr>
          <w:p w14:paraId="294A6F79" w14:textId="77777777" w:rsidR="00025373" w:rsidRPr="0047369D" w:rsidRDefault="00025373"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3.55e-6 S/cm</w:t>
            </w:r>
            <w:r w:rsidRPr="0047369D">
              <w:rPr>
                <w:rFonts w:ascii="Arial" w:hAnsi="Arial" w:cs="Arial"/>
                <w:vertAlign w:val="superscript"/>
                <w:lang w:val="en-US"/>
              </w:rPr>
              <w:t>2</w:t>
            </w:r>
          </w:p>
        </w:tc>
        <w:tc>
          <w:tcPr>
            <w:tcW w:w="1678" w:type="dxa"/>
          </w:tcPr>
          <w:p w14:paraId="27A348F4" w14:textId="77777777" w:rsidR="00025373" w:rsidRPr="0047369D" w:rsidRDefault="00025373"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lang w:val="en-US"/>
              </w:rPr>
              <w:t>1.315e-4 S/cm</w:t>
            </w:r>
            <w:r w:rsidRPr="0047369D">
              <w:rPr>
                <w:rFonts w:ascii="Arial" w:hAnsi="Arial" w:cs="Arial"/>
                <w:vertAlign w:val="superscript"/>
                <w:lang w:val="en-US"/>
              </w:rPr>
              <w:t>2</w:t>
            </w:r>
          </w:p>
        </w:tc>
        <w:tc>
          <w:tcPr>
            <w:tcW w:w="1372" w:type="dxa"/>
          </w:tcPr>
          <w:p w14:paraId="3E3283DE" w14:textId="77777777" w:rsidR="00025373" w:rsidRPr="0047369D" w:rsidRDefault="00025373"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1.34e-5 S/cm</w:t>
            </w:r>
            <w:r w:rsidRPr="0047369D">
              <w:rPr>
                <w:rFonts w:ascii="Arial" w:hAnsi="Arial" w:cs="Arial"/>
                <w:vertAlign w:val="superscript"/>
                <w:lang w:val="en-US"/>
              </w:rPr>
              <w:t>2</w:t>
            </w:r>
          </w:p>
        </w:tc>
      </w:tr>
      <w:tr w:rsidR="00025373" w:rsidRPr="0047369D" w14:paraId="52D96E7D" w14:textId="77777777" w:rsidTr="00D443CF">
        <w:trPr>
          <w:cnfStyle w:val="000000100000" w:firstRow="0" w:lastRow="0" w:firstColumn="0" w:lastColumn="0" w:oddVBand="0" w:evenVBand="0" w:oddHBand="1" w:evenHBand="0"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3123" w:type="dxa"/>
          </w:tcPr>
          <w:p w14:paraId="32D0B5C5" w14:textId="41008EC5" w:rsidR="00025373" w:rsidRPr="0047369D" w:rsidRDefault="00025373" w:rsidP="00025373">
            <w:pPr>
              <w:rPr>
                <w:rFonts w:ascii="Arial" w:hAnsi="Arial" w:cs="Arial"/>
                <w:sz w:val="22"/>
                <w:lang w:val="en-US"/>
              </w:rPr>
            </w:pPr>
            <w:r w:rsidRPr="0047369D">
              <w:rPr>
                <w:rFonts w:ascii="Arial" w:hAnsi="Arial" w:cs="Arial"/>
                <w:sz w:val="22"/>
                <w:lang w:val="en-US"/>
              </w:rPr>
              <w:t>Resting Membrane Potential (</w:t>
            </w:r>
            <w:proofErr w:type="spellStart"/>
            <w:r w:rsidRPr="0047369D">
              <w:rPr>
                <w:rFonts w:ascii="Arial" w:hAnsi="Arial" w:cs="Arial"/>
                <w:sz w:val="22"/>
                <w:lang w:val="en-US"/>
              </w:rPr>
              <w:t>e_pas</w:t>
            </w:r>
            <w:proofErr w:type="spellEnd"/>
            <w:r w:rsidRPr="0047369D">
              <w:rPr>
                <w:rFonts w:ascii="Arial" w:hAnsi="Arial" w:cs="Arial"/>
                <w:sz w:val="22"/>
                <w:lang w:val="en-US"/>
              </w:rPr>
              <w:t>)</w:t>
            </w:r>
            <w:r w:rsidRPr="0047369D">
              <w:rPr>
                <w:rFonts w:ascii="Arial" w:hAnsi="Arial" w:cs="Arial"/>
              </w:rPr>
              <w:fldChar w:fldCharType="begin" w:fldLock="1"/>
            </w:r>
            <w:r w:rsidR="0004734A" w:rsidRPr="0047369D">
              <w:rPr>
                <w:rFonts w:ascii="Arial" w:hAnsi="Arial" w:cs="Arial"/>
                <w:sz w:val="22"/>
                <w:lang w:val="en-US"/>
              </w:rPr>
              <w:instrText xml:space="preserve">ADDIN CSL_CITATION {"citationItems":[{"id":"ITEM-1","itemData":{"abstract":"Locally projecting GABAergic interneurons are the major providers of inhibition in the neocortex and play a crucial role in several brain functions. Neocortical interneurons are connected via electrical and chemical synapses that may be crucial in modulating complex network oscillations. We investigated the properties of spontaneous and evoked IPSCs in two morphologically and physiologically identified interneuron subtypes, the fast-spiking (FS) and low threshold-spiking (LTS) cells in layer V of rodent sensorimotor cortex. We found that IPSCs recorded in FS cells were several orders of magnitude more frequent, larger in amplitude, and had faster kinetics than IPSCs recorded in LTS cells. GABA A receptor </w:instrText>
            </w:r>
            <w:r w:rsidR="0004734A" w:rsidRPr="0047369D">
              <w:rPr>
                <w:rFonts w:ascii="Segoe UI Symbol" w:hAnsi="Segoe UI Symbol" w:cs="Segoe UI Symbol"/>
                <w:sz w:val="22"/>
                <w:lang w:val="en-US"/>
              </w:rPr>
              <w:instrText>␣</w:instrText>
            </w:r>
            <w:r w:rsidR="0004734A" w:rsidRPr="0047369D">
              <w:rPr>
                <w:rFonts w:ascii="Arial" w:hAnsi="Arial" w:cs="Arial"/>
                <w:sz w:val="22"/>
                <w:lang w:val="en-US"/>
              </w:rPr>
              <w:instrText xml:space="preserve">-and </w:instrText>
            </w:r>
            <w:r w:rsidR="0004734A" w:rsidRPr="0047369D">
              <w:rPr>
                <w:rFonts w:ascii="Segoe UI Symbol" w:hAnsi="Segoe UI Symbol" w:cs="Segoe UI Symbol"/>
                <w:sz w:val="22"/>
                <w:lang w:val="en-US"/>
              </w:rPr>
              <w:instrText>␤</w:instrText>
            </w:r>
            <w:r w:rsidR="0004734A" w:rsidRPr="0047369D">
              <w:rPr>
                <w:rFonts w:ascii="Arial" w:hAnsi="Arial" w:cs="Arial"/>
                <w:sz w:val="22"/>
                <w:lang w:val="en-US"/>
              </w:rPr>
              <w:instrText xml:space="preserve">-subunit selective modulators, zolpidem and loreclezole, had different effects on IPSCs in FS and LTS interneurons, suggesting differential expression of GABA A receptor subunit subtypes. These pharmacological data indicated that the </w:instrText>
            </w:r>
            <w:r w:rsidR="0004734A" w:rsidRPr="0047369D">
              <w:rPr>
                <w:rFonts w:ascii="Segoe UI Symbol" w:hAnsi="Segoe UI Symbol" w:cs="Segoe UI Symbol"/>
                <w:sz w:val="22"/>
                <w:lang w:val="en-US"/>
              </w:rPr>
              <w:instrText>␣</w:instrText>
            </w:r>
            <w:r w:rsidR="0004734A" w:rsidRPr="0047369D">
              <w:rPr>
                <w:rFonts w:ascii="Arial" w:hAnsi="Arial" w:cs="Arial"/>
                <w:sz w:val="22"/>
                <w:lang w:val="en-US"/>
              </w:rPr>
              <w:instrText xml:space="preserve">1 subunit subtype is poorly expressed by LTS cells but makes a large contribution to GABA A receptors on FS cells. This was confirmed by experiments performed in genetically modified mice in which the </w:instrText>
            </w:r>
            <w:r w:rsidR="0004734A" w:rsidRPr="0047369D">
              <w:rPr>
                <w:rFonts w:ascii="Segoe UI Symbol" w:hAnsi="Segoe UI Symbol" w:cs="Segoe UI Symbol"/>
                <w:sz w:val="22"/>
                <w:lang w:val="en-US"/>
              </w:rPr>
              <w:instrText>␣</w:instrText>
            </w:r>
            <w:r w:rsidR="0004734A" w:rsidRPr="0047369D">
              <w:rPr>
                <w:rFonts w:ascii="Arial" w:hAnsi="Arial" w:cs="Arial"/>
                <w:sz w:val="22"/>
                <w:lang w:val="en-US"/>
              </w:rPr>
              <w:instrText>1 subunit had been made insensitive to benzodiazepine-like agonists. These results suggest that differences in IPSC waveform are likely attributable to distinctive expression of GABA A receptor subunits in FS and LTS cells. The particular properties of GABAergic input on different interneuronal subtypes might have important consequences for generation and pacing of cortical rhythms underlying several brain functions. Moreover, selective pharmacological manipulation of distinct inhibitory circuits might allow regulation of pyramidal cell activities under specific physiolog-ical and pathophysiological conditions.","author":[{"dropping-particle":"","family":"Bacci","given":"Alberto","non-dropping-particle":"","parse-names":false,"suffix":""},{"dropping-particle":"","family":"Rudolph","given":"Uwe","non-dropping-particle":"","parse-names":false,"suffix":""},{"dropping-particle":"","family":"Huguenard","given":"John R","non-dropping-particle":"","parse-names":false,"suffix":""},{"dropping-particle":"","family":"Prince","given":"David A","non-dropping-particle":"","parse-names":false,"suffix":""}],"id":"ITEM-1","issued":{"date-parts":[["0"]]},"title":"Cellular/Molecular Major Differences in Inhibitory Synaptic Transmission onto Two Neocortical Interneuron Subclasses","type":"article-journal"},"uris":["http://www.mendeley.com/documents/?uuid=d6a35645-e14e-47c3-a177-0a929a018122","http://www.mendeley.com/documents/?uuid=cc4f6a88-510b-3f26-850a-102e40acdd8a","http://www.mendeley.com/documents/?uuid=1c92a537-e15f-4acb-acc9-b36a3365680a","http://www.mendeley.com/documents/?uuid=df16eb50-9256-46f6-975c-17172333e488"]},{"id":"ITEM-2","itemData":{"DOI":"10.1073/pnas.0910716107","ISSN":"1091-6490","PMID":"20080772","abstract":"Fast-spiking, parvalbumin-expressing basket cells (BCs) play a key role in feedforward and feedback inhibition in the hippocampus. However, the dendritic mechanisms underlying rapid interneuron recruitment have remained unclear. To quantitatively address this question, we developed detailed passive cable models of BCs in the dentate gyrus based on dual somatic or somatodendritic recordings and complete morphologic reconstructions. Both specific membrane capacitance and axial resistivity were comparable to those of pyramidal neurons, but the average somatodendritic specific membrane resistance (R(m)) was substantially lower in BCs. Furthermore, R(m) was markedly nonuniform, being lowest in soma and proximal dendrites, intermediate in distal dendrites, and highest in the axon. Thus, the somatodendritic gradient of R(m) was the reverse of that in pyramidal neurons. Further computational analysis revealed that these unique cable properties accelerate the time course of synaptic potentials at the soma in response to fast inputs, while boosting the efficacy of slow distal inputs. These properties will facilitate both rapid phasic and efficient tonic activation of BCs in hippocampal microcircuits.","author":[{"dropping-particle":"","family":"Nörenberg","given":"Anja","non-dropping-particle":"","parse-names":false,"suffix":""},{"dropping-particle":"","family":"Hu","given":"Hua","non-dropping-particle":"","parse-names":false,"suffix":""},{"dropping-particle":"","family":"Vida","given":"Imre","non-dropping-particle":"","parse-names":false,"suffix":""},{"dropping-particle":"","family":"Bartos","given":"Marlene","non-dropping-particle":"","parse-names":false,"suffix":""},{"dropping-particle":"","family":"Jonas","given":"Peter","non-dropping-particle":"","parse-names":false,"suffix":""}],"container-title":"Proceedings of the National Academy of Sciences of the United States of America","id":"ITEM-2","issue":"2","issued":{"date-parts":[["2010","1"]]},"page":"894-9","title":"Distinct nonuniform cable properties optimize rapid and efficient activation of fast-spiking GABAergic interneurons.","type":"article-journal","volume":"107"},"uris":["http://www.mendeley.com/documents/?uuid=1907eea1-ef26-41d9-a445-45a1722195e3"]}],"mendeley":{"formattedCitation":"&lt;sup&gt;2,9&lt;/sup&gt;","plainTextFormattedCitation":"2,9","previouslyFormattedCitation":"&lt;sup&gt;2,9&lt;/sup&gt;"},"properties":{"noteIndex":0},"schema":"https://github.com/citation-style-language/schema/raw/master/csl-citation.json"}</w:instrText>
            </w:r>
            <w:r w:rsidRPr="0047369D">
              <w:rPr>
                <w:rFonts w:ascii="Arial" w:hAnsi="Arial" w:cs="Arial"/>
              </w:rPr>
              <w:fldChar w:fldCharType="separate"/>
            </w:r>
            <w:r w:rsidR="00361B6C" w:rsidRPr="0047369D">
              <w:rPr>
                <w:rFonts w:ascii="Arial" w:hAnsi="Arial" w:cs="Arial"/>
                <w:i w:val="0"/>
                <w:noProof/>
                <w:sz w:val="22"/>
                <w:vertAlign w:val="superscript"/>
                <w:lang w:val="en-US"/>
              </w:rPr>
              <w:t>2,9</w:t>
            </w:r>
            <w:r w:rsidRPr="0047369D">
              <w:rPr>
                <w:rFonts w:ascii="Arial" w:hAnsi="Arial" w:cs="Arial"/>
              </w:rPr>
              <w:fldChar w:fldCharType="end"/>
            </w:r>
          </w:p>
        </w:tc>
        <w:tc>
          <w:tcPr>
            <w:tcW w:w="1396" w:type="dxa"/>
          </w:tcPr>
          <w:p w14:paraId="0BDA1877"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-68 mV</w:t>
            </w:r>
          </w:p>
        </w:tc>
        <w:tc>
          <w:tcPr>
            <w:tcW w:w="1508" w:type="dxa"/>
          </w:tcPr>
          <w:p w14:paraId="48E95529"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-68 mV</w:t>
            </w:r>
          </w:p>
        </w:tc>
        <w:tc>
          <w:tcPr>
            <w:tcW w:w="1678" w:type="dxa"/>
          </w:tcPr>
          <w:p w14:paraId="3A74EE1F"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-68 mV</w:t>
            </w:r>
          </w:p>
        </w:tc>
        <w:tc>
          <w:tcPr>
            <w:tcW w:w="1372" w:type="dxa"/>
          </w:tcPr>
          <w:p w14:paraId="32DFE824"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-68 mV</w:t>
            </w:r>
          </w:p>
        </w:tc>
      </w:tr>
      <w:tr w:rsidR="00025373" w:rsidRPr="0047369D" w14:paraId="23A6C30C" w14:textId="77777777" w:rsidTr="00D443CF">
        <w:trPr>
          <w:trHeight w:val="79"/>
        </w:trPr>
        <w:tc>
          <w:tcPr>
            <w:cnfStyle w:val="001000000000" w:firstRow="0" w:lastRow="0" w:firstColumn="1" w:lastColumn="0" w:oddVBand="0" w:evenVBand="0" w:oddHBand="0" w:evenHBand="0" w:firstRowFirstColumn="0" w:firstRowLastColumn="0" w:lastRowFirstColumn="0" w:lastRowLastColumn="0"/>
            <w:tcW w:w="3123" w:type="dxa"/>
          </w:tcPr>
          <w:p w14:paraId="7A70A133" w14:textId="6C444503" w:rsidR="00025373" w:rsidRPr="0047369D" w:rsidRDefault="00025373" w:rsidP="00025373">
            <w:pPr>
              <w:rPr>
                <w:rFonts w:ascii="Arial" w:hAnsi="Arial" w:cs="Arial"/>
                <w:sz w:val="22"/>
                <w:lang w:val="en-US"/>
              </w:rPr>
            </w:pPr>
            <w:r w:rsidRPr="0047369D">
              <w:rPr>
                <w:rFonts w:ascii="Arial" w:hAnsi="Arial" w:cs="Arial"/>
                <w:sz w:val="22"/>
                <w:lang w:val="en-US"/>
              </w:rPr>
              <w:lastRenderedPageBreak/>
              <w:t xml:space="preserve">Membrane capacitance (cm) </w:t>
            </w:r>
            <w:r w:rsidRPr="0047369D">
              <w:rPr>
                <w:rFonts w:ascii="Arial" w:hAnsi="Arial" w:cs="Arial"/>
              </w:rPr>
              <w:fldChar w:fldCharType="begin" w:fldLock="1"/>
            </w:r>
            <w:r w:rsidR="0004734A" w:rsidRPr="0047369D">
              <w:rPr>
                <w:rFonts w:ascii="Arial" w:hAnsi="Arial" w:cs="Arial"/>
                <w:sz w:val="22"/>
                <w:lang w:val="en-US"/>
              </w:rPr>
              <w:instrText>ADDIN CSL_CITATION {"citationItems":[{"id":"ITEM-1","itemData":{"DOI":"10.1073/pnas.0910716107","ISSN":"1091-6490","PMID":"20080772","abstract":"Fast-spiking, parvalbumin-expressing basket cells (BCs) play a key role in feedforward and feedback inhibition in the hippocampus. However, the dendritic mechanisms underlying rapid interneuron recruitment have remained unclear. To quantitatively address this question, we developed detailed passive cable models of BCs in the dentate gyrus based on dual somatic or somatodendritic recordings and complete morphologic reconstructions. Both specific membrane capacitance and axial resistivity were comparable to those of pyramidal neurons, but the average somatodendritic specific membrane resistance (R(m)) was substantially lower in BCs. Furthermore, R(m) was markedly nonuniform, being lowest in soma and proximal dendrites, intermediate in distal dendrites, and highest in the axon. Thus, the somatodendritic gradient of R(m) was the reverse of that in pyramidal neurons. Further computational analysis revealed that these unique cable properties accelerate the time course of synaptic potentials at the soma in response to fast inputs, while boosting the efficacy of slow distal inputs. These properties will facilitate both rapid phasic and efficient tonic activation of BCs in hippocampal microcircuits.","author":[{"dropping-particle":"","family":"Nörenberg","given":"Anja","non-dropping-particle":"","parse-names":false,"suffix":""},{"dropping-particle":"","family":"Hu","given":"Hua","non-dropping-particle":"","parse-names":false,"suffix":""},{"dropping-particle":"","family":"Vida","given":"Imre","non-dropping-particle":"","parse-names":false,"suffix":""},{"dropping-particle":"","family":"Bartos","given":"Marlene","non-dropping-particle":"","parse-names":false,"suffix":""},{"dropping-particle":"","family":"Jonas","given":"Peter","non-dropping-particle":"","parse-names":false,"suffix":""}],"container-title":"Proceedings of the National Academy of Sciences of the United States of America","id":"ITEM-1","issue":"2","issued":{"date-parts":[["2010","1"]]},"page":"894-9","title":"Distinct nonuniform cable properties optimize rapid and efficient activation of fast-spiking GABAergic interneurons.","type":"article-journal","volume":"107"},"uris":["http://www.mendeley.com/documents/?uuid=1907eea1-ef26-41d9-a445-45a1722195e3"]}],"mendeley":{"formattedCitation":"&lt;sup&gt;9&lt;/sup&gt;","plainTextFormattedCitation":"9","previouslyFormattedCitation":"&lt;sup&gt;9&lt;/sup&gt;"},"properties":{"noteIndex":0},"schema":"https://github.com/citation-style-language/schema/raw/master/csl-citation.json"}</w:instrText>
            </w:r>
            <w:r w:rsidRPr="0047369D">
              <w:rPr>
                <w:rFonts w:ascii="Arial" w:hAnsi="Arial" w:cs="Arial"/>
              </w:rPr>
              <w:fldChar w:fldCharType="separate"/>
            </w:r>
            <w:r w:rsidR="00361B6C" w:rsidRPr="0047369D">
              <w:rPr>
                <w:rFonts w:ascii="Arial" w:hAnsi="Arial" w:cs="Arial"/>
                <w:i w:val="0"/>
                <w:noProof/>
                <w:sz w:val="22"/>
                <w:vertAlign w:val="superscript"/>
                <w:lang w:val="en-US"/>
              </w:rPr>
              <w:t>9</w:t>
            </w:r>
            <w:r w:rsidRPr="0047369D">
              <w:rPr>
                <w:rFonts w:ascii="Arial" w:hAnsi="Arial" w:cs="Arial"/>
              </w:rPr>
              <w:fldChar w:fldCharType="end"/>
            </w:r>
          </w:p>
        </w:tc>
        <w:tc>
          <w:tcPr>
            <w:tcW w:w="1396" w:type="dxa"/>
          </w:tcPr>
          <w:p w14:paraId="4DE52207" w14:textId="77777777" w:rsidR="00025373" w:rsidRPr="0047369D" w:rsidRDefault="00025373"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 xml:space="preserve">1.2 </w:t>
            </w:r>
            <w:proofErr w:type="spellStart"/>
            <w:r w:rsidRPr="0047369D">
              <w:rPr>
                <w:rFonts w:ascii="Arial" w:hAnsi="Arial" w:cs="Arial"/>
                <w:lang w:val="en-US"/>
              </w:rPr>
              <w:t>uf</w:t>
            </w:r>
            <w:proofErr w:type="spellEnd"/>
            <w:r w:rsidRPr="0047369D">
              <w:rPr>
                <w:rFonts w:ascii="Arial" w:hAnsi="Arial" w:cs="Arial"/>
                <w:lang w:val="en-US"/>
              </w:rPr>
              <w:t>/cm</w:t>
            </w:r>
            <w:r w:rsidRPr="0047369D">
              <w:rPr>
                <w:rFonts w:ascii="Arial" w:hAnsi="Arial" w:cs="Arial"/>
                <w:vertAlign w:val="superscript"/>
                <w:lang w:val="en-US"/>
              </w:rPr>
              <w:t>-2</w:t>
            </w:r>
          </w:p>
        </w:tc>
        <w:tc>
          <w:tcPr>
            <w:tcW w:w="1508" w:type="dxa"/>
          </w:tcPr>
          <w:p w14:paraId="6A575429" w14:textId="77777777" w:rsidR="00025373" w:rsidRPr="0047369D" w:rsidRDefault="00025373"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 xml:space="preserve">1.2 </w:t>
            </w:r>
            <w:proofErr w:type="spellStart"/>
            <w:r w:rsidRPr="0047369D">
              <w:rPr>
                <w:rFonts w:ascii="Arial" w:hAnsi="Arial" w:cs="Arial"/>
                <w:lang w:val="en-US"/>
              </w:rPr>
              <w:t>uf</w:t>
            </w:r>
            <w:proofErr w:type="spellEnd"/>
            <w:r w:rsidRPr="0047369D">
              <w:rPr>
                <w:rFonts w:ascii="Arial" w:hAnsi="Arial" w:cs="Arial"/>
                <w:lang w:val="en-US"/>
              </w:rPr>
              <w:t>/cm</w:t>
            </w:r>
            <w:r w:rsidRPr="0047369D">
              <w:rPr>
                <w:rFonts w:ascii="Arial" w:hAnsi="Arial" w:cs="Arial"/>
                <w:vertAlign w:val="superscript"/>
                <w:lang w:val="en-US"/>
              </w:rPr>
              <w:t>-2</w:t>
            </w:r>
          </w:p>
        </w:tc>
        <w:tc>
          <w:tcPr>
            <w:tcW w:w="1678" w:type="dxa"/>
          </w:tcPr>
          <w:p w14:paraId="33449F22" w14:textId="77777777" w:rsidR="00025373" w:rsidRPr="0047369D" w:rsidRDefault="00025373"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 xml:space="preserve">1.2 </w:t>
            </w:r>
            <w:proofErr w:type="spellStart"/>
            <w:r w:rsidRPr="0047369D">
              <w:rPr>
                <w:rFonts w:ascii="Arial" w:hAnsi="Arial" w:cs="Arial"/>
                <w:lang w:val="en-US"/>
              </w:rPr>
              <w:t>uf</w:t>
            </w:r>
            <w:proofErr w:type="spellEnd"/>
            <w:r w:rsidRPr="0047369D">
              <w:rPr>
                <w:rFonts w:ascii="Arial" w:hAnsi="Arial" w:cs="Arial"/>
                <w:lang w:val="en-US"/>
              </w:rPr>
              <w:t>/cm</w:t>
            </w:r>
            <w:r w:rsidRPr="0047369D">
              <w:rPr>
                <w:rFonts w:ascii="Arial" w:hAnsi="Arial" w:cs="Arial"/>
                <w:vertAlign w:val="superscript"/>
                <w:lang w:val="en-US"/>
              </w:rPr>
              <w:t>-2</w:t>
            </w:r>
          </w:p>
        </w:tc>
        <w:tc>
          <w:tcPr>
            <w:tcW w:w="1372" w:type="dxa"/>
          </w:tcPr>
          <w:p w14:paraId="6A99A6F4" w14:textId="77777777" w:rsidR="00025373" w:rsidRPr="0047369D" w:rsidRDefault="00025373"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 xml:space="preserve">1.2 </w:t>
            </w:r>
            <w:proofErr w:type="spellStart"/>
            <w:r w:rsidRPr="0047369D">
              <w:rPr>
                <w:rFonts w:ascii="Arial" w:hAnsi="Arial" w:cs="Arial"/>
                <w:lang w:val="en-US"/>
              </w:rPr>
              <w:t>uf</w:t>
            </w:r>
            <w:proofErr w:type="spellEnd"/>
            <w:r w:rsidRPr="0047369D">
              <w:rPr>
                <w:rFonts w:ascii="Arial" w:hAnsi="Arial" w:cs="Arial"/>
                <w:lang w:val="en-US"/>
              </w:rPr>
              <w:t>/cm</w:t>
            </w:r>
            <w:r w:rsidRPr="0047369D">
              <w:rPr>
                <w:rFonts w:ascii="Arial" w:hAnsi="Arial" w:cs="Arial"/>
                <w:vertAlign w:val="superscript"/>
                <w:lang w:val="en-US"/>
              </w:rPr>
              <w:t>-2</w:t>
            </w:r>
          </w:p>
        </w:tc>
      </w:tr>
      <w:tr w:rsidR="00025373" w:rsidRPr="0047369D" w14:paraId="4353D209" w14:textId="77777777" w:rsidTr="00D443CF">
        <w:trPr>
          <w:cnfStyle w:val="000000100000" w:firstRow="0" w:lastRow="0" w:firstColumn="0" w:lastColumn="0" w:oddVBand="0" w:evenVBand="0" w:oddHBand="1" w:evenHBand="0" w:firstRowFirstColumn="0" w:firstRowLastColumn="0" w:lastRowFirstColumn="0" w:lastRowLastColumn="0"/>
          <w:trHeight w:val="79"/>
        </w:trPr>
        <w:tc>
          <w:tcPr>
            <w:cnfStyle w:val="001000000000" w:firstRow="0" w:lastRow="0" w:firstColumn="1" w:lastColumn="0" w:oddVBand="0" w:evenVBand="0" w:oddHBand="0" w:evenHBand="0" w:firstRowFirstColumn="0" w:firstRowLastColumn="0" w:lastRowFirstColumn="0" w:lastRowLastColumn="0"/>
            <w:tcW w:w="3123" w:type="dxa"/>
          </w:tcPr>
          <w:p w14:paraId="4F95661F" w14:textId="72C9FB1B" w:rsidR="00025373" w:rsidRPr="0047369D" w:rsidRDefault="00025373" w:rsidP="00025373">
            <w:pPr>
              <w:rPr>
                <w:rFonts w:ascii="Arial" w:hAnsi="Arial" w:cs="Arial"/>
                <w:sz w:val="22"/>
                <w:lang w:val="en-US"/>
              </w:rPr>
            </w:pPr>
            <w:r w:rsidRPr="0047369D">
              <w:rPr>
                <w:rFonts w:ascii="Arial" w:hAnsi="Arial" w:cs="Arial"/>
                <w:sz w:val="22"/>
                <w:lang w:val="en-US"/>
              </w:rPr>
              <w:t xml:space="preserve">Axial Resistance (Ra) </w:t>
            </w:r>
            <w:r w:rsidRPr="0047369D">
              <w:rPr>
                <w:rFonts w:ascii="Arial" w:hAnsi="Arial" w:cs="Arial"/>
              </w:rPr>
              <w:fldChar w:fldCharType="begin" w:fldLock="1"/>
            </w:r>
            <w:r w:rsidR="0004734A" w:rsidRPr="0047369D">
              <w:rPr>
                <w:rFonts w:ascii="Arial" w:hAnsi="Arial" w:cs="Arial"/>
                <w:sz w:val="22"/>
                <w:lang w:val="en-US"/>
              </w:rPr>
              <w:instrText>ADDIN CSL_CITATION {"citationItems":[{"id":"ITEM-1","itemData":{"DOI":"10.1073/pnas.0910716107","ISSN":"1091-6490","PMID":"20080772","abstract":"Fast-spiking, parvalbumin-expressing basket cells (BCs) play a key role in feedforward and feedback inhibition in the hippocampus. However, the dendritic mechanisms underlying rapid interneuron recruitment have remained unclear. To quantitatively address this question, we developed detailed passive cable models of BCs in the dentate gyrus based on dual somatic or somatodendritic recordings and complete morphologic reconstructions. Both specific membrane capacitance and axial resistivity were comparable to those of pyramidal neurons, but the average somatodendritic specific membrane resistance (R(m)) was substantially lower in BCs. Furthermore, R(m) was markedly nonuniform, being lowest in soma and proximal dendrites, intermediate in distal dendrites, and highest in the axon. Thus, the somatodendritic gradient of R(m) was the reverse of that in pyramidal neurons. Further computational analysis revealed that these unique cable properties accelerate the time course of synaptic potentials at the soma in response to fast inputs, while boosting the efficacy of slow distal inputs. These properties will facilitate both rapid phasic and efficient tonic activation of BCs in hippocampal microcircuits.","author":[{"dropping-particle":"","family":"Nörenberg","given":"Anja","non-dropping-particle":"","parse-names":false,"suffix":""},{"dropping-particle":"","family":"Hu","given":"Hua","non-dropping-particle":"","parse-names":false,"suffix":""},{"dropping-particle":"","family":"Vida","given":"Imre","non-dropping-particle":"","parse-names":false,"suffix":""},{"dropping-particle":"","family":"Bartos","given":"Marlene","non-dropping-particle":"","parse-names":false,"suffix":""},{"dropping-particle":"","family":"Jonas","given":"Peter","non-dropping-particle":"","parse-names":false,"suffix":""}],"container-title":"Proceedings of the National Academy of Sciences of the United States of America","id":"ITEM-1","issue":"2","issued":{"date-parts":[["2010","1"]]},"page":"894-9","title":"Distinct nonuniform cable properties optimize rapid and efficient activation of fast-spiking GABAergic interneurons.","type":"article-journal","volume":"107"},"uris":["http://www.mendeley.com/documents/?uuid=1907eea1-ef26-41d9-a445-45a1722195e3"]}],"mendeley":{"formattedCitation":"&lt;sup&gt;9&lt;/sup&gt;","plainTextFormattedCitation":"9","previouslyFormattedCitation":"&lt;sup&gt;9&lt;/sup&gt;"},"properties":{"noteIndex":0},"schema":"https://github.com/citation-style-language/schema/raw/master/csl-citation.json"}</w:instrText>
            </w:r>
            <w:r w:rsidRPr="0047369D">
              <w:rPr>
                <w:rFonts w:ascii="Arial" w:hAnsi="Arial" w:cs="Arial"/>
              </w:rPr>
              <w:fldChar w:fldCharType="separate"/>
            </w:r>
            <w:r w:rsidR="00361B6C" w:rsidRPr="0047369D">
              <w:rPr>
                <w:rFonts w:ascii="Arial" w:hAnsi="Arial" w:cs="Arial"/>
                <w:i w:val="0"/>
                <w:noProof/>
                <w:sz w:val="22"/>
                <w:vertAlign w:val="superscript"/>
                <w:lang w:val="en-US"/>
              </w:rPr>
              <w:t>9</w:t>
            </w:r>
            <w:r w:rsidRPr="0047369D">
              <w:rPr>
                <w:rFonts w:ascii="Arial" w:hAnsi="Arial" w:cs="Arial"/>
              </w:rPr>
              <w:fldChar w:fldCharType="end"/>
            </w:r>
          </w:p>
        </w:tc>
        <w:tc>
          <w:tcPr>
            <w:tcW w:w="1396" w:type="dxa"/>
          </w:tcPr>
          <w:p w14:paraId="317B8708"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172 ohm/ cm</w:t>
            </w:r>
          </w:p>
        </w:tc>
        <w:tc>
          <w:tcPr>
            <w:tcW w:w="1508" w:type="dxa"/>
          </w:tcPr>
          <w:p w14:paraId="6AF81A97"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172 ohm/ cm</w:t>
            </w:r>
          </w:p>
        </w:tc>
        <w:tc>
          <w:tcPr>
            <w:tcW w:w="1678" w:type="dxa"/>
          </w:tcPr>
          <w:p w14:paraId="4B210725"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142 ohm/ cm</w:t>
            </w:r>
          </w:p>
        </w:tc>
        <w:tc>
          <w:tcPr>
            <w:tcW w:w="1372" w:type="dxa"/>
          </w:tcPr>
          <w:p w14:paraId="4D1BECAF" w14:textId="77777777" w:rsidR="00025373" w:rsidRPr="0047369D" w:rsidRDefault="00025373" w:rsidP="00025373">
            <w:pPr>
              <w:jc w:val="cente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142 ohm/ cm</w:t>
            </w:r>
          </w:p>
        </w:tc>
      </w:tr>
      <w:tr w:rsidR="001D3504" w:rsidRPr="0047369D" w14:paraId="7FF9ADCE" w14:textId="77777777" w:rsidTr="00D443CF">
        <w:trPr>
          <w:trHeight w:val="79"/>
        </w:trPr>
        <w:tc>
          <w:tcPr>
            <w:cnfStyle w:val="001000000000" w:firstRow="0" w:lastRow="0" w:firstColumn="1" w:lastColumn="0" w:oddVBand="0" w:evenVBand="0" w:oddHBand="0" w:evenHBand="0" w:firstRowFirstColumn="0" w:firstRowLastColumn="0" w:lastRowFirstColumn="0" w:lastRowLastColumn="0"/>
            <w:tcW w:w="3123" w:type="dxa"/>
          </w:tcPr>
          <w:p w14:paraId="22A1BCFB" w14:textId="77777777" w:rsidR="001D3504" w:rsidRPr="0047369D" w:rsidRDefault="001D3504" w:rsidP="001D3504">
            <w:pPr>
              <w:jc w:val="left"/>
              <w:rPr>
                <w:rFonts w:ascii="Arial" w:hAnsi="Arial" w:cs="Arial"/>
                <w:lang w:val="en-US"/>
              </w:rPr>
            </w:pPr>
          </w:p>
        </w:tc>
        <w:tc>
          <w:tcPr>
            <w:tcW w:w="1396" w:type="dxa"/>
          </w:tcPr>
          <w:p w14:paraId="31DBA128" w14:textId="77777777" w:rsidR="001D3504" w:rsidRPr="0047369D" w:rsidRDefault="001D3504"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p>
        </w:tc>
        <w:tc>
          <w:tcPr>
            <w:tcW w:w="1508" w:type="dxa"/>
          </w:tcPr>
          <w:p w14:paraId="51C2494E" w14:textId="77777777" w:rsidR="001D3504" w:rsidRPr="0047369D" w:rsidRDefault="001D3504"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p>
        </w:tc>
        <w:tc>
          <w:tcPr>
            <w:tcW w:w="1678" w:type="dxa"/>
          </w:tcPr>
          <w:p w14:paraId="25832402" w14:textId="77777777" w:rsidR="001D3504" w:rsidRPr="0047369D" w:rsidRDefault="001D3504"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p>
        </w:tc>
        <w:tc>
          <w:tcPr>
            <w:tcW w:w="1372" w:type="dxa"/>
          </w:tcPr>
          <w:p w14:paraId="33091F11" w14:textId="77777777" w:rsidR="001D3504" w:rsidRPr="0047369D" w:rsidRDefault="001D3504" w:rsidP="00025373">
            <w:pPr>
              <w:jc w:val="center"/>
              <w:cnfStyle w:val="000000000000" w:firstRow="0" w:lastRow="0" w:firstColumn="0" w:lastColumn="0" w:oddVBand="0" w:evenVBand="0" w:oddHBand="0" w:evenHBand="0" w:firstRowFirstColumn="0" w:firstRowLastColumn="0" w:lastRowFirstColumn="0" w:lastRowLastColumn="0"/>
              <w:rPr>
                <w:rFonts w:ascii="Arial" w:hAnsi="Arial" w:cs="Arial"/>
                <w:lang w:val="en-US"/>
              </w:rPr>
            </w:pPr>
          </w:p>
        </w:tc>
      </w:tr>
    </w:tbl>
    <w:bookmarkEnd w:id="0"/>
    <w:p w14:paraId="1B78CC55" w14:textId="2082E760" w:rsidR="005B2853" w:rsidRPr="0047369D" w:rsidRDefault="00755E83" w:rsidP="00FD4609">
      <w:pPr>
        <w:jc w:val="both"/>
        <w:rPr>
          <w:rFonts w:ascii="Arial" w:hAnsi="Arial" w:cs="Arial"/>
          <w:i/>
          <w:iCs/>
          <w:lang w:val="en-US"/>
        </w:rPr>
      </w:pPr>
      <w:r w:rsidRPr="0047369D">
        <w:rPr>
          <w:rFonts w:ascii="Arial" w:hAnsi="Arial" w:cs="Arial"/>
          <w:i/>
          <w:iCs/>
          <w:lang w:val="en-US"/>
        </w:rPr>
        <w:t xml:space="preserve">*values as per </w:t>
      </w:r>
      <w:r w:rsidRPr="0047369D">
        <w:rPr>
          <w:rFonts w:ascii="Arial" w:hAnsi="Arial" w:cs="Arial"/>
          <w:i/>
          <w:iCs/>
          <w:lang w:val="en-US"/>
        </w:rPr>
        <w:fldChar w:fldCharType="begin" w:fldLock="1"/>
      </w:r>
      <w:r w:rsidR="0004734A" w:rsidRPr="0047369D">
        <w:rPr>
          <w:rFonts w:ascii="Arial" w:hAnsi="Arial" w:cs="Arial"/>
          <w:i/>
          <w:iCs/>
          <w:lang w:val="en-US"/>
        </w:rPr>
        <w:instrText xml:space="preserve">ADDIN CSL_CITATION {"citationItems":[{"id":"ITEM-1","itemData":{"DOI":"10.1038/s41467-019-11537-7","ISSN":"2041-1723","abstract":"Interneurons are critical for the proper functioning of neural circuits. While often morphologically complex, their dendrites have been ignored for decades, treating them as linear point neurons. Exciting new findings reveal complex, non-linear dendritic computations that call for a new theory of interneuron arithmetic. Using detailed biophysical models, we predict that dendrites of FS basket cells in both hippocampus and prefrontal cortex come in two flavors: supralinear, supporting local sodium spikes within large-volume branches and sublinear, in small-volume branches. Synaptic activation of varying sets of these dendrites leads to somatic firing variability that cannot be fully explained by the point neuron reduction. Instead, a 2-stage artificial neural network (ANN), with sub- and supralinear hidden nodes, captures most of the variance. Reduced neuronal circuit modeling suggest that this bi-modal, 2-stage integration in FS basket cells confers substantial resource savings in memory encoding as well as the linking of memories across time.","author":[{"dropping-particle":"","family":"Tzilivaki","given":"Alexandra","non-dropping-particle":"","parse-names":false,"suffix":""},{"dropping-particle":"","family":"Kastellakis","given":"George","non-dropping-particle":"","parse-names":false,"suffix":""},{"dropping-particle":"","family":"Poirazi","given":"Panayiota","non-dropping-particle":"","parse-names":false,"suffix":""}],"container-title":"Nature Communications","id":"ITEM-1","issue":"1","issued":{"date-parts":[["2019","8","14"]]},"page":"3664","title":"Challenging the point neuron dogma: FS basket cells as 2-stage nonlinear integrators","type":"article-journal","volume":"10"},"uris":["http://www.mendeley.com/documents/?uuid=20787a3d-65a7-4cb7-b292-748e9b409361"]},{"id":"ITEM-2","itemData":{"abstract":"Locally projecting GABAergic interneurons are the major providers of inhibition in the neocortex and play a crucial role in several brain functions. Neocortical interneurons are connected via electrical and chemical synapses that may be crucial in modulating complex network oscillations. We investigated the properties of spontaneous and evoked IPSCs in two morphologically and physiologically identified interneuron subtypes, the fast-spiking (FS) and low threshold-spiking (LTS) cells in layer V of rodent sensorimotor cortex. We found that IPSCs recorded in FS cells were several orders of magnitude more frequent, larger in amplitude, and had faster kinetics than IPSCs recorded in LTS cells. GABA A receptor </w:instrText>
      </w:r>
      <w:r w:rsidR="0004734A" w:rsidRPr="0047369D">
        <w:rPr>
          <w:rFonts w:ascii="Segoe UI Symbol" w:hAnsi="Segoe UI Symbol" w:cs="Segoe UI Symbol"/>
          <w:i/>
          <w:iCs/>
          <w:lang w:val="en-US"/>
        </w:rPr>
        <w:instrText>␣</w:instrText>
      </w:r>
      <w:r w:rsidR="0004734A" w:rsidRPr="0047369D">
        <w:rPr>
          <w:rFonts w:ascii="Arial" w:hAnsi="Arial" w:cs="Arial"/>
          <w:i/>
          <w:iCs/>
          <w:lang w:val="en-US"/>
        </w:rPr>
        <w:instrText xml:space="preserve">-and </w:instrText>
      </w:r>
      <w:r w:rsidR="0004734A" w:rsidRPr="0047369D">
        <w:rPr>
          <w:rFonts w:ascii="Segoe UI Symbol" w:hAnsi="Segoe UI Symbol" w:cs="Segoe UI Symbol"/>
          <w:i/>
          <w:iCs/>
          <w:lang w:val="en-US"/>
        </w:rPr>
        <w:instrText>␤</w:instrText>
      </w:r>
      <w:r w:rsidR="0004734A" w:rsidRPr="0047369D">
        <w:rPr>
          <w:rFonts w:ascii="Arial" w:hAnsi="Arial" w:cs="Arial"/>
          <w:i/>
          <w:iCs/>
          <w:lang w:val="en-US"/>
        </w:rPr>
        <w:instrText xml:space="preserve">-subunit selective modulators, zolpidem and loreclezole, had different effects on IPSCs in FS and LTS interneurons, suggesting differential expression of GABA A receptor subunit subtypes. These pharmacological data indicated that the </w:instrText>
      </w:r>
      <w:r w:rsidR="0004734A" w:rsidRPr="0047369D">
        <w:rPr>
          <w:rFonts w:ascii="Segoe UI Symbol" w:hAnsi="Segoe UI Symbol" w:cs="Segoe UI Symbol"/>
          <w:i/>
          <w:iCs/>
          <w:lang w:val="en-US"/>
        </w:rPr>
        <w:instrText>␣</w:instrText>
      </w:r>
      <w:r w:rsidR="0004734A" w:rsidRPr="0047369D">
        <w:rPr>
          <w:rFonts w:ascii="Arial" w:hAnsi="Arial" w:cs="Arial"/>
          <w:i/>
          <w:iCs/>
          <w:lang w:val="en-US"/>
        </w:rPr>
        <w:instrText xml:space="preserve">1 subunit subtype is poorly expressed by LTS cells but makes a large contribution to GABA A receptors on FS cells. This was confirmed by experiments performed in genetically modified mice in which the </w:instrText>
      </w:r>
      <w:r w:rsidR="0004734A" w:rsidRPr="0047369D">
        <w:rPr>
          <w:rFonts w:ascii="Segoe UI Symbol" w:hAnsi="Segoe UI Symbol" w:cs="Segoe UI Symbol"/>
          <w:i/>
          <w:iCs/>
          <w:lang w:val="en-US"/>
        </w:rPr>
        <w:instrText>␣</w:instrText>
      </w:r>
      <w:r w:rsidR="0004734A" w:rsidRPr="0047369D">
        <w:rPr>
          <w:rFonts w:ascii="Arial" w:hAnsi="Arial" w:cs="Arial"/>
          <w:i/>
          <w:iCs/>
          <w:lang w:val="en-US"/>
        </w:rPr>
        <w:instrText>1 subunit had been made insensitive to benzodiazepine-like agonists. These results suggest that differences in IPSC waveform are likely attributable to distinctive expression of GABA A receptor subunits in FS and LTS cells. The particular properties of GABAergic input on different interneuronal subtypes might have important consequences for generation and pacing of cortical rhythms underlying several brain functions. Moreover, selective pharmacological manipulation of distinct inhibitory circuits might allow regulation of pyramidal cell activities under specific physiolog-ical and pathophysiological conditions.","author":[{"dropping-particle":"","family":"Bacci","given":"Alberto","non-dropping-particle":"","parse-names":false,"suffix":""},{"dropping-particle":"","family":"Rudolph","given":"Uwe","non-dropping-particle":"","parse-names":false,"suffix":""},{"dropping-particle":"","family":"Huguenard","given":"John R","non-dropping-particle":"","parse-names":false,"suffix":""},{"dropping-particle":"","family":"Prince","given":"David A","non-dropping-particle":"","parse-names":false,"suffix":""}],"id":"ITEM-2","issued":{"date-parts":[["0"]]},"title":"Cellular/Molecular Major Differences in Inhibitory Synaptic Transmission onto Two Neocortical Interneuron Subclasses","type":"article-journal"},"uris":["http://www.mendeley.com/documents/?uuid=df16eb50-9256-46f6-975c-17172333e488"]},{"id":"ITEM-3","itemData":{"DOI":"10.1073/pnas.0910716107","ISSN":"1091-6490","PMID":"20080772","abstract":"Fast-spiking, parvalbumin-expressing basket cells (BCs) play a key role in feedforward and feedback inhibition in the hippocampus. However, the dendritic mechanisms underlying rapid interneuron recruitment have remained unclear. To quantitatively address this question, we developed detailed passive cable models of BCs in the dentate gyrus based on dual somatic or somatodendritic recordings and complete morphologic reconstructions. Both specific membrane capacitance and axial resistivity were comparable to those of pyramidal neurons, but the average somatodendritic specific membrane resistance (R(m)) was substantially lower in BCs. Furthermore, R(m) was markedly nonuniform, being lowest in soma and proximal dendrites, intermediate in distal dendrites, and highest in the axon. Thus, the somatodendritic gradient of R(m) was the reverse of that in pyramidal neurons. Further computational analysis revealed that these unique cable properties accelerate the time course of synaptic potentials at the soma in response to fast inputs, while boosting the efficacy of slow distal inputs. These properties will facilitate both rapid phasic and efficient tonic activation of BCs in hippocampal microcircuits.","author":[{"dropping-particle":"","family":"Nörenberg","given":"Anja","non-dropping-particle":"","parse-names":false,"suffix":""},{"dropping-particle":"","family":"Hu","given":"Hua","non-dropping-particle":"","parse-names":false,"suffix":""},{"dropping-particle":"","family":"Vida","given":"Imre","non-dropping-particle":"","parse-names":false,"suffix":""},{"dropping-particle":"","family":"Bartos","given":"Marlene","non-dropping-particle":"","parse-names":false,"suffix":""},{"dropping-particle":"","family":"Jonas","given":"Peter","non-dropping-particle":"","parse-names":false,"suffix":""}],"container-title":"Proceedings of the National Academy of Sciences of the United States of America","id":"ITEM-3","issue":"2","issued":{"date-parts":[["2010","1"]]},"page":"894-9","title":"Distinct nonuniform cable properties optimize rapid and efficient activation of fast-spiking GABAergic interneurons.","type":"article-journal","volume":"107"},"uris":["http://www.mendeley.com/documents/?uuid=1907eea1-ef26-41d9-a445-45a1722195e3"]}],"mendeley":{"formattedCitation":"&lt;sup&gt;2,6,9&lt;/sup&gt;","plainTextFormattedCitation":"2,6,9","previouslyFormattedCitation":"&lt;sup&gt;2,6,9&lt;/sup&gt;"},"properties":{"noteIndex":0},"schema":"https://github.com/citation-style-language/schema/raw/master/csl-citation.json"}</w:instrText>
      </w:r>
      <w:r w:rsidRPr="0047369D">
        <w:rPr>
          <w:rFonts w:ascii="Arial" w:hAnsi="Arial" w:cs="Arial"/>
          <w:i/>
          <w:iCs/>
          <w:lang w:val="en-US"/>
        </w:rPr>
        <w:fldChar w:fldCharType="separate"/>
      </w:r>
      <w:r w:rsidR="00361B6C" w:rsidRPr="0047369D">
        <w:rPr>
          <w:rFonts w:ascii="Arial" w:hAnsi="Arial" w:cs="Arial"/>
          <w:iCs/>
          <w:noProof/>
          <w:vertAlign w:val="superscript"/>
          <w:lang w:val="en-US"/>
        </w:rPr>
        <w:t>2,6,9</w:t>
      </w:r>
      <w:r w:rsidRPr="0047369D">
        <w:rPr>
          <w:rFonts w:ascii="Arial" w:hAnsi="Arial" w:cs="Arial"/>
          <w:i/>
          <w:iCs/>
          <w:lang w:val="en-US"/>
        </w:rPr>
        <w:fldChar w:fldCharType="end"/>
      </w:r>
    </w:p>
    <w:p w14:paraId="57535B57" w14:textId="77777777" w:rsidR="006A1468" w:rsidRPr="0047369D" w:rsidRDefault="006A1468" w:rsidP="00FD4609">
      <w:pPr>
        <w:jc w:val="both"/>
        <w:rPr>
          <w:rFonts w:ascii="Arial" w:hAnsi="Arial" w:cs="Arial"/>
          <w:b/>
          <w:bCs/>
          <w:lang w:val="en-US"/>
        </w:rPr>
      </w:pPr>
    </w:p>
    <w:p w14:paraId="4EF4E1C1" w14:textId="77777777" w:rsidR="006A1468" w:rsidRPr="0047369D" w:rsidRDefault="006A1468" w:rsidP="00FD4609">
      <w:pPr>
        <w:jc w:val="both"/>
        <w:rPr>
          <w:rFonts w:ascii="Arial" w:hAnsi="Arial" w:cs="Arial"/>
          <w:b/>
          <w:bCs/>
          <w:lang w:val="en-US"/>
        </w:rPr>
      </w:pPr>
    </w:p>
    <w:tbl>
      <w:tblPr>
        <w:tblStyle w:val="50"/>
        <w:tblW w:w="0" w:type="auto"/>
        <w:tblLook w:val="04A0" w:firstRow="1" w:lastRow="0" w:firstColumn="1" w:lastColumn="0" w:noHBand="0" w:noVBand="1"/>
      </w:tblPr>
      <w:tblGrid>
        <w:gridCol w:w="2498"/>
        <w:gridCol w:w="1012"/>
        <w:gridCol w:w="2132"/>
        <w:gridCol w:w="1797"/>
        <w:gridCol w:w="1587"/>
      </w:tblGrid>
      <w:tr w:rsidR="00025373" w:rsidRPr="0047369D" w14:paraId="51098024" w14:textId="77777777" w:rsidTr="009931D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gridSpan w:val="5"/>
          </w:tcPr>
          <w:p w14:paraId="4E2360C3" w14:textId="77777777" w:rsidR="00025373" w:rsidRPr="0047369D" w:rsidRDefault="00025373" w:rsidP="007D59DB">
            <w:pPr>
              <w:jc w:val="both"/>
              <w:rPr>
                <w:rFonts w:ascii="Arial" w:hAnsi="Arial" w:cs="Arial"/>
                <w:b/>
                <w:bCs/>
                <w:sz w:val="22"/>
                <w:lang w:val="en-US"/>
              </w:rPr>
            </w:pPr>
            <w:r w:rsidRPr="0047369D">
              <w:rPr>
                <w:rFonts w:ascii="Arial" w:hAnsi="Arial" w:cs="Arial"/>
                <w:b/>
                <w:bCs/>
                <w:sz w:val="22"/>
                <w:lang w:val="en-US"/>
              </w:rPr>
              <w:t>Table S3. Passive Parameters and Active Conductance Values of the Pyramidal Cell (PC) Model</w:t>
            </w:r>
          </w:p>
          <w:p w14:paraId="3E43FB39" w14:textId="77777777" w:rsidR="00025373" w:rsidRPr="0047369D" w:rsidRDefault="00025373" w:rsidP="007D59DB">
            <w:pPr>
              <w:jc w:val="center"/>
              <w:rPr>
                <w:rFonts w:ascii="Arial" w:hAnsi="Arial" w:cs="Arial"/>
                <w:b/>
                <w:bCs/>
                <w:sz w:val="22"/>
              </w:rPr>
            </w:pPr>
          </w:p>
        </w:tc>
      </w:tr>
      <w:tr w:rsidR="009931D1" w:rsidRPr="0047369D" w14:paraId="15FA6952"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85B506" w14:textId="77777777" w:rsidR="00025373" w:rsidRPr="0047369D" w:rsidRDefault="00025373" w:rsidP="007D59DB">
            <w:pPr>
              <w:jc w:val="center"/>
              <w:rPr>
                <w:rFonts w:ascii="Arial" w:hAnsi="Arial" w:cs="Arial"/>
                <w:b/>
                <w:bCs/>
                <w:i w:val="0"/>
                <w:iCs w:val="0"/>
                <w:sz w:val="22"/>
              </w:rPr>
            </w:pPr>
            <w:r w:rsidRPr="0047369D">
              <w:rPr>
                <w:rFonts w:ascii="Arial" w:hAnsi="Arial" w:cs="Arial"/>
                <w:b/>
                <w:bCs/>
                <w:sz w:val="22"/>
              </w:rPr>
              <w:t>Mechanism</w:t>
            </w:r>
          </w:p>
        </w:tc>
        <w:tc>
          <w:tcPr>
            <w:tcW w:w="0" w:type="auto"/>
          </w:tcPr>
          <w:p w14:paraId="487EA01D"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i/>
                <w:iCs/>
              </w:rPr>
            </w:pPr>
            <w:r w:rsidRPr="0047369D">
              <w:rPr>
                <w:rFonts w:ascii="Arial" w:hAnsi="Arial" w:cs="Arial"/>
                <w:b/>
                <w:bCs/>
              </w:rPr>
              <w:t>Soma</w:t>
            </w:r>
          </w:p>
        </w:tc>
        <w:tc>
          <w:tcPr>
            <w:tcW w:w="0" w:type="auto"/>
          </w:tcPr>
          <w:p w14:paraId="3CD158F8"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i/>
                <w:iCs/>
              </w:rPr>
            </w:pPr>
            <w:r w:rsidRPr="0047369D">
              <w:rPr>
                <w:rFonts w:ascii="Arial" w:hAnsi="Arial" w:cs="Arial"/>
                <w:b/>
                <w:bCs/>
              </w:rPr>
              <w:t>Proximal Apical Dendrite(n=1)</w:t>
            </w:r>
          </w:p>
        </w:tc>
        <w:tc>
          <w:tcPr>
            <w:tcW w:w="0" w:type="auto"/>
          </w:tcPr>
          <w:p w14:paraId="464EF32B"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i/>
                <w:iCs/>
              </w:rPr>
            </w:pPr>
            <w:r w:rsidRPr="0047369D">
              <w:rPr>
                <w:rFonts w:ascii="Arial" w:hAnsi="Arial" w:cs="Arial"/>
                <w:b/>
                <w:bCs/>
              </w:rPr>
              <w:t>Distal Apical Dendrites (n=2)</w:t>
            </w:r>
          </w:p>
        </w:tc>
        <w:tc>
          <w:tcPr>
            <w:tcW w:w="0" w:type="auto"/>
          </w:tcPr>
          <w:p w14:paraId="5DD380A0"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i/>
                <w:iCs/>
              </w:rPr>
            </w:pPr>
            <w:r w:rsidRPr="0047369D">
              <w:rPr>
                <w:rFonts w:ascii="Arial" w:hAnsi="Arial" w:cs="Arial"/>
                <w:b/>
                <w:bCs/>
              </w:rPr>
              <w:t>Basal Dendrites (n=2)</w:t>
            </w:r>
          </w:p>
        </w:tc>
      </w:tr>
      <w:tr w:rsidR="00025373" w:rsidRPr="0047369D" w14:paraId="2EEAD763" w14:textId="77777777" w:rsidTr="009931D1">
        <w:tc>
          <w:tcPr>
            <w:cnfStyle w:val="001000000000" w:firstRow="0" w:lastRow="0" w:firstColumn="1" w:lastColumn="0" w:oddVBand="0" w:evenVBand="0" w:oddHBand="0" w:evenHBand="0" w:firstRowFirstColumn="0" w:firstRowLastColumn="0" w:lastRowFirstColumn="0" w:lastRowLastColumn="0"/>
            <w:tcW w:w="0" w:type="auto"/>
          </w:tcPr>
          <w:p w14:paraId="42A7378B" w14:textId="77777777" w:rsidR="00025373" w:rsidRPr="0047369D" w:rsidRDefault="00025373" w:rsidP="007D59DB">
            <w:pPr>
              <w:jc w:val="center"/>
              <w:rPr>
                <w:rFonts w:ascii="Arial" w:hAnsi="Arial" w:cs="Arial"/>
                <w:sz w:val="22"/>
              </w:rPr>
            </w:pPr>
            <w:r w:rsidRPr="0047369D">
              <w:rPr>
                <w:rFonts w:ascii="Arial" w:hAnsi="Arial" w:cs="Arial"/>
                <w:sz w:val="22"/>
              </w:rPr>
              <w:t>Leak conductance [S/cm</w:t>
            </w:r>
            <w:proofErr w:type="gramStart"/>
            <w:r w:rsidRPr="0047369D">
              <w:rPr>
                <w:rFonts w:ascii="Arial" w:hAnsi="Arial" w:cs="Arial"/>
                <w:sz w:val="22"/>
              </w:rPr>
              <w:t>2 ]</w:t>
            </w:r>
            <w:proofErr w:type="gramEnd"/>
          </w:p>
        </w:tc>
        <w:tc>
          <w:tcPr>
            <w:tcW w:w="0" w:type="auto"/>
          </w:tcPr>
          <w:p w14:paraId="240AB7A6"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0,0002</w:t>
            </w:r>
          </w:p>
        </w:tc>
        <w:tc>
          <w:tcPr>
            <w:tcW w:w="0" w:type="auto"/>
          </w:tcPr>
          <w:p w14:paraId="4A342136"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0,0002</w:t>
            </w:r>
          </w:p>
        </w:tc>
        <w:tc>
          <w:tcPr>
            <w:tcW w:w="0" w:type="auto"/>
          </w:tcPr>
          <w:p w14:paraId="4CEB0083"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0,0002</w:t>
            </w:r>
          </w:p>
        </w:tc>
        <w:tc>
          <w:tcPr>
            <w:tcW w:w="0" w:type="auto"/>
          </w:tcPr>
          <w:p w14:paraId="6E7F9101"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0,0002</w:t>
            </w:r>
          </w:p>
        </w:tc>
      </w:tr>
      <w:tr w:rsidR="009931D1" w:rsidRPr="0047369D" w14:paraId="575C4B87"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55CCE8" w14:textId="77777777" w:rsidR="00025373" w:rsidRPr="0047369D" w:rsidRDefault="00025373" w:rsidP="007D59DB">
            <w:pPr>
              <w:jc w:val="center"/>
              <w:rPr>
                <w:rFonts w:ascii="Arial" w:hAnsi="Arial" w:cs="Arial"/>
                <w:sz w:val="22"/>
              </w:rPr>
            </w:pPr>
            <w:r w:rsidRPr="0047369D">
              <w:rPr>
                <w:rFonts w:ascii="Arial" w:hAnsi="Arial" w:cs="Arial"/>
                <w:sz w:val="22"/>
              </w:rPr>
              <w:t>Na+ conductance [S/cm2]</w:t>
            </w:r>
          </w:p>
        </w:tc>
        <w:tc>
          <w:tcPr>
            <w:tcW w:w="0" w:type="auto"/>
          </w:tcPr>
          <w:p w14:paraId="30A28EE3"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0,0105</w:t>
            </w:r>
          </w:p>
        </w:tc>
        <w:tc>
          <w:tcPr>
            <w:tcW w:w="0" w:type="auto"/>
          </w:tcPr>
          <w:p w14:paraId="6750738E"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0,0084</w:t>
            </w:r>
          </w:p>
        </w:tc>
        <w:tc>
          <w:tcPr>
            <w:tcW w:w="0" w:type="auto"/>
          </w:tcPr>
          <w:p w14:paraId="146DFE4F"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0,0084</w:t>
            </w:r>
          </w:p>
        </w:tc>
        <w:tc>
          <w:tcPr>
            <w:tcW w:w="0" w:type="auto"/>
          </w:tcPr>
          <w:p w14:paraId="5AC1C981"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0,0084</w:t>
            </w:r>
          </w:p>
        </w:tc>
      </w:tr>
      <w:tr w:rsidR="00025373" w:rsidRPr="0047369D" w14:paraId="4E2105F1" w14:textId="77777777" w:rsidTr="009931D1">
        <w:tc>
          <w:tcPr>
            <w:cnfStyle w:val="001000000000" w:firstRow="0" w:lastRow="0" w:firstColumn="1" w:lastColumn="0" w:oddVBand="0" w:evenVBand="0" w:oddHBand="0" w:evenHBand="0" w:firstRowFirstColumn="0" w:firstRowLastColumn="0" w:lastRowFirstColumn="0" w:lastRowLastColumn="0"/>
            <w:tcW w:w="0" w:type="auto"/>
          </w:tcPr>
          <w:p w14:paraId="0ACA68F1"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Delayed rectifier K+ conductance [S/cm2]</w:t>
            </w:r>
          </w:p>
        </w:tc>
        <w:tc>
          <w:tcPr>
            <w:tcW w:w="0" w:type="auto"/>
          </w:tcPr>
          <w:p w14:paraId="12289270"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0,00086</w:t>
            </w:r>
          </w:p>
        </w:tc>
        <w:tc>
          <w:tcPr>
            <w:tcW w:w="0" w:type="auto"/>
          </w:tcPr>
          <w:p w14:paraId="39867E99"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0,00086</w:t>
            </w:r>
          </w:p>
        </w:tc>
        <w:tc>
          <w:tcPr>
            <w:tcW w:w="0" w:type="auto"/>
          </w:tcPr>
          <w:p w14:paraId="77B377FD"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0,00086</w:t>
            </w:r>
          </w:p>
        </w:tc>
        <w:tc>
          <w:tcPr>
            <w:tcW w:w="0" w:type="auto"/>
          </w:tcPr>
          <w:p w14:paraId="3B0F1EE5"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0,00086</w:t>
            </w:r>
          </w:p>
        </w:tc>
      </w:tr>
      <w:tr w:rsidR="009931D1" w:rsidRPr="0047369D" w14:paraId="3C0D1B2B"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EDC4B7"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Proximal A-type K+ conductance [S/cm</w:t>
            </w:r>
            <w:proofErr w:type="gramStart"/>
            <w:r w:rsidRPr="0047369D">
              <w:rPr>
                <w:rFonts w:ascii="Arial" w:hAnsi="Arial" w:cs="Arial"/>
                <w:sz w:val="22"/>
                <w:lang w:val="en-US"/>
              </w:rPr>
              <w:t>2 ]</w:t>
            </w:r>
            <w:proofErr w:type="gramEnd"/>
          </w:p>
        </w:tc>
        <w:tc>
          <w:tcPr>
            <w:tcW w:w="0" w:type="auto"/>
          </w:tcPr>
          <w:p w14:paraId="33A09C57"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0,0075</w:t>
            </w:r>
          </w:p>
        </w:tc>
        <w:tc>
          <w:tcPr>
            <w:tcW w:w="0" w:type="auto"/>
          </w:tcPr>
          <w:p w14:paraId="339A72BF"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0,015</w:t>
            </w:r>
          </w:p>
        </w:tc>
        <w:tc>
          <w:tcPr>
            <w:tcW w:w="0" w:type="auto"/>
          </w:tcPr>
          <w:p w14:paraId="4730EB9E"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3ACBEB42"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0,0075</w:t>
            </w:r>
          </w:p>
        </w:tc>
      </w:tr>
      <w:tr w:rsidR="00025373" w:rsidRPr="0047369D" w14:paraId="21512543" w14:textId="77777777" w:rsidTr="009931D1">
        <w:tc>
          <w:tcPr>
            <w:cnfStyle w:val="001000000000" w:firstRow="0" w:lastRow="0" w:firstColumn="1" w:lastColumn="0" w:oddVBand="0" w:evenVBand="0" w:oddHBand="0" w:evenHBand="0" w:firstRowFirstColumn="0" w:firstRowLastColumn="0" w:lastRowFirstColumn="0" w:lastRowLastColumn="0"/>
            <w:tcW w:w="0" w:type="auto"/>
          </w:tcPr>
          <w:p w14:paraId="5DD81271"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Distal A-type K+ conductance [S/cm</w:t>
            </w:r>
            <w:proofErr w:type="gramStart"/>
            <w:r w:rsidRPr="0047369D">
              <w:rPr>
                <w:rFonts w:ascii="Arial" w:hAnsi="Arial" w:cs="Arial"/>
                <w:sz w:val="22"/>
                <w:lang w:val="en-US"/>
              </w:rPr>
              <w:t>2 ]</w:t>
            </w:r>
            <w:proofErr w:type="gramEnd"/>
          </w:p>
        </w:tc>
        <w:tc>
          <w:tcPr>
            <w:tcW w:w="0" w:type="auto"/>
          </w:tcPr>
          <w:p w14:paraId="45486060"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04A62F3A"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766E6A35"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0,04875</w:t>
            </w:r>
          </w:p>
        </w:tc>
        <w:tc>
          <w:tcPr>
            <w:tcW w:w="0" w:type="auto"/>
          </w:tcPr>
          <w:p w14:paraId="04ED5E8E"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r>
      <w:tr w:rsidR="009931D1" w:rsidRPr="0047369D" w14:paraId="31764B75"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0F2D3E"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M-type K+ conductance [S/cm</w:t>
            </w:r>
            <w:proofErr w:type="gramStart"/>
            <w:r w:rsidRPr="0047369D">
              <w:rPr>
                <w:rFonts w:ascii="Arial" w:hAnsi="Arial" w:cs="Arial"/>
                <w:sz w:val="22"/>
                <w:lang w:val="en-US"/>
              </w:rPr>
              <w:t>2 ]</w:t>
            </w:r>
            <w:proofErr w:type="gramEnd"/>
          </w:p>
        </w:tc>
        <w:tc>
          <w:tcPr>
            <w:tcW w:w="0" w:type="auto"/>
          </w:tcPr>
          <w:p w14:paraId="7E477C4F"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0.06</w:t>
            </w:r>
          </w:p>
        </w:tc>
        <w:tc>
          <w:tcPr>
            <w:tcW w:w="0" w:type="auto"/>
          </w:tcPr>
          <w:p w14:paraId="1778EC45"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0.06</w:t>
            </w:r>
          </w:p>
        </w:tc>
        <w:tc>
          <w:tcPr>
            <w:tcW w:w="0" w:type="auto"/>
          </w:tcPr>
          <w:p w14:paraId="150CD96D"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28FDF394"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0.06</w:t>
            </w:r>
          </w:p>
        </w:tc>
      </w:tr>
      <w:tr w:rsidR="00025373" w:rsidRPr="0047369D" w14:paraId="495E1EE5" w14:textId="77777777" w:rsidTr="009931D1">
        <w:tc>
          <w:tcPr>
            <w:cnfStyle w:val="001000000000" w:firstRow="0" w:lastRow="0" w:firstColumn="1" w:lastColumn="0" w:oddVBand="0" w:evenVBand="0" w:oddHBand="0" w:evenHBand="0" w:firstRowFirstColumn="0" w:firstRowLastColumn="0" w:lastRowFirstColumn="0" w:lastRowLastColumn="0"/>
            <w:tcW w:w="0" w:type="auto"/>
          </w:tcPr>
          <w:p w14:paraId="2239A76A" w14:textId="77777777" w:rsidR="00025373" w:rsidRPr="0047369D" w:rsidRDefault="00025373" w:rsidP="007D59DB">
            <w:pPr>
              <w:jc w:val="center"/>
              <w:rPr>
                <w:rFonts w:ascii="Arial" w:hAnsi="Arial" w:cs="Arial"/>
                <w:sz w:val="22"/>
              </w:rPr>
            </w:pPr>
            <w:proofErr w:type="spellStart"/>
            <w:r w:rsidRPr="0047369D">
              <w:rPr>
                <w:rFonts w:ascii="Arial" w:hAnsi="Arial" w:cs="Arial"/>
                <w:sz w:val="22"/>
              </w:rPr>
              <w:t>Ih</w:t>
            </w:r>
            <w:proofErr w:type="spellEnd"/>
            <w:r w:rsidRPr="0047369D">
              <w:rPr>
                <w:rFonts w:ascii="Arial" w:hAnsi="Arial" w:cs="Arial"/>
                <w:sz w:val="22"/>
              </w:rPr>
              <w:t xml:space="preserve"> conductance [S/cm2]</w:t>
            </w:r>
          </w:p>
        </w:tc>
        <w:tc>
          <w:tcPr>
            <w:tcW w:w="0" w:type="auto"/>
          </w:tcPr>
          <w:p w14:paraId="18D8542B"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0.00005</w:t>
            </w:r>
          </w:p>
        </w:tc>
        <w:tc>
          <w:tcPr>
            <w:tcW w:w="0" w:type="auto"/>
          </w:tcPr>
          <w:p w14:paraId="3E21B41D"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0.0001</w:t>
            </w:r>
          </w:p>
        </w:tc>
        <w:tc>
          <w:tcPr>
            <w:tcW w:w="0" w:type="auto"/>
          </w:tcPr>
          <w:p w14:paraId="2E0782BF"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712F946D"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0.00005</w:t>
            </w:r>
          </w:p>
        </w:tc>
      </w:tr>
      <w:tr w:rsidR="009931D1" w:rsidRPr="0047369D" w14:paraId="76ADB46F"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D4166D"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L-type Ca2+ conductance [S/cm</w:t>
            </w:r>
            <w:proofErr w:type="gramStart"/>
            <w:r w:rsidRPr="0047369D">
              <w:rPr>
                <w:rFonts w:ascii="Arial" w:hAnsi="Arial" w:cs="Arial"/>
                <w:sz w:val="22"/>
                <w:lang w:val="en-US"/>
              </w:rPr>
              <w:t>2 ]</w:t>
            </w:r>
            <w:proofErr w:type="gramEnd"/>
          </w:p>
        </w:tc>
        <w:tc>
          <w:tcPr>
            <w:tcW w:w="0" w:type="auto"/>
          </w:tcPr>
          <w:p w14:paraId="756D2844"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0.0007</w:t>
            </w:r>
          </w:p>
        </w:tc>
        <w:tc>
          <w:tcPr>
            <w:tcW w:w="0" w:type="auto"/>
          </w:tcPr>
          <w:p w14:paraId="77AE9C48"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0.00003</w:t>
            </w:r>
          </w:p>
        </w:tc>
        <w:tc>
          <w:tcPr>
            <w:tcW w:w="0" w:type="auto"/>
          </w:tcPr>
          <w:p w14:paraId="00AE5F6F"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3C8FE0BE"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0.00003</w:t>
            </w:r>
          </w:p>
        </w:tc>
      </w:tr>
      <w:tr w:rsidR="00025373" w:rsidRPr="0047369D" w14:paraId="69F9BDE8" w14:textId="77777777" w:rsidTr="009931D1">
        <w:tc>
          <w:tcPr>
            <w:cnfStyle w:val="001000000000" w:firstRow="0" w:lastRow="0" w:firstColumn="1" w:lastColumn="0" w:oddVBand="0" w:evenVBand="0" w:oddHBand="0" w:evenHBand="0" w:firstRowFirstColumn="0" w:firstRowLastColumn="0" w:lastRowFirstColumn="0" w:lastRowLastColumn="0"/>
            <w:tcW w:w="0" w:type="auto"/>
          </w:tcPr>
          <w:p w14:paraId="00F002B6"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R-type Ca2+ conductance [S/cm</w:t>
            </w:r>
            <w:proofErr w:type="gramStart"/>
            <w:r w:rsidRPr="0047369D">
              <w:rPr>
                <w:rFonts w:ascii="Arial" w:hAnsi="Arial" w:cs="Arial"/>
                <w:sz w:val="22"/>
                <w:lang w:val="en-US"/>
              </w:rPr>
              <w:t>2 ]</w:t>
            </w:r>
            <w:proofErr w:type="gramEnd"/>
          </w:p>
        </w:tc>
        <w:tc>
          <w:tcPr>
            <w:tcW w:w="0" w:type="auto"/>
          </w:tcPr>
          <w:p w14:paraId="12A4A150"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0.0003</w:t>
            </w:r>
          </w:p>
        </w:tc>
        <w:tc>
          <w:tcPr>
            <w:tcW w:w="0" w:type="auto"/>
          </w:tcPr>
          <w:p w14:paraId="50CD3F72"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0.00003</w:t>
            </w:r>
          </w:p>
        </w:tc>
        <w:tc>
          <w:tcPr>
            <w:tcW w:w="0" w:type="auto"/>
          </w:tcPr>
          <w:p w14:paraId="6D07E565"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62F84847"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r>
      <w:tr w:rsidR="009931D1" w:rsidRPr="0047369D" w14:paraId="4735071C"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F75FA0"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T-type Ca2+ conductance [S/cm</w:t>
            </w:r>
            <w:proofErr w:type="gramStart"/>
            <w:r w:rsidRPr="0047369D">
              <w:rPr>
                <w:rFonts w:ascii="Arial" w:hAnsi="Arial" w:cs="Arial"/>
                <w:sz w:val="22"/>
                <w:lang w:val="en-US"/>
              </w:rPr>
              <w:t>2 ]</w:t>
            </w:r>
            <w:proofErr w:type="gramEnd"/>
          </w:p>
        </w:tc>
        <w:tc>
          <w:tcPr>
            <w:tcW w:w="0" w:type="auto"/>
          </w:tcPr>
          <w:p w14:paraId="291C37A5"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0.00005</w:t>
            </w:r>
          </w:p>
        </w:tc>
        <w:tc>
          <w:tcPr>
            <w:tcW w:w="0" w:type="auto"/>
          </w:tcPr>
          <w:p w14:paraId="3A8F8976"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0.0001</w:t>
            </w:r>
          </w:p>
        </w:tc>
        <w:tc>
          <w:tcPr>
            <w:tcW w:w="0" w:type="auto"/>
          </w:tcPr>
          <w:p w14:paraId="2F994983"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26A5F1AB"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0.0001</w:t>
            </w:r>
          </w:p>
        </w:tc>
      </w:tr>
      <w:tr w:rsidR="00025373" w:rsidRPr="0047369D" w14:paraId="51A2F673" w14:textId="77777777" w:rsidTr="009931D1">
        <w:tc>
          <w:tcPr>
            <w:cnfStyle w:val="001000000000" w:firstRow="0" w:lastRow="0" w:firstColumn="1" w:lastColumn="0" w:oddVBand="0" w:evenVBand="0" w:oddHBand="0" w:evenHBand="0" w:firstRowFirstColumn="0" w:firstRowLastColumn="0" w:lastRowFirstColumn="0" w:lastRowLastColumn="0"/>
            <w:tcW w:w="0" w:type="auto"/>
          </w:tcPr>
          <w:p w14:paraId="585E9CC7"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 xml:space="preserve">Ca2+ -dependent </w:t>
            </w:r>
            <w:proofErr w:type="spellStart"/>
            <w:r w:rsidRPr="0047369D">
              <w:rPr>
                <w:rFonts w:ascii="Arial" w:hAnsi="Arial" w:cs="Arial"/>
                <w:sz w:val="22"/>
                <w:lang w:val="en-US"/>
              </w:rPr>
              <w:t>sAHP</w:t>
            </w:r>
            <w:proofErr w:type="spellEnd"/>
            <w:r w:rsidRPr="0047369D">
              <w:rPr>
                <w:rFonts w:ascii="Arial" w:hAnsi="Arial" w:cs="Arial"/>
                <w:sz w:val="22"/>
                <w:lang w:val="en-US"/>
              </w:rPr>
              <w:t xml:space="preserve"> K+ conductance [S/cm2]</w:t>
            </w:r>
          </w:p>
        </w:tc>
        <w:tc>
          <w:tcPr>
            <w:tcW w:w="0" w:type="auto"/>
          </w:tcPr>
          <w:p w14:paraId="40B175CE"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0.0015</w:t>
            </w:r>
          </w:p>
        </w:tc>
        <w:tc>
          <w:tcPr>
            <w:tcW w:w="0" w:type="auto"/>
          </w:tcPr>
          <w:p w14:paraId="73012ECF"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0.001</w:t>
            </w:r>
          </w:p>
        </w:tc>
        <w:tc>
          <w:tcPr>
            <w:tcW w:w="0" w:type="auto"/>
          </w:tcPr>
          <w:p w14:paraId="0F6DA646"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7C9094A2"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0.0005</w:t>
            </w:r>
          </w:p>
        </w:tc>
      </w:tr>
      <w:tr w:rsidR="009931D1" w:rsidRPr="0047369D" w14:paraId="534EB29E"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D56D52"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 xml:space="preserve">Ca2+-dependent </w:t>
            </w:r>
            <w:proofErr w:type="spellStart"/>
            <w:r w:rsidRPr="0047369D">
              <w:rPr>
                <w:rFonts w:ascii="Arial" w:hAnsi="Arial" w:cs="Arial"/>
                <w:sz w:val="22"/>
                <w:lang w:val="en-US"/>
              </w:rPr>
              <w:t>mAHP</w:t>
            </w:r>
            <w:proofErr w:type="spellEnd"/>
            <w:r w:rsidRPr="0047369D">
              <w:rPr>
                <w:rFonts w:ascii="Arial" w:hAnsi="Arial" w:cs="Arial"/>
                <w:sz w:val="22"/>
                <w:lang w:val="en-US"/>
              </w:rPr>
              <w:t xml:space="preserve"> K+ conductance [S/cm</w:t>
            </w:r>
            <w:proofErr w:type="gramStart"/>
            <w:r w:rsidRPr="0047369D">
              <w:rPr>
                <w:rFonts w:ascii="Arial" w:hAnsi="Arial" w:cs="Arial"/>
                <w:sz w:val="22"/>
                <w:lang w:val="en-US"/>
              </w:rPr>
              <w:t>2 ]</w:t>
            </w:r>
            <w:proofErr w:type="gramEnd"/>
          </w:p>
        </w:tc>
        <w:tc>
          <w:tcPr>
            <w:tcW w:w="0" w:type="auto"/>
          </w:tcPr>
          <w:p w14:paraId="5DCFD0EF"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0,9</w:t>
            </w:r>
          </w:p>
        </w:tc>
        <w:tc>
          <w:tcPr>
            <w:tcW w:w="0" w:type="auto"/>
          </w:tcPr>
          <w:p w14:paraId="088F3B44"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0,03</w:t>
            </w:r>
          </w:p>
        </w:tc>
        <w:tc>
          <w:tcPr>
            <w:tcW w:w="0" w:type="auto"/>
          </w:tcPr>
          <w:p w14:paraId="79E15C64"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w:t>
            </w:r>
          </w:p>
        </w:tc>
        <w:tc>
          <w:tcPr>
            <w:tcW w:w="0" w:type="auto"/>
          </w:tcPr>
          <w:p w14:paraId="55A26D7A"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0,08</w:t>
            </w:r>
          </w:p>
        </w:tc>
      </w:tr>
      <w:tr w:rsidR="00025373" w:rsidRPr="0047369D" w14:paraId="5FA40DA4" w14:textId="77777777" w:rsidTr="009931D1">
        <w:tc>
          <w:tcPr>
            <w:cnfStyle w:val="001000000000" w:firstRow="0" w:lastRow="0" w:firstColumn="1" w:lastColumn="0" w:oddVBand="0" w:evenVBand="0" w:oddHBand="0" w:evenHBand="0" w:firstRowFirstColumn="0" w:firstRowLastColumn="0" w:lastRowFirstColumn="0" w:lastRowLastColumn="0"/>
            <w:tcW w:w="0" w:type="auto"/>
          </w:tcPr>
          <w:p w14:paraId="0D273450"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Membrane capacitance Cm [</w:t>
            </w:r>
            <w:r w:rsidRPr="0047369D">
              <w:rPr>
                <w:rFonts w:ascii="Arial" w:hAnsi="Arial" w:cs="Arial"/>
                <w:sz w:val="22"/>
              </w:rPr>
              <w:t>μ</w:t>
            </w:r>
            <w:r w:rsidRPr="0047369D">
              <w:rPr>
                <w:rFonts w:ascii="Arial" w:hAnsi="Arial" w:cs="Arial"/>
                <w:sz w:val="22"/>
                <w:lang w:val="en-US"/>
              </w:rPr>
              <w:t>F/cm2]</w:t>
            </w:r>
          </w:p>
        </w:tc>
        <w:tc>
          <w:tcPr>
            <w:tcW w:w="0" w:type="auto"/>
          </w:tcPr>
          <w:p w14:paraId="340E9D88"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1</w:t>
            </w:r>
          </w:p>
        </w:tc>
        <w:tc>
          <w:tcPr>
            <w:tcW w:w="0" w:type="auto"/>
          </w:tcPr>
          <w:p w14:paraId="2FBE3449"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1</w:t>
            </w:r>
          </w:p>
        </w:tc>
        <w:tc>
          <w:tcPr>
            <w:tcW w:w="0" w:type="auto"/>
          </w:tcPr>
          <w:p w14:paraId="2EE8B21B"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1</w:t>
            </w:r>
          </w:p>
        </w:tc>
        <w:tc>
          <w:tcPr>
            <w:tcW w:w="0" w:type="auto"/>
          </w:tcPr>
          <w:p w14:paraId="30058AA1"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1</w:t>
            </w:r>
          </w:p>
        </w:tc>
      </w:tr>
      <w:tr w:rsidR="009931D1" w:rsidRPr="0047369D" w14:paraId="459EEE2D"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AC2D89" w14:textId="77777777" w:rsidR="00025373" w:rsidRPr="0047369D" w:rsidRDefault="00025373" w:rsidP="007D59DB">
            <w:pPr>
              <w:jc w:val="center"/>
              <w:rPr>
                <w:rFonts w:ascii="Arial" w:hAnsi="Arial" w:cs="Arial"/>
                <w:sz w:val="22"/>
                <w:lang w:val="en-US"/>
              </w:rPr>
            </w:pPr>
            <w:r w:rsidRPr="0047369D">
              <w:rPr>
                <w:rFonts w:ascii="Arial" w:hAnsi="Arial" w:cs="Arial"/>
                <w:sz w:val="22"/>
                <w:lang w:val="en-US"/>
              </w:rPr>
              <w:t>Membrane resistance Rm [Ohm cm2]</w:t>
            </w:r>
          </w:p>
        </w:tc>
        <w:tc>
          <w:tcPr>
            <w:tcW w:w="0" w:type="auto"/>
          </w:tcPr>
          <w:p w14:paraId="6F5BBC41"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6000</w:t>
            </w:r>
          </w:p>
        </w:tc>
        <w:tc>
          <w:tcPr>
            <w:tcW w:w="0" w:type="auto"/>
          </w:tcPr>
          <w:p w14:paraId="2D520180"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6000</w:t>
            </w:r>
          </w:p>
        </w:tc>
        <w:tc>
          <w:tcPr>
            <w:tcW w:w="0" w:type="auto"/>
          </w:tcPr>
          <w:p w14:paraId="3E1056F4"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6000</w:t>
            </w:r>
          </w:p>
        </w:tc>
        <w:tc>
          <w:tcPr>
            <w:tcW w:w="0" w:type="auto"/>
          </w:tcPr>
          <w:p w14:paraId="13E4A51C" w14:textId="77777777" w:rsidR="00025373" w:rsidRPr="0047369D" w:rsidRDefault="00025373" w:rsidP="007D59DB">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6000</w:t>
            </w:r>
          </w:p>
        </w:tc>
      </w:tr>
      <w:tr w:rsidR="00025373" w:rsidRPr="0047369D" w14:paraId="4DBADF29" w14:textId="77777777" w:rsidTr="009931D1">
        <w:tc>
          <w:tcPr>
            <w:cnfStyle w:val="001000000000" w:firstRow="0" w:lastRow="0" w:firstColumn="1" w:lastColumn="0" w:oddVBand="0" w:evenVBand="0" w:oddHBand="0" w:evenHBand="0" w:firstRowFirstColumn="0" w:firstRowLastColumn="0" w:lastRowFirstColumn="0" w:lastRowLastColumn="0"/>
            <w:tcW w:w="0" w:type="auto"/>
          </w:tcPr>
          <w:p w14:paraId="7D24075D" w14:textId="77777777" w:rsidR="00025373" w:rsidRPr="0047369D" w:rsidRDefault="00025373" w:rsidP="007D59DB">
            <w:pPr>
              <w:jc w:val="center"/>
              <w:rPr>
                <w:rFonts w:ascii="Arial" w:hAnsi="Arial" w:cs="Arial"/>
                <w:sz w:val="22"/>
              </w:rPr>
            </w:pPr>
            <w:r w:rsidRPr="0047369D">
              <w:rPr>
                <w:rFonts w:ascii="Arial" w:hAnsi="Arial" w:cs="Arial"/>
                <w:sz w:val="22"/>
                <w:lang w:val="en-US"/>
              </w:rPr>
              <w:t>Axial resistance Ra [Ohm cm]</w:t>
            </w:r>
          </w:p>
        </w:tc>
        <w:tc>
          <w:tcPr>
            <w:tcW w:w="0" w:type="auto"/>
          </w:tcPr>
          <w:p w14:paraId="6A3B84E0"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lang w:val="en-US"/>
              </w:rPr>
              <w:t>150</w:t>
            </w:r>
          </w:p>
        </w:tc>
        <w:tc>
          <w:tcPr>
            <w:tcW w:w="0" w:type="auto"/>
          </w:tcPr>
          <w:p w14:paraId="08657C97"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lang w:val="en-US"/>
              </w:rPr>
              <w:t>150</w:t>
            </w:r>
          </w:p>
        </w:tc>
        <w:tc>
          <w:tcPr>
            <w:tcW w:w="0" w:type="auto"/>
          </w:tcPr>
          <w:p w14:paraId="38695FF5"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lang w:val="en-US"/>
              </w:rPr>
              <w:t>150</w:t>
            </w:r>
          </w:p>
        </w:tc>
        <w:tc>
          <w:tcPr>
            <w:tcW w:w="0" w:type="auto"/>
          </w:tcPr>
          <w:p w14:paraId="3D930F33" w14:textId="77777777" w:rsidR="00025373" w:rsidRPr="0047369D" w:rsidRDefault="00025373" w:rsidP="007D59DB">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lang w:val="en-US"/>
              </w:rPr>
              <w:t>150</w:t>
            </w:r>
          </w:p>
        </w:tc>
      </w:tr>
    </w:tbl>
    <w:p w14:paraId="2F88E3EE" w14:textId="66DF79F8" w:rsidR="005B2853" w:rsidRPr="0047369D" w:rsidRDefault="00C33C08" w:rsidP="00FD4609">
      <w:pPr>
        <w:jc w:val="both"/>
        <w:rPr>
          <w:rFonts w:ascii="Arial" w:hAnsi="Arial" w:cs="Arial"/>
          <w:i/>
          <w:iCs/>
          <w:lang w:val="en-US"/>
        </w:rPr>
      </w:pPr>
      <w:r w:rsidRPr="0047369D">
        <w:rPr>
          <w:rFonts w:ascii="Arial" w:hAnsi="Arial" w:cs="Arial"/>
          <w:lang w:val="en-US"/>
        </w:rPr>
        <w:t>*</w:t>
      </w:r>
      <w:r w:rsidRPr="0047369D">
        <w:rPr>
          <w:rFonts w:ascii="Arial" w:hAnsi="Arial" w:cs="Arial"/>
          <w:i/>
          <w:iCs/>
          <w:lang w:val="en-US"/>
        </w:rPr>
        <w:t xml:space="preserve">values as per </w:t>
      </w:r>
      <w:r w:rsidRPr="0047369D">
        <w:rPr>
          <w:rFonts w:ascii="Arial" w:hAnsi="Arial" w:cs="Arial"/>
          <w:i/>
          <w:iCs/>
          <w:lang w:val="en-US"/>
        </w:rPr>
        <w:fldChar w:fldCharType="begin" w:fldLock="1"/>
      </w:r>
      <w:r w:rsidR="0004734A" w:rsidRPr="0047369D">
        <w:rPr>
          <w:rFonts w:ascii="Arial" w:hAnsi="Arial" w:cs="Arial"/>
          <w:i/>
          <w:iCs/>
          <w:lang w:val="en-US"/>
        </w:rPr>
        <w:instrText>ADDIN CSL_CITATION {"citationItems":[{"id":"ITEM-1","itemData":{"DOI":"10.1126/sciadv.adj7427","ISSN":"2375-2548","abstract":"Understanding the plasticity of neuronal networks is an emerging field of (patho-) physiological research, yet the underlying cellular mechanisms remain poorly understood. Gamma oscillations (30 to 80 hertz), a biomarker of cognitive performance, require and potentiate glutamatergic transmission onto parvalbumin-positive interneurons (PVIs), suggesting an interface for cell-to-network plasticity. In ex vivo local field potential recordings, we demonstrate long-term potentiation of hippocampal gamma power. Gamma potentiation obeys established rules of PVI plasticity, requiring calcium-permeable AMPA receptors (CP-AMPARs) and metabotropic glutamate receptors (mGluRs). A microcircuit computational model of CA3 gamma oscillations predicts CP-AMPAR plasticity onto PVIs critically outperforms pyramidal cell plasticity in increasing gamma power and completely accounts for gamma potentiation. We reaffirm this ex vivo in three PVI-targeting animal models, demonstrating that gamma potentiation requires PVI-specific signaling via a Gq /PKC pathway comprising mGluR5 and a Gi-sensitive, PKA-dependent pathway. Gamma activity–dependent, metabotropically mediated CP-AMPAR plasticity on PVIs may serve as a guiding principle in understanding network plasticity in health and disease.","author":[{"dropping-particle":"","family":"Hadler","given":"Michael D.","non-dropping-particle":"","parse-names":false,"suffix":""},{"dropping-particle":"","family":"Tzilivaki","given":"Alexandra","non-dropping-particle":"","parse-names":false,"suffix":""},{"dropping-particle":"","family":"Schmitz","given":"Dietmar","non-dropping-particle":"","parse-names":false,"suffix":""},{"dropping-particle":"","family":"Alle","given":"Henrik","non-dropping-particle":"","parse-names":false,"suffix":""},{"dropping-particle":"","family":"Geiger","given":"Jörg R. P.","non-dropping-particle":"","parse-names":false,"suffix":""}],"container-title":"Science Advances","id":"ITEM-1","issue":"5","issued":{"date-parts":[["2024","2","2"]]},"title":"Gamma oscillation plasticity is mediated via parvalbumin interneurons","type":"article-journal","volume":"10"},"uris":["http://www.mendeley.com/documents/?uuid=1a81ed43-d421-4cd5-a1fe-c10c353cc294"]}],"mendeley":{"formattedCitation":"&lt;sup&gt;10&lt;/sup&gt;","plainTextFormattedCitation":"10","previouslyFormattedCitation":"&lt;sup&gt;10&lt;/sup&gt;"},"properties":{"noteIndex":0},"schema":"https://github.com/citation-style-language/schema/raw/master/csl-citation.json"}</w:instrText>
      </w:r>
      <w:r w:rsidRPr="0047369D">
        <w:rPr>
          <w:rFonts w:ascii="Arial" w:hAnsi="Arial" w:cs="Arial"/>
          <w:i/>
          <w:iCs/>
          <w:lang w:val="en-US"/>
        </w:rPr>
        <w:fldChar w:fldCharType="separate"/>
      </w:r>
      <w:r w:rsidR="00361B6C" w:rsidRPr="0047369D">
        <w:rPr>
          <w:rFonts w:ascii="Arial" w:hAnsi="Arial" w:cs="Arial"/>
          <w:iCs/>
          <w:noProof/>
          <w:vertAlign w:val="superscript"/>
          <w:lang w:val="en-US"/>
        </w:rPr>
        <w:t>10</w:t>
      </w:r>
      <w:r w:rsidRPr="0047369D">
        <w:rPr>
          <w:rFonts w:ascii="Arial" w:hAnsi="Arial" w:cs="Arial"/>
          <w:i/>
          <w:iCs/>
          <w:lang w:val="en-US"/>
        </w:rPr>
        <w:fldChar w:fldCharType="end"/>
      </w:r>
    </w:p>
    <w:p w14:paraId="4448DA76" w14:textId="77777777" w:rsidR="00535BB9" w:rsidRPr="0047369D" w:rsidRDefault="00535BB9" w:rsidP="00FD4609">
      <w:pPr>
        <w:jc w:val="both"/>
        <w:rPr>
          <w:rFonts w:ascii="Arial" w:hAnsi="Arial" w:cs="Arial"/>
          <w:b/>
          <w:bCs/>
          <w:lang w:val="en-US"/>
        </w:rPr>
      </w:pPr>
    </w:p>
    <w:p w14:paraId="557AEE06" w14:textId="77777777" w:rsidR="00BA10F5" w:rsidRPr="0047369D" w:rsidRDefault="00BA10F5" w:rsidP="00FD4609">
      <w:pPr>
        <w:jc w:val="both"/>
        <w:rPr>
          <w:rFonts w:ascii="Arial" w:hAnsi="Arial" w:cs="Arial"/>
          <w:b/>
          <w:bCs/>
          <w:lang w:val="en-US"/>
        </w:rPr>
      </w:pPr>
    </w:p>
    <w:p w14:paraId="6D0EB53C" w14:textId="77777777" w:rsidR="00BA10F5" w:rsidRPr="0047369D" w:rsidRDefault="00BA10F5" w:rsidP="00FD4609">
      <w:pPr>
        <w:jc w:val="both"/>
        <w:rPr>
          <w:rFonts w:ascii="Arial" w:hAnsi="Arial" w:cs="Arial"/>
          <w:b/>
          <w:bCs/>
          <w:lang w:val="en-US"/>
        </w:rPr>
      </w:pPr>
    </w:p>
    <w:tbl>
      <w:tblPr>
        <w:tblStyle w:val="50"/>
        <w:tblW w:w="0" w:type="auto"/>
        <w:tblLook w:val="04A0" w:firstRow="1" w:lastRow="0" w:firstColumn="1" w:lastColumn="0" w:noHBand="0" w:noVBand="1"/>
      </w:tblPr>
      <w:tblGrid>
        <w:gridCol w:w="4514"/>
        <w:gridCol w:w="4512"/>
      </w:tblGrid>
      <w:tr w:rsidR="00953E33" w:rsidRPr="0047369D" w14:paraId="50A0869D" w14:textId="77777777" w:rsidTr="009931D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026" w:type="dxa"/>
            <w:gridSpan w:val="2"/>
          </w:tcPr>
          <w:p w14:paraId="14A67343" w14:textId="329825AB" w:rsidR="00953E33" w:rsidRPr="0047369D" w:rsidRDefault="00953E33" w:rsidP="00953E33">
            <w:pPr>
              <w:jc w:val="both"/>
              <w:rPr>
                <w:rFonts w:ascii="Arial" w:hAnsi="Arial" w:cs="Arial"/>
                <w:b/>
                <w:bCs/>
                <w:sz w:val="22"/>
                <w:lang w:val="en-US"/>
              </w:rPr>
            </w:pPr>
            <w:r w:rsidRPr="0047369D">
              <w:rPr>
                <w:rFonts w:ascii="Arial" w:hAnsi="Arial" w:cs="Arial"/>
                <w:b/>
                <w:bCs/>
                <w:sz w:val="22"/>
                <w:lang w:val="en-US"/>
              </w:rPr>
              <w:t xml:space="preserve">Table S4. Electrophysiological properties of the PCs </w:t>
            </w:r>
            <w:r w:rsidR="009931D1" w:rsidRPr="0047369D">
              <w:rPr>
                <w:rFonts w:ascii="Arial" w:hAnsi="Arial" w:cs="Arial"/>
                <w:b/>
                <w:bCs/>
                <w:sz w:val="22"/>
                <w:lang w:val="en-US"/>
              </w:rPr>
              <w:t xml:space="preserve">and </w:t>
            </w:r>
            <w:r w:rsidRPr="0047369D">
              <w:rPr>
                <w:rFonts w:ascii="Arial" w:hAnsi="Arial" w:cs="Arial"/>
                <w:b/>
                <w:bCs/>
                <w:sz w:val="22"/>
                <w:lang w:val="en-US"/>
              </w:rPr>
              <w:t>FSBCs models</w:t>
            </w:r>
          </w:p>
        </w:tc>
      </w:tr>
      <w:tr w:rsidR="002970AA" w:rsidRPr="0047369D" w14:paraId="6C65C9AD"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4" w:type="dxa"/>
          </w:tcPr>
          <w:p w14:paraId="25A012DC" w14:textId="77777777" w:rsidR="002970AA" w:rsidRPr="0047369D" w:rsidRDefault="002970AA" w:rsidP="007D59DB">
            <w:pPr>
              <w:rPr>
                <w:rFonts w:ascii="Arial" w:hAnsi="Arial" w:cs="Arial"/>
                <w:sz w:val="22"/>
                <w:lang w:val="en-US"/>
              </w:rPr>
            </w:pPr>
          </w:p>
        </w:tc>
        <w:tc>
          <w:tcPr>
            <w:tcW w:w="4512" w:type="dxa"/>
          </w:tcPr>
          <w:p w14:paraId="09005266" w14:textId="77777777" w:rsidR="002970AA" w:rsidRPr="0047369D" w:rsidRDefault="002970AA" w:rsidP="007D59DB">
            <w:pP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Value</w:t>
            </w:r>
          </w:p>
        </w:tc>
      </w:tr>
      <w:tr w:rsidR="002970AA" w:rsidRPr="0047369D" w14:paraId="03E184C7" w14:textId="77777777" w:rsidTr="009931D1">
        <w:tc>
          <w:tcPr>
            <w:cnfStyle w:val="001000000000" w:firstRow="0" w:lastRow="0" w:firstColumn="1" w:lastColumn="0" w:oddVBand="0" w:evenVBand="0" w:oddHBand="0" w:evenHBand="0" w:firstRowFirstColumn="0" w:firstRowLastColumn="0" w:lastRowFirstColumn="0" w:lastRowLastColumn="0"/>
            <w:tcW w:w="4514" w:type="dxa"/>
          </w:tcPr>
          <w:p w14:paraId="17F6DBA6" w14:textId="77777777" w:rsidR="002970AA" w:rsidRPr="0047369D" w:rsidRDefault="002970AA" w:rsidP="007D59DB">
            <w:pPr>
              <w:rPr>
                <w:rFonts w:ascii="Arial" w:hAnsi="Arial" w:cs="Arial"/>
                <w:sz w:val="22"/>
                <w:lang w:val="en-US"/>
              </w:rPr>
            </w:pPr>
            <w:r w:rsidRPr="0047369D">
              <w:rPr>
                <w:rFonts w:ascii="Arial" w:hAnsi="Arial" w:cs="Arial"/>
                <w:sz w:val="22"/>
                <w:lang w:val="en-US"/>
              </w:rPr>
              <w:t>Rheobase (pA)</w:t>
            </w:r>
          </w:p>
        </w:tc>
        <w:tc>
          <w:tcPr>
            <w:tcW w:w="4512" w:type="dxa"/>
          </w:tcPr>
          <w:p w14:paraId="7455350F" w14:textId="73C85387" w:rsidR="002970AA" w:rsidRPr="0047369D" w:rsidRDefault="002970AA" w:rsidP="007D59DB">
            <w:pP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200 (</w:t>
            </w:r>
            <w:proofErr w:type="gramStart"/>
            <w:r w:rsidRPr="0047369D">
              <w:rPr>
                <w:rFonts w:ascii="Arial" w:hAnsi="Arial" w:cs="Arial"/>
                <w:lang w:val="en-US"/>
              </w:rPr>
              <w:t>PC)  /</w:t>
            </w:r>
            <w:proofErr w:type="gramEnd"/>
            <w:r w:rsidR="00693A83" w:rsidRPr="0047369D">
              <w:rPr>
                <w:rFonts w:ascii="Arial" w:hAnsi="Arial" w:cs="Arial"/>
                <w:lang w:val="en-US"/>
              </w:rPr>
              <w:t xml:space="preserve"> 150 +/- 10 (FSBC)</w:t>
            </w:r>
          </w:p>
        </w:tc>
      </w:tr>
      <w:tr w:rsidR="002970AA" w:rsidRPr="0047369D" w14:paraId="05AE45F3"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4" w:type="dxa"/>
          </w:tcPr>
          <w:p w14:paraId="7DAF7160" w14:textId="77777777" w:rsidR="002970AA" w:rsidRPr="0047369D" w:rsidRDefault="002970AA" w:rsidP="007D59DB">
            <w:pPr>
              <w:rPr>
                <w:rFonts w:ascii="Arial" w:hAnsi="Arial" w:cs="Arial"/>
                <w:sz w:val="22"/>
                <w:lang w:val="en-US"/>
              </w:rPr>
            </w:pPr>
            <w:r w:rsidRPr="0047369D">
              <w:rPr>
                <w:rFonts w:ascii="Arial" w:hAnsi="Arial" w:cs="Arial"/>
                <w:sz w:val="22"/>
                <w:lang w:val="en-US"/>
              </w:rPr>
              <w:t>Input Resistance (M</w:t>
            </w:r>
            <w:r w:rsidRPr="0047369D">
              <w:rPr>
                <w:rFonts w:ascii="Arial" w:hAnsi="Arial" w:cs="Arial"/>
                <w:sz w:val="22"/>
                <w:lang w:val="el-GR"/>
              </w:rPr>
              <w:t>Ω</w:t>
            </w:r>
            <w:r w:rsidRPr="0047369D">
              <w:rPr>
                <w:rFonts w:ascii="Arial" w:hAnsi="Arial" w:cs="Arial"/>
                <w:sz w:val="22"/>
                <w:lang w:val="en-US"/>
              </w:rPr>
              <w:t>)</w:t>
            </w:r>
          </w:p>
        </w:tc>
        <w:tc>
          <w:tcPr>
            <w:tcW w:w="4512" w:type="dxa"/>
          </w:tcPr>
          <w:p w14:paraId="4E9D5AB9" w14:textId="28558FEC" w:rsidR="002970AA" w:rsidRPr="0047369D" w:rsidRDefault="002970AA" w:rsidP="007D59DB">
            <w:pP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142 (</w:t>
            </w:r>
            <w:proofErr w:type="gramStart"/>
            <w:r w:rsidRPr="0047369D">
              <w:rPr>
                <w:rFonts w:ascii="Arial" w:hAnsi="Arial" w:cs="Arial"/>
                <w:lang w:val="en-US"/>
              </w:rPr>
              <w:t>PC)  /</w:t>
            </w:r>
            <w:proofErr w:type="gramEnd"/>
            <w:r w:rsidR="00693A83" w:rsidRPr="0047369D">
              <w:rPr>
                <w:rFonts w:ascii="Arial" w:hAnsi="Arial" w:cs="Arial"/>
                <w:lang w:val="en-US"/>
              </w:rPr>
              <w:t xml:space="preserve">   97+/- 30 (FSBC)</w:t>
            </w:r>
          </w:p>
        </w:tc>
      </w:tr>
      <w:tr w:rsidR="002970AA" w:rsidRPr="0047369D" w14:paraId="38FDB745" w14:textId="77777777" w:rsidTr="009931D1">
        <w:tc>
          <w:tcPr>
            <w:cnfStyle w:val="001000000000" w:firstRow="0" w:lastRow="0" w:firstColumn="1" w:lastColumn="0" w:oddVBand="0" w:evenVBand="0" w:oddHBand="0" w:evenHBand="0" w:firstRowFirstColumn="0" w:firstRowLastColumn="0" w:lastRowFirstColumn="0" w:lastRowLastColumn="0"/>
            <w:tcW w:w="4514" w:type="dxa"/>
          </w:tcPr>
          <w:p w14:paraId="09BE2D7C" w14:textId="77777777" w:rsidR="002970AA" w:rsidRPr="0047369D" w:rsidRDefault="002970AA" w:rsidP="007D59DB">
            <w:pPr>
              <w:rPr>
                <w:rFonts w:ascii="Arial" w:hAnsi="Arial" w:cs="Arial"/>
                <w:sz w:val="22"/>
                <w:lang w:val="en-US"/>
              </w:rPr>
            </w:pPr>
            <w:r w:rsidRPr="0047369D">
              <w:rPr>
                <w:rFonts w:ascii="Arial" w:hAnsi="Arial" w:cs="Arial"/>
                <w:sz w:val="22"/>
                <w:lang w:val="en-US"/>
              </w:rPr>
              <w:t>Spike Threshold (mV)</w:t>
            </w:r>
          </w:p>
        </w:tc>
        <w:tc>
          <w:tcPr>
            <w:tcW w:w="4512" w:type="dxa"/>
          </w:tcPr>
          <w:p w14:paraId="5FE395FB" w14:textId="44439939" w:rsidR="002970AA" w:rsidRPr="0047369D" w:rsidRDefault="002970AA" w:rsidP="007D59DB">
            <w:pP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-43,11 (PC) /</w:t>
            </w:r>
            <w:r w:rsidR="00693A83" w:rsidRPr="0047369D">
              <w:rPr>
                <w:rFonts w:ascii="Arial" w:hAnsi="Arial" w:cs="Arial"/>
                <w:lang w:val="en-US"/>
              </w:rPr>
              <w:t xml:space="preserve">   -37 +/-1 (FSBC)</w:t>
            </w:r>
          </w:p>
        </w:tc>
      </w:tr>
      <w:tr w:rsidR="002970AA" w:rsidRPr="0047369D" w14:paraId="7CE5CB88"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4" w:type="dxa"/>
          </w:tcPr>
          <w:p w14:paraId="0F4C6649" w14:textId="77777777" w:rsidR="002970AA" w:rsidRPr="0047369D" w:rsidRDefault="002970AA" w:rsidP="007D59DB">
            <w:pPr>
              <w:rPr>
                <w:rFonts w:ascii="Arial" w:hAnsi="Arial" w:cs="Arial"/>
                <w:sz w:val="22"/>
                <w:lang w:val="en-US"/>
              </w:rPr>
            </w:pPr>
            <w:r w:rsidRPr="0047369D">
              <w:rPr>
                <w:rFonts w:ascii="Arial" w:hAnsi="Arial" w:cs="Arial"/>
                <w:sz w:val="22"/>
                <w:lang w:val="en-US"/>
              </w:rPr>
              <w:t>Spike Overshoot (mV)</w:t>
            </w:r>
          </w:p>
        </w:tc>
        <w:tc>
          <w:tcPr>
            <w:tcW w:w="4512" w:type="dxa"/>
          </w:tcPr>
          <w:p w14:paraId="00FCCA34" w14:textId="4BC45F55" w:rsidR="002970AA" w:rsidRPr="0047369D" w:rsidRDefault="002970AA" w:rsidP="007D59DB">
            <w:pP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47369D">
              <w:rPr>
                <w:rFonts w:ascii="Arial" w:hAnsi="Arial" w:cs="Arial"/>
                <w:lang w:val="en-US"/>
              </w:rPr>
              <w:t>30 (</w:t>
            </w:r>
            <w:proofErr w:type="gramStart"/>
            <w:r w:rsidRPr="0047369D">
              <w:rPr>
                <w:rFonts w:ascii="Arial" w:hAnsi="Arial" w:cs="Arial"/>
                <w:lang w:val="en-US"/>
              </w:rPr>
              <w:t xml:space="preserve">PC)   </w:t>
            </w:r>
            <w:proofErr w:type="gramEnd"/>
            <w:r w:rsidRPr="0047369D">
              <w:rPr>
                <w:rFonts w:ascii="Arial" w:hAnsi="Arial" w:cs="Arial"/>
                <w:lang w:val="en-US"/>
              </w:rPr>
              <w:t xml:space="preserve">  /</w:t>
            </w:r>
            <w:r w:rsidR="00693A83" w:rsidRPr="0047369D">
              <w:rPr>
                <w:rFonts w:ascii="Arial" w:hAnsi="Arial" w:cs="Arial"/>
                <w:lang w:val="en-US"/>
              </w:rPr>
              <w:t xml:space="preserve">     48 +/- 1 (FSBC)</w:t>
            </w:r>
          </w:p>
        </w:tc>
      </w:tr>
      <w:tr w:rsidR="002970AA" w:rsidRPr="0047369D" w14:paraId="2049A127" w14:textId="77777777" w:rsidTr="009931D1">
        <w:tc>
          <w:tcPr>
            <w:cnfStyle w:val="001000000000" w:firstRow="0" w:lastRow="0" w:firstColumn="1" w:lastColumn="0" w:oddVBand="0" w:evenVBand="0" w:oddHBand="0" w:evenHBand="0" w:firstRowFirstColumn="0" w:firstRowLastColumn="0" w:lastRowFirstColumn="0" w:lastRowLastColumn="0"/>
            <w:tcW w:w="4514" w:type="dxa"/>
          </w:tcPr>
          <w:p w14:paraId="16BE2BC7" w14:textId="77777777" w:rsidR="002970AA" w:rsidRPr="0047369D" w:rsidRDefault="002970AA" w:rsidP="007D59DB">
            <w:pPr>
              <w:rPr>
                <w:rFonts w:ascii="Arial" w:hAnsi="Arial" w:cs="Arial"/>
                <w:sz w:val="22"/>
                <w:lang w:val="en-US"/>
              </w:rPr>
            </w:pPr>
            <w:r w:rsidRPr="0047369D">
              <w:rPr>
                <w:rFonts w:ascii="Arial" w:hAnsi="Arial" w:cs="Arial"/>
                <w:sz w:val="22"/>
                <w:lang w:val="en-US"/>
              </w:rPr>
              <w:t>Resting Membrane Potential (mV)</w:t>
            </w:r>
          </w:p>
        </w:tc>
        <w:tc>
          <w:tcPr>
            <w:tcW w:w="4512" w:type="dxa"/>
          </w:tcPr>
          <w:p w14:paraId="18A22A9E" w14:textId="1BB63301" w:rsidR="002970AA" w:rsidRPr="0047369D" w:rsidRDefault="002970AA" w:rsidP="007D59DB">
            <w:pP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47369D">
              <w:rPr>
                <w:rFonts w:ascii="Arial" w:hAnsi="Arial" w:cs="Arial"/>
                <w:lang w:val="en-US"/>
              </w:rPr>
              <w:t>-70 (</w:t>
            </w:r>
            <w:proofErr w:type="gramStart"/>
            <w:r w:rsidRPr="0047369D">
              <w:rPr>
                <w:rFonts w:ascii="Arial" w:hAnsi="Arial" w:cs="Arial"/>
                <w:lang w:val="en-US"/>
              </w:rPr>
              <w:t xml:space="preserve">PC)   </w:t>
            </w:r>
            <w:proofErr w:type="gramEnd"/>
            <w:r w:rsidRPr="0047369D">
              <w:rPr>
                <w:rFonts w:ascii="Arial" w:hAnsi="Arial" w:cs="Arial"/>
                <w:lang w:val="en-US"/>
              </w:rPr>
              <w:t xml:space="preserve">   /</w:t>
            </w:r>
            <w:r w:rsidR="00693A83" w:rsidRPr="0047369D">
              <w:rPr>
                <w:rFonts w:ascii="Arial" w:hAnsi="Arial" w:cs="Arial"/>
                <w:lang w:val="en-US"/>
              </w:rPr>
              <w:t xml:space="preserve">   -68 (FSBC)</w:t>
            </w:r>
          </w:p>
        </w:tc>
      </w:tr>
      <w:tr w:rsidR="002970AA" w:rsidRPr="0047369D" w14:paraId="71A1354F"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4" w:type="dxa"/>
          </w:tcPr>
          <w:p w14:paraId="43B82005" w14:textId="690BF522" w:rsidR="002970AA" w:rsidRPr="0047369D" w:rsidRDefault="002970AA" w:rsidP="007D59DB">
            <w:pPr>
              <w:tabs>
                <w:tab w:val="left" w:pos="3500"/>
              </w:tabs>
              <w:rPr>
                <w:rFonts w:ascii="Arial" w:hAnsi="Arial" w:cs="Arial"/>
                <w:sz w:val="22"/>
                <w:lang w:val="en-US"/>
              </w:rPr>
            </w:pPr>
          </w:p>
        </w:tc>
        <w:tc>
          <w:tcPr>
            <w:tcW w:w="4512" w:type="dxa"/>
          </w:tcPr>
          <w:p w14:paraId="09B14B44" w14:textId="2BFECD05" w:rsidR="002970AA" w:rsidRPr="0047369D" w:rsidRDefault="002970AA" w:rsidP="007D59DB">
            <w:pPr>
              <w:cnfStyle w:val="000000100000" w:firstRow="0" w:lastRow="0" w:firstColumn="0" w:lastColumn="0" w:oddVBand="0" w:evenVBand="0" w:oddHBand="1" w:evenHBand="0" w:firstRowFirstColumn="0" w:firstRowLastColumn="0" w:lastRowFirstColumn="0" w:lastRowLastColumn="0"/>
              <w:rPr>
                <w:rFonts w:ascii="Arial" w:hAnsi="Arial" w:cs="Arial"/>
                <w:lang w:val="en-US"/>
              </w:rPr>
            </w:pPr>
          </w:p>
        </w:tc>
      </w:tr>
    </w:tbl>
    <w:p w14:paraId="7902DAA7" w14:textId="77777777" w:rsidR="005B2853" w:rsidRPr="0047369D" w:rsidRDefault="005B2853" w:rsidP="002970AA">
      <w:pPr>
        <w:jc w:val="both"/>
        <w:rPr>
          <w:rFonts w:ascii="Arial" w:hAnsi="Arial" w:cs="Arial"/>
          <w:b/>
          <w:bCs/>
          <w:lang w:val="en-US"/>
        </w:rPr>
      </w:pPr>
    </w:p>
    <w:p w14:paraId="6D6FD1A0" w14:textId="77777777" w:rsidR="00BA10F5" w:rsidRPr="0047369D" w:rsidRDefault="00BA10F5" w:rsidP="002970AA">
      <w:pPr>
        <w:jc w:val="both"/>
        <w:rPr>
          <w:rFonts w:ascii="Arial" w:hAnsi="Arial" w:cs="Arial"/>
          <w:b/>
          <w:bCs/>
          <w:lang w:val="en-US"/>
        </w:rPr>
      </w:pPr>
    </w:p>
    <w:tbl>
      <w:tblPr>
        <w:tblStyle w:val="50"/>
        <w:tblW w:w="0" w:type="auto"/>
        <w:tblLook w:val="04A0" w:firstRow="1" w:lastRow="0" w:firstColumn="1" w:lastColumn="0" w:noHBand="0" w:noVBand="1"/>
      </w:tblPr>
      <w:tblGrid>
        <w:gridCol w:w="4410"/>
        <w:gridCol w:w="1609"/>
        <w:gridCol w:w="3007"/>
      </w:tblGrid>
      <w:tr w:rsidR="00953E33" w:rsidRPr="0047369D" w14:paraId="5E8BF695" w14:textId="77777777" w:rsidTr="009931D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026" w:type="dxa"/>
            <w:gridSpan w:val="3"/>
          </w:tcPr>
          <w:p w14:paraId="4BC1A2B6" w14:textId="5C4FC450" w:rsidR="00953E33" w:rsidRPr="0047369D" w:rsidRDefault="00953E33" w:rsidP="00530E22">
            <w:pPr>
              <w:jc w:val="both"/>
              <w:rPr>
                <w:rFonts w:ascii="Arial" w:hAnsi="Arial" w:cs="Arial"/>
                <w:b/>
                <w:bCs/>
                <w:sz w:val="22"/>
                <w:lang w:val="en-US"/>
              </w:rPr>
            </w:pPr>
            <w:r w:rsidRPr="0047369D">
              <w:rPr>
                <w:rFonts w:ascii="Arial" w:hAnsi="Arial" w:cs="Arial"/>
                <w:b/>
                <w:bCs/>
                <w:sz w:val="22"/>
                <w:lang w:val="en-US"/>
              </w:rPr>
              <w:t>Table S5. Synaptic conductance weight values of the PC and FSBC models.</w:t>
            </w:r>
          </w:p>
        </w:tc>
      </w:tr>
      <w:tr w:rsidR="00027DF5" w:rsidRPr="0047369D" w14:paraId="452F63AC"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tcPr>
          <w:p w14:paraId="34AA2CAD" w14:textId="77777777" w:rsidR="005C3497" w:rsidRPr="0047369D" w:rsidRDefault="005C3497" w:rsidP="007D59DB">
            <w:pPr>
              <w:rPr>
                <w:rFonts w:ascii="Arial" w:hAnsi="Arial" w:cs="Arial"/>
                <w:sz w:val="22"/>
              </w:rPr>
            </w:pPr>
            <w:r w:rsidRPr="0047369D">
              <w:rPr>
                <w:rFonts w:ascii="Arial" w:hAnsi="Arial" w:cs="Arial"/>
                <w:sz w:val="22"/>
              </w:rPr>
              <w:t>Synapse Type</w:t>
            </w:r>
          </w:p>
        </w:tc>
        <w:tc>
          <w:tcPr>
            <w:tcW w:w="1609" w:type="dxa"/>
          </w:tcPr>
          <w:p w14:paraId="7F80AF20" w14:textId="77777777" w:rsidR="005C3497" w:rsidRPr="0047369D" w:rsidRDefault="005C3497"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Pyramidal model</w:t>
            </w:r>
          </w:p>
        </w:tc>
        <w:tc>
          <w:tcPr>
            <w:tcW w:w="3007" w:type="dxa"/>
          </w:tcPr>
          <w:p w14:paraId="6F721CE6" w14:textId="77777777" w:rsidR="00121704" w:rsidRPr="0047369D" w:rsidRDefault="00AC6F05"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 xml:space="preserve">FSBC </w:t>
            </w:r>
            <w:r w:rsidR="005C3497" w:rsidRPr="0047369D">
              <w:rPr>
                <w:rFonts w:ascii="Arial" w:hAnsi="Arial" w:cs="Arial"/>
              </w:rPr>
              <w:t xml:space="preserve"> </w:t>
            </w:r>
          </w:p>
          <w:p w14:paraId="06CB6D5E" w14:textId="1D12A5DF" w:rsidR="005C3497" w:rsidRPr="0047369D" w:rsidRDefault="005C3497"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model</w:t>
            </w:r>
          </w:p>
        </w:tc>
      </w:tr>
      <w:tr w:rsidR="00027DF5" w:rsidRPr="0047369D" w14:paraId="2D7DFA7D" w14:textId="77777777" w:rsidTr="009931D1">
        <w:tc>
          <w:tcPr>
            <w:cnfStyle w:val="001000000000" w:firstRow="0" w:lastRow="0" w:firstColumn="1" w:lastColumn="0" w:oddVBand="0" w:evenVBand="0" w:oddHBand="0" w:evenHBand="0" w:firstRowFirstColumn="0" w:firstRowLastColumn="0" w:lastRowFirstColumn="0" w:lastRowLastColumn="0"/>
            <w:tcW w:w="4410" w:type="dxa"/>
          </w:tcPr>
          <w:p w14:paraId="460FA3FC" w14:textId="2E37243D" w:rsidR="005C3497" w:rsidRPr="0047369D" w:rsidRDefault="005C3497" w:rsidP="007D59DB">
            <w:pPr>
              <w:rPr>
                <w:rFonts w:ascii="Arial" w:hAnsi="Arial" w:cs="Arial"/>
                <w:sz w:val="22"/>
              </w:rPr>
            </w:pPr>
            <w:r w:rsidRPr="0047369D">
              <w:rPr>
                <w:rFonts w:ascii="Arial" w:hAnsi="Arial" w:cs="Arial"/>
                <w:sz w:val="22"/>
              </w:rPr>
              <w:t>INPUT AMPA</w:t>
            </w:r>
          </w:p>
        </w:tc>
        <w:tc>
          <w:tcPr>
            <w:tcW w:w="1609" w:type="dxa"/>
          </w:tcPr>
          <w:p w14:paraId="6112E6F7" w14:textId="6C3FC649" w:rsidR="005C3497" w:rsidRPr="0047369D" w:rsidRDefault="005C3497" w:rsidP="007D59DB">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0,002</w:t>
            </w:r>
            <w:r w:rsidR="001039AF" w:rsidRPr="0047369D">
              <w:rPr>
                <w:rFonts w:ascii="Arial" w:hAnsi="Arial" w:cs="Arial"/>
              </w:rPr>
              <w:t>72</w:t>
            </w:r>
          </w:p>
        </w:tc>
        <w:tc>
          <w:tcPr>
            <w:tcW w:w="3007" w:type="dxa"/>
          </w:tcPr>
          <w:p w14:paraId="2D338B91" w14:textId="77777777" w:rsidR="005C3497" w:rsidRPr="0047369D" w:rsidRDefault="005C3497" w:rsidP="007D59DB">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r>
      <w:tr w:rsidR="009931D1" w:rsidRPr="0047369D" w14:paraId="6AC35C37"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tcPr>
          <w:p w14:paraId="54FF6BD2" w14:textId="77777777" w:rsidR="005C3497" w:rsidRPr="0047369D" w:rsidRDefault="005C3497" w:rsidP="007D59DB">
            <w:pPr>
              <w:rPr>
                <w:rFonts w:ascii="Arial" w:hAnsi="Arial" w:cs="Arial"/>
                <w:sz w:val="22"/>
              </w:rPr>
            </w:pPr>
            <w:r w:rsidRPr="0047369D">
              <w:rPr>
                <w:rFonts w:ascii="Arial" w:hAnsi="Arial" w:cs="Arial"/>
                <w:sz w:val="22"/>
              </w:rPr>
              <w:t>INPUT NMDA</w:t>
            </w:r>
          </w:p>
        </w:tc>
        <w:tc>
          <w:tcPr>
            <w:tcW w:w="1609" w:type="dxa"/>
          </w:tcPr>
          <w:p w14:paraId="65D82C08" w14:textId="4B0B7370" w:rsidR="005C3497" w:rsidRPr="0047369D" w:rsidRDefault="005C3497"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0,005</w:t>
            </w:r>
            <w:r w:rsidR="00AC6F05" w:rsidRPr="0047369D">
              <w:rPr>
                <w:rFonts w:ascii="Arial" w:hAnsi="Arial" w:cs="Arial"/>
              </w:rPr>
              <w:t>3</w:t>
            </w:r>
          </w:p>
        </w:tc>
        <w:tc>
          <w:tcPr>
            <w:tcW w:w="3007" w:type="dxa"/>
          </w:tcPr>
          <w:p w14:paraId="311E1975" w14:textId="11AB2CCC" w:rsidR="005C3497" w:rsidRPr="0047369D" w:rsidRDefault="00AC6F05"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0.00032</w:t>
            </w:r>
          </w:p>
        </w:tc>
      </w:tr>
      <w:tr w:rsidR="005C3497" w:rsidRPr="0047369D" w14:paraId="730A7E40" w14:textId="77777777" w:rsidTr="009931D1">
        <w:tc>
          <w:tcPr>
            <w:cnfStyle w:val="001000000000" w:firstRow="0" w:lastRow="0" w:firstColumn="1" w:lastColumn="0" w:oddVBand="0" w:evenVBand="0" w:oddHBand="0" w:evenHBand="0" w:firstRowFirstColumn="0" w:firstRowLastColumn="0" w:lastRowFirstColumn="0" w:lastRowLastColumn="0"/>
            <w:tcW w:w="4410" w:type="dxa"/>
          </w:tcPr>
          <w:p w14:paraId="31653C86" w14:textId="658DB507" w:rsidR="005C3497" w:rsidRPr="0047369D" w:rsidRDefault="00AC6F05" w:rsidP="007D59DB">
            <w:pPr>
              <w:rPr>
                <w:rFonts w:ascii="Arial" w:hAnsi="Arial" w:cs="Arial"/>
                <w:sz w:val="22"/>
              </w:rPr>
            </w:pPr>
            <w:r w:rsidRPr="0047369D">
              <w:rPr>
                <w:rFonts w:ascii="Arial" w:hAnsi="Arial" w:cs="Arial"/>
                <w:sz w:val="22"/>
              </w:rPr>
              <w:t xml:space="preserve">INPUT CA++ </w:t>
            </w:r>
            <w:r w:rsidR="00E2537E" w:rsidRPr="0047369D">
              <w:rPr>
                <w:rFonts w:ascii="Arial" w:hAnsi="Arial" w:cs="Arial"/>
                <w:sz w:val="22"/>
              </w:rPr>
              <w:t>PERMEABLE (</w:t>
            </w:r>
            <w:r w:rsidRPr="0047369D">
              <w:rPr>
                <w:rFonts w:ascii="Arial" w:hAnsi="Arial" w:cs="Arial"/>
                <w:sz w:val="22"/>
              </w:rPr>
              <w:t>CP)-AMPA</w:t>
            </w:r>
          </w:p>
        </w:tc>
        <w:tc>
          <w:tcPr>
            <w:tcW w:w="1609" w:type="dxa"/>
          </w:tcPr>
          <w:p w14:paraId="13CFBD4B" w14:textId="0F999DAF" w:rsidR="005C3497" w:rsidRPr="0047369D" w:rsidRDefault="005C3497" w:rsidP="007D59DB">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c>
          <w:tcPr>
            <w:tcW w:w="3007" w:type="dxa"/>
          </w:tcPr>
          <w:p w14:paraId="239DAD35" w14:textId="645C7BEF" w:rsidR="005C3497" w:rsidRPr="0047369D" w:rsidRDefault="00AC6F05" w:rsidP="007D59DB">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0.00075</w:t>
            </w:r>
          </w:p>
        </w:tc>
      </w:tr>
      <w:tr w:rsidR="00AC6F05" w:rsidRPr="0047369D" w14:paraId="667C99F7"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tcPr>
          <w:p w14:paraId="63B5AB74" w14:textId="77777777" w:rsidR="005C3497" w:rsidRPr="0047369D" w:rsidRDefault="005C3497" w:rsidP="007D59DB">
            <w:pPr>
              <w:rPr>
                <w:rFonts w:ascii="Arial" w:hAnsi="Arial" w:cs="Arial"/>
                <w:sz w:val="22"/>
              </w:rPr>
            </w:pPr>
            <w:r w:rsidRPr="0047369D">
              <w:rPr>
                <w:rFonts w:ascii="Arial" w:hAnsi="Arial" w:cs="Arial"/>
                <w:sz w:val="22"/>
              </w:rPr>
              <w:t xml:space="preserve"> AMPA</w:t>
            </w:r>
          </w:p>
        </w:tc>
        <w:tc>
          <w:tcPr>
            <w:tcW w:w="1609" w:type="dxa"/>
          </w:tcPr>
          <w:p w14:paraId="4B7F7C8C" w14:textId="3E990675" w:rsidR="005C3497" w:rsidRPr="0047369D" w:rsidRDefault="005C3497"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 xml:space="preserve">0,0017 </w:t>
            </w:r>
          </w:p>
        </w:tc>
        <w:tc>
          <w:tcPr>
            <w:tcW w:w="3007" w:type="dxa"/>
          </w:tcPr>
          <w:p w14:paraId="74D9E6EA" w14:textId="77777777" w:rsidR="005C3497" w:rsidRPr="0047369D" w:rsidRDefault="005C3497"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w:t>
            </w:r>
          </w:p>
        </w:tc>
      </w:tr>
      <w:tr w:rsidR="00AC6F05" w:rsidRPr="0047369D" w14:paraId="3532703C" w14:textId="77777777" w:rsidTr="009931D1">
        <w:tc>
          <w:tcPr>
            <w:cnfStyle w:val="001000000000" w:firstRow="0" w:lastRow="0" w:firstColumn="1" w:lastColumn="0" w:oddVBand="0" w:evenVBand="0" w:oddHBand="0" w:evenHBand="0" w:firstRowFirstColumn="0" w:firstRowLastColumn="0" w:lastRowFirstColumn="0" w:lastRowLastColumn="0"/>
            <w:tcW w:w="4410" w:type="dxa"/>
          </w:tcPr>
          <w:p w14:paraId="552B756A" w14:textId="77777777" w:rsidR="005C3497" w:rsidRPr="0047369D" w:rsidRDefault="005C3497" w:rsidP="007D59DB">
            <w:pPr>
              <w:rPr>
                <w:rFonts w:ascii="Arial" w:hAnsi="Arial" w:cs="Arial"/>
                <w:sz w:val="22"/>
              </w:rPr>
            </w:pPr>
            <w:r w:rsidRPr="0047369D">
              <w:rPr>
                <w:rFonts w:ascii="Arial" w:hAnsi="Arial" w:cs="Arial"/>
                <w:sz w:val="22"/>
              </w:rPr>
              <w:t>CP-AMPA</w:t>
            </w:r>
          </w:p>
        </w:tc>
        <w:tc>
          <w:tcPr>
            <w:tcW w:w="1609" w:type="dxa"/>
          </w:tcPr>
          <w:p w14:paraId="7F4457CB" w14:textId="77777777" w:rsidR="005C3497" w:rsidRPr="0047369D" w:rsidRDefault="005C3497" w:rsidP="005C3497">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w:t>
            </w:r>
          </w:p>
        </w:tc>
        <w:tc>
          <w:tcPr>
            <w:tcW w:w="3007" w:type="dxa"/>
          </w:tcPr>
          <w:p w14:paraId="7BE90359" w14:textId="4E919549" w:rsidR="005C3497" w:rsidRPr="0047369D" w:rsidRDefault="005C3497" w:rsidP="007D59DB">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w:t>
            </w:r>
            <w:r w:rsidR="00381442" w:rsidRPr="0047369D">
              <w:rPr>
                <w:rFonts w:ascii="Arial" w:hAnsi="Arial" w:cs="Arial"/>
              </w:rPr>
              <w:t>34</w:t>
            </w:r>
            <w:r w:rsidRPr="0047369D">
              <w:rPr>
                <w:rFonts w:ascii="Arial" w:hAnsi="Arial" w:cs="Arial"/>
              </w:rPr>
              <w:t xml:space="preserve"> </w:t>
            </w:r>
          </w:p>
        </w:tc>
      </w:tr>
      <w:tr w:rsidR="00AC6F05" w:rsidRPr="0047369D" w14:paraId="182233C7"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tcPr>
          <w:p w14:paraId="6B086DDC" w14:textId="77777777" w:rsidR="005C3497" w:rsidRPr="0047369D" w:rsidRDefault="005C3497" w:rsidP="007D59DB">
            <w:pPr>
              <w:rPr>
                <w:rFonts w:ascii="Arial" w:hAnsi="Arial" w:cs="Arial"/>
                <w:sz w:val="22"/>
              </w:rPr>
            </w:pPr>
            <w:r w:rsidRPr="0047369D">
              <w:rPr>
                <w:rFonts w:ascii="Arial" w:hAnsi="Arial" w:cs="Arial"/>
                <w:sz w:val="22"/>
              </w:rPr>
              <w:t>NMDA</w:t>
            </w:r>
          </w:p>
        </w:tc>
        <w:tc>
          <w:tcPr>
            <w:tcW w:w="1609" w:type="dxa"/>
          </w:tcPr>
          <w:p w14:paraId="3D6B7660" w14:textId="1BFB7BAC" w:rsidR="005C3497" w:rsidRPr="0047369D" w:rsidRDefault="005C3497"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w:t>
            </w:r>
            <w:r w:rsidR="001F0EBB" w:rsidRPr="0047369D">
              <w:rPr>
                <w:rFonts w:ascii="Arial" w:hAnsi="Arial" w:cs="Arial"/>
              </w:rPr>
              <w:t>51</w:t>
            </w:r>
          </w:p>
        </w:tc>
        <w:tc>
          <w:tcPr>
            <w:tcW w:w="3007" w:type="dxa"/>
          </w:tcPr>
          <w:p w14:paraId="5EA9189D" w14:textId="579B6223" w:rsidR="005C3497" w:rsidRPr="0047369D" w:rsidRDefault="002B6D58"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0.00144</w:t>
            </w:r>
          </w:p>
        </w:tc>
      </w:tr>
      <w:tr w:rsidR="00AC6F05" w:rsidRPr="0047369D" w14:paraId="63BAC30A" w14:textId="77777777" w:rsidTr="009931D1">
        <w:tc>
          <w:tcPr>
            <w:cnfStyle w:val="001000000000" w:firstRow="0" w:lastRow="0" w:firstColumn="1" w:lastColumn="0" w:oddVBand="0" w:evenVBand="0" w:oddHBand="0" w:evenHBand="0" w:firstRowFirstColumn="0" w:firstRowLastColumn="0" w:lastRowFirstColumn="0" w:lastRowLastColumn="0"/>
            <w:tcW w:w="4410" w:type="dxa"/>
          </w:tcPr>
          <w:p w14:paraId="73290C9E" w14:textId="77777777" w:rsidR="005C3497" w:rsidRPr="0047369D" w:rsidRDefault="005C3497" w:rsidP="007D59DB">
            <w:pPr>
              <w:rPr>
                <w:rFonts w:ascii="Arial" w:hAnsi="Arial" w:cs="Arial"/>
                <w:sz w:val="22"/>
              </w:rPr>
            </w:pPr>
            <w:r w:rsidRPr="0047369D">
              <w:rPr>
                <w:rFonts w:ascii="Arial" w:hAnsi="Arial" w:cs="Arial"/>
                <w:sz w:val="22"/>
              </w:rPr>
              <w:t>GABA</w:t>
            </w:r>
          </w:p>
        </w:tc>
        <w:tc>
          <w:tcPr>
            <w:tcW w:w="1609" w:type="dxa"/>
          </w:tcPr>
          <w:p w14:paraId="08D5F380" w14:textId="6AEB671C" w:rsidR="005C3497" w:rsidRPr="0047369D" w:rsidRDefault="005C3497" w:rsidP="007D59DB">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w:t>
            </w:r>
            <w:r w:rsidR="000963C2" w:rsidRPr="0047369D">
              <w:rPr>
                <w:rFonts w:ascii="Arial" w:hAnsi="Arial" w:cs="Arial"/>
              </w:rPr>
              <w:t>68</w:t>
            </w:r>
          </w:p>
        </w:tc>
        <w:tc>
          <w:tcPr>
            <w:tcW w:w="3007" w:type="dxa"/>
          </w:tcPr>
          <w:p w14:paraId="12EB30C5" w14:textId="55BDEA3A" w:rsidR="005C3497" w:rsidRPr="0047369D" w:rsidRDefault="005C3497" w:rsidP="007D59DB">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7369D">
              <w:rPr>
                <w:rFonts w:ascii="Arial" w:hAnsi="Arial" w:cs="Arial"/>
              </w:rPr>
              <w:t>0,00</w:t>
            </w:r>
            <w:r w:rsidR="001624B7" w:rsidRPr="0047369D">
              <w:rPr>
                <w:rFonts w:ascii="Arial" w:hAnsi="Arial" w:cs="Arial"/>
              </w:rPr>
              <w:t>7</w:t>
            </w:r>
          </w:p>
        </w:tc>
      </w:tr>
      <w:tr w:rsidR="00AC6F05" w:rsidRPr="0047369D" w14:paraId="509FAAB8" w14:textId="77777777" w:rsidTr="009931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tcPr>
          <w:p w14:paraId="0ED94FCC" w14:textId="77777777" w:rsidR="005C3497" w:rsidRPr="0047369D" w:rsidRDefault="005C3497" w:rsidP="007D59DB">
            <w:pPr>
              <w:rPr>
                <w:rFonts w:ascii="Arial" w:hAnsi="Arial" w:cs="Arial"/>
                <w:sz w:val="22"/>
              </w:rPr>
            </w:pPr>
            <w:proofErr w:type="spellStart"/>
            <w:r w:rsidRPr="0047369D">
              <w:rPr>
                <w:rFonts w:ascii="Arial" w:hAnsi="Arial" w:cs="Arial"/>
                <w:sz w:val="22"/>
              </w:rPr>
              <w:t>Autapse</w:t>
            </w:r>
            <w:proofErr w:type="spellEnd"/>
            <w:r w:rsidRPr="0047369D">
              <w:rPr>
                <w:rFonts w:ascii="Arial" w:hAnsi="Arial" w:cs="Arial"/>
                <w:sz w:val="22"/>
              </w:rPr>
              <w:t xml:space="preserve"> GABA</w:t>
            </w:r>
          </w:p>
        </w:tc>
        <w:tc>
          <w:tcPr>
            <w:tcW w:w="1609" w:type="dxa"/>
          </w:tcPr>
          <w:p w14:paraId="41D6ED92" w14:textId="77777777" w:rsidR="005C3497" w:rsidRPr="0047369D" w:rsidRDefault="005C3497"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w:t>
            </w:r>
          </w:p>
        </w:tc>
        <w:tc>
          <w:tcPr>
            <w:tcW w:w="3007" w:type="dxa"/>
          </w:tcPr>
          <w:p w14:paraId="6D64D72C" w14:textId="77777777" w:rsidR="005C3497" w:rsidRPr="0047369D" w:rsidRDefault="005C3497" w:rsidP="007D59DB">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7369D">
              <w:rPr>
                <w:rFonts w:ascii="Arial" w:hAnsi="Arial" w:cs="Arial"/>
              </w:rPr>
              <w:t>0,007</w:t>
            </w:r>
          </w:p>
        </w:tc>
      </w:tr>
    </w:tbl>
    <w:p w14:paraId="6C9E8C2E" w14:textId="03C73814" w:rsidR="005B2853" w:rsidRPr="0047369D" w:rsidRDefault="0010682B" w:rsidP="00953E33">
      <w:pPr>
        <w:jc w:val="both"/>
        <w:rPr>
          <w:rFonts w:ascii="Arial" w:hAnsi="Arial" w:cs="Arial"/>
          <w:i/>
          <w:iCs/>
          <w:lang w:val="en-US"/>
        </w:rPr>
      </w:pPr>
      <w:r w:rsidRPr="0047369D">
        <w:rPr>
          <w:rFonts w:ascii="Arial" w:hAnsi="Arial" w:cs="Arial"/>
          <w:lang w:val="en-US"/>
        </w:rPr>
        <w:t>*</w:t>
      </w:r>
      <w:r w:rsidRPr="0047369D">
        <w:rPr>
          <w:rFonts w:ascii="Arial" w:hAnsi="Arial" w:cs="Arial"/>
          <w:i/>
          <w:iCs/>
          <w:lang w:val="en-US"/>
        </w:rPr>
        <w:t>values based on</w:t>
      </w:r>
      <w:r w:rsidRPr="0047369D">
        <w:rPr>
          <w:rFonts w:ascii="Arial" w:hAnsi="Arial" w:cs="Arial"/>
          <w:i/>
          <w:iCs/>
          <w:lang w:val="en-US"/>
        </w:rPr>
        <w:fldChar w:fldCharType="begin" w:fldLock="1"/>
      </w:r>
      <w:r w:rsidR="0004734A" w:rsidRPr="0047369D">
        <w:rPr>
          <w:rFonts w:ascii="Arial" w:hAnsi="Arial" w:cs="Arial"/>
          <w:i/>
          <w:iCs/>
          <w:lang w:val="en-US"/>
        </w:rPr>
        <w:instrText>ADDIN CSL_CITATION {"citationItems":[{"id":"ITEM-1","itemData":{"DOI":"10.1038/s41467-019-11537-7","ISSN":"2041-1723","abstract":"Interneurons are critical for the proper functioning of neural circuits. While often morphologically complex, their dendrites have been ignored for decades, treating them as linear point neurons. Exciting new findings reveal complex, non-linear dendritic computations that call for a new theory of interneuron arithmetic. Using detailed biophysical models, we predict that dendrites of FS basket cells in both hippocampus and prefrontal cortex come in two flavors: supralinear, supporting local sodium spikes within large-volume branches and sublinear, in small-volume branches. Synaptic activation of varying sets of these dendrites leads to somatic firing variability that cannot be fully explained by the point neuron reduction. Instead, a 2-stage artificial neural network (ANN), with sub- and supralinear hidden nodes, captures most of the variance. Reduced neuronal circuit modeling suggest that this bi-modal, 2-stage integration in FS basket cells confers substantial resource savings in memory encoding as well as the linking of memories across time.","author":[{"dropping-particle":"","family":"Tzilivaki","given":"Alexandra","non-dropping-particle":"","parse-names":false,"suffix":""},{"dropping-particle":"","family":"Kastellakis","given":"George","non-dropping-particle":"","parse-names":false,"suffix":""},{"dropping-particle":"","family":"Poirazi","given":"Panayiota","non-dropping-particle":"","parse-names":false,"suffix":""}],"container-title":"Nature Communications","id":"ITEM-1","issue":"1","issued":{"date-parts":[["2019","8","14"]]},"page":"3664","title":"Challenging the point neuron dogma: FS basket cells as 2-stage nonlinear integrators","type":"article-journal","volume":"10"},"uris":["http://www.mendeley.com/documents/?uuid=20787a3d-65a7-4cb7-b292-748e9b409361"]},{"id":"ITEM-2","itemData":{"DOI":"10.1126/sciadv.adj7427","ISSN":"2375-2548","abstract":"Understanding the plasticity of neuronal networks is an emerging field of (patho-) physiological research, yet the underlying cellular mechanisms remain poorly understood. Gamma oscillations (30 to 80 hertz), a biomarker of cognitive performance, require and potentiate glutamatergic transmission onto parvalbumin-positive interneurons (PVIs), suggesting an interface for cell-to-network plasticity. In ex vivo local field potential recordings, we demonstrate long-term potentiation of hippocampal gamma power. Gamma potentiation obeys established rules of PVI plasticity, requiring calcium-permeable AMPA receptors (CP-AMPARs) and metabotropic glutamate receptors (mGluRs). A microcircuit computational model of CA3 gamma oscillations predicts CP-AMPAR plasticity onto PVIs critically outperforms pyramidal cell plasticity in increasing gamma power and completely accounts for gamma potentiation. We reaffirm this ex vivo in three PVI-targeting animal models, demonstrating that gamma potentiation requires PVI-specific signaling via a Gq /PKC pathway comprising mGluR5 and a Gi-sensitive, PKA-dependent pathway. Gamma activity–dependent, metabotropically mediated CP-AMPAR plasticity on PVIs may serve as a guiding principle in understanding network plasticity in health and disease.","author":[{"dropping-particle":"","family":"Hadler","given":"Michael D.","non-dropping-particle":"","parse-names":false,"suffix":""},{"dropping-particle":"","family":"Tzilivaki","given":"Alexandra","non-dropping-particle":"","parse-names":false,"suffix":""},{"dropping-particle":"","family":"Schmitz","given":"Dietmar","non-dropping-particle":"","parse-names":false,"suffix":""},{"dropping-particle":"","family":"Alle","given":"Henrik","non-dropping-particle":"","parse-names":false,"suffix":""},{"dropping-particle":"","family":"Geiger","given":"Jörg R. P.","non-dropping-particle":"","parse-names":false,"suffix":""}],"container-title":"Science Advances","id":"ITEM-2","issue":"5","issued":{"date-parts":[["2024","2","2"]]},"title":"Gamma oscillation plasticity is mediated via parvalbumin interneurons","type":"article-journal","volume":"10"},"uris":["http://www.mendeley.com/documents/?uuid=1a81ed43-d421-4cd5-a1fe-c10c353cc294"]},{"id":"ITEM-3","itemData":{"DOI":"10.1371/journal.pone.0003993","ISSN":"1932-6203","author":[{"dropping-particle":"","family":"Fukushima","given":"Fumiaki","non-dropping-particle":"","parse-names":false,"suffix":""},{"dropping-particle":"","family":"Nakao","given":"Kazuhito","non-dropping-particle":"","parse-names":false,"suffix":""},{"dropping-particle":"","family":"Shinoe","given":"Toru","non-dropping-particle":"","parse-names":false,"suffix":""},{"dropping-particle":"","family":"Fukaya","given":"Masahiro","non-dropping-particle":"","parse-names":false,"suffix":""},{"dropping-particle":"","family":"Muramatsu","given":"Shin-ichi","non-dropping-particle":"","parse-names":false,"suffix":""},{"dropping-particle":"","family":"Sakimura","given":"Kenji","non-dropping-particle":"","parse-names":false,"suffix":""},{"dropping-particle":"","family":"Kataoka","given":"Hirotaka","non-dropping-particle":"","parse-names":false,"suffix":""},{"dropping-particle":"","family":"Mori","given":"Hisashi","non-dropping-particle":"","parse-names":false,"suffix":""},{"dropping-particle":"","family":"Watanabe","given":"Masahiko","non-dropping-particle":"","parse-names":false,"suffix":""},{"dropping-particle":"","family":"Manabe","given":"Toshiya","non-dropping-particle":"","parse-names":false,"suffix":""},{"dropping-particle":"","family":"Mishina","given":"Masayoshi","non-dropping-particle":"","parse-names":false,"suffix":""}],"container-title":"PLoS ONE","editor":[{"dropping-particle":"","family":"Meunier","given":"Frederic Andre","non-dropping-particle":"","parse-names":false,"suffix":""}],"id":"ITEM-3","issue":"1","issued":{"date-parts":[["2009","1","14"]]},"page":"e3993","title":"Ablation of NMDA Receptors Enhances the Excitability of Hippocampal CA3 Neurons","type":"article-journal","volume":"4"},"uris":["http://www.mendeley.com/documents/?uuid=3449e5ae-b358-4e2b-bfce-3c37bdf5b898"]},{"id":"ITEM-4","itemData":{"DOI":"10.1523/JNEUROSCI.2887-06.2006","ISSN":"0270-6474","abstract":"In hippocampus, the net flow of excitability is controlled by inhibitory input provided by the many populations of local circuit inhibitory interneurons. In principal cells, GABA A receptor-mediated synaptic input undergoes a highly coordinated shift from depolarizing early in life to a more conventional hyperpolarizing inhibition on maturation. This switch in inhibitory input polarity is controlled by the developmental regulation of two chloride cotransporters (NKCC1 and KCC2) that results in a net shift from high to low intracellular Cl − . Whether inhibitory input onto inhibitory interneurons demonstrates a similar developmental shift in intracellular Cl − is unexplored. Using the gramicidin perforated-patch configuration, we recorded from CA3 hippocampal stratum lucidum interneurons and pyramidal cells to monitor inhibitory input across a broad developmental range. GABA A receptor-mediated synaptic input onto stratum lucidum inhibitory interneurons was shunting in nature across the entire developmental age range tested, as resting membrane potential and the IPSC reversal potential remained within a few millivolts (1–4 mV) between postnatal day 5 (P5) and P31. Furthermore, sensitivity to block of the two chloride cotransporters KCC2 and NKCC1 did not differ across the same age range, suggesting that their relative expression is fixed across development. In contrast, pyramidal cell synaptic inhibition demonstrated the well described switch from depolarizing to hyperpolarizing over the same age range. Thus, in contrast to principal cells, inhibitory synaptic input onto CA3 interneurons remains shunting throughout development.","author":[{"dropping-particle":"","family":"Banke","given":"Tue G.","non-dropping-particle":"","parse-names":false,"suffix":""},{"dropping-particle":"","family":"McBain","given":"Chris J.","non-dropping-particle":"","parse-names":false,"suffix":""}],"container-title":"The Journal of Neuroscience","id":"ITEM-4","issue":"45","issued":{"date-parts":[["2006","11","8"]]},"page":"11720-11725","title":"GABAergic Input onto CA3 Hippocampal Interneurons Remains Shunting throughout Development","type":"article-journal","volume":"26"},"uris":["http://www.mendeley.com/documents/?uuid=e42ed605-3524-4e86-bcaa-f125069bd81a"]},{"id":"ITEM-5","itemData":{"DOI":"10.1038/npp.2009.20","ISBN":"1740-634X","ISSN":"1740-634X","PMID":"19242405","abstract":"In the prefrontal cortex, N-methyl-D-aspartic acid (NMDA) receptors (NMDARs) are critical not only for normal prefrontal functions but also for the pathological processes of schizophrenia. Little is known, however, about the developmental properties of NMDARs in the functionally diverse sub-populations of interneurons. We investigated the developmental changes of NMDARs in rat prefrontal interneurons using patch clamp recording in cortical slices. We found that fast-spiking (FS) interneurons exhibited properties of alpha-amino-3-hydroxy-5-methyl-4-isoxazolepropionic acid (AMPA) and NMDA currents distinct from those in regular spiking (RS) and low-threshold spiking (LTS) interneurons, particularly during the adolescent period. In juvenile animals, most (73%) of the FS cells demonstrated both AMPA and NMDA currents. The NMDA currents, however, gradually became undetectable during cortical development, with most (74%) of the FS cells exhibiting no NMDA current in adults. In contrast, AMPA and NMDA currents in RS and LTS interneurons were relatively stable, without significant changes from juveniles to adults. Moreover, even in FS cells with NMDA currents, the NMDA/AMPA ratio dramatically decreased during the adolescent period but returned to juvenile level in adults, compared with the relatively stable ratios in RS and LTS interneurons. These data suggest that FS interneurons in the prefrontal cortex undergo dramatic changes in glutamatergic receptors during the adolescent period. These properties may make FS cells particularly sensitive and vulnerable to epigenetic stimulation, thus contributing to the onset of many psychiatric disorders, including schizophrenia.","author":[{"dropping-particle":"","family":"Wang","given":"Huai-Xing","non-dropping-particle":"","parse-names":false,"suffix":""},{"dropping-particle":"","family":"Gao","given":"Wen-Jun","non-dropping-particle":"","parse-names":false,"suffix":""}],"container-title":"Neuropsychopharmacology : official publication of the American College of Neuropsychopharmacology","id":"ITEM-5","issue":"8","issued":{"date-parts":[["2009"]]},"page":"2028-40","publisher":"Nature Publishing Group","title":"Cell type-specific development of NMDA receptors in the interneurons of rat prefrontal cortex.","type":"article-journal","volume":"34"},"uris":["http://www.mendeley.com/documents/?uuid=34688d3a-df2f-4598-9b92-9dadf6027eac"]},{"id":"ITEM-6","itemData":{"DOI":"10.1113/JP272231","ISSN":"00223751","PMID":"27038232","abstract":"KEY POINTS To understand how a network operates, its elements must be identified and characterized, and the interactions of the elements need to be studied in detail. In the present study, we describe quantitatively the connectivity of two classes of inhibitory neurons in the hippocampal CA3 area (parvalbumin-positive and cholecystokinin-positive interneurons), a key region for the generation of behaviourally relevant synchronous activity patterns. We describe how interactions among these inhibitory cells and their local excitatory target neurons evolve over the course of physiological and pathological activity patterns. The results of the present study enable the construction of precise neuronal network models that may help us understand how network dynamics is generated and how it can underlie information processing and pathological conditions in the brain. We show how inhibitory dynamics between parvalbumin-positive basket cells and pyramidal cells could contribute to sharp wave-ripple generation. ABSTRACT Different hippocampal activity patterns are determined primarily by the interaction of excitatory cells and different types of interneurons. To understand the mechanisms underlying the generation of different network dynamics, the properties of synaptic transmission need to be uncovered. Perisomatic inhibition is critical for the generation of sharp wave-ripples, gamma oscillations and pathological epileptic activities. Therefore, we aimed to quantitatively and systematically characterize the temporal properties of the synaptic transmission between perisomatic inhibitory neurons and pyramidal cells in the CA3 area of mouse hippocampal slices, using action potential patterns recorded during physiological and pathological network states. Parvalbumin-positive (PV+) and cholecystokinin-positive (CCK+) interneurons showed distinct intrinsic physiological features. Interneurons of the same type formed reciprocally connected subnetworks, whereas the connectivity between interneuron classes was sparse. The characteristics of unitary interactions depended on the identity of both synaptic partners, whereas the short-term plasticity of synaptic transmission depended mainly on the presynaptic cell type. PV+ interneurons showed frequency-dependent depression, whereas more complex dynamics characterized the output of CCK+ interneurons. We quantitatively captured the dynamics of transmission at these different types of connection with simple mathematical models, …","author":[{"dropping-particle":"","family":"Kohus","given":"Z.","non-dropping-particle":"","parse-names":false,"suffix":""},{"dropping-particle":"","family":"Káli","given":"S.","non-dropping-particle":"","parse-names":false,"suffix":""},{"dropping-particle":"","family":"Rovira-Esteban","given":"L.","non-dropping-particle":"","parse-names":false,"suffix":""},{"dropping-particle":"","family":"Schlingloff","given":"D.","non-dropping-particle":"","parse-names":false,"suffix":""},{"dropping-particle":"","family":"Papp","given":"O.","non-dropping-particle":"","parse-names":false,"suffix":""},{"dropping-particle":"","family":"Freund","given":"T. F.","non-dropping-particle":"","parse-names":false,"suffix":""},{"dropping-particle":"","family":"Hájos","given":"N.","non-dropping-particle":"","parse-names":false,"suffix":""},{"dropping-particle":"","family":"Gulyás","given":"A. I.","non-dropping-particle":"","parse-names":false,"suffix":""}],"container-title":"The Journal of Physiology","id":"ITEM-6","issue":"13","issued":{"date-parts":[["2016","7","1"]]},"page":"3745-3774","title":"Properties and dynamics of inhibitory synaptic communication within the CA3 microcircuits of pyramidal cells and interneurons expressing parvalbumin or cholecystokinin","type":"article-journal","volume":"594"},"uris":["http://www.mendeley.com/documents/?uuid=a419dca0-02a4-447c-88fa-b8ad72216e9f"]},{"id":"ITEM-7","itemData":{"DOI":"10.1002/hipo.23245","ISSN":"1050-9631","abstract":"The hippocampus is a medial temporal lobe structure in the brain and is widely studied for its role in memory and learning, in particular, spacial memory and emotional responses. It was thought to be a homogenous structure but emerging evidence shows differentiation along the dorsoventral axis and even microdomains for functional and cellular markers. We have examined in two cell</w:instrText>
      </w:r>
      <w:r w:rsidR="0004734A" w:rsidRPr="0047369D">
        <w:rPr>
          <w:rFonts w:ascii="Cambria Math" w:hAnsi="Cambria Math" w:cs="Cambria Math"/>
          <w:i/>
          <w:iCs/>
          <w:lang w:val="en-US"/>
        </w:rPr>
        <w:instrText>‐</w:instrText>
      </w:r>
      <w:r w:rsidR="0004734A" w:rsidRPr="0047369D">
        <w:rPr>
          <w:rFonts w:ascii="Arial" w:hAnsi="Arial" w:cs="Arial"/>
          <w:i/>
          <w:iCs/>
          <w:lang w:val="en-US"/>
        </w:rPr>
        <w:instrText>types of the hippocampal projection neurons, the dentate gyrus (DG) granule cells and CA3 pyramidal neurons, if the GABA</w:instrText>
      </w:r>
      <w:r w:rsidR="0004734A" w:rsidRPr="0047369D">
        <w:rPr>
          <w:rFonts w:ascii="Cambria Math" w:hAnsi="Cambria Math" w:cs="Cambria Math"/>
          <w:i/>
          <w:iCs/>
          <w:lang w:val="en-US"/>
        </w:rPr>
        <w:instrText>‐</w:instrText>
      </w:r>
      <w:r w:rsidR="0004734A" w:rsidRPr="0047369D">
        <w:rPr>
          <w:rFonts w:ascii="Arial" w:hAnsi="Arial" w:cs="Arial"/>
          <w:i/>
          <w:iCs/>
          <w:lang w:val="en-US"/>
        </w:rPr>
        <w:instrText>activated tonic current density varied between the dorsal (septal) and the ventral (temporal) poles of the male mouse hippocampus. Tonic synaptic currents, arising from spontaneous and miniature inhibitory postsynaptic currents (sIPSC, mIPSC), and extrasynaptic tonic currents were evaluated. The results revealed different levels of sIPSC but not mIPSC density between the dorsal and ventral hippocampal neurons for both the DG granule cells and the CA3 pyramidal neurons. The extrasynaptic tonic current density was larger in the DG granule cells as compared to the CA3 pyramidal neurons but did not vary between the dorsal and ventral regions. IPSC bursting was observed in both cell</w:instrText>
      </w:r>
      <w:r w:rsidR="0004734A" w:rsidRPr="0047369D">
        <w:rPr>
          <w:rFonts w:ascii="Cambria Math" w:hAnsi="Cambria Math" w:cs="Cambria Math"/>
          <w:i/>
          <w:iCs/>
          <w:lang w:val="en-US"/>
        </w:rPr>
        <w:instrText>‐</w:instrText>
      </w:r>
      <w:r w:rsidR="0004734A" w:rsidRPr="0047369D">
        <w:rPr>
          <w:rFonts w:ascii="Arial" w:hAnsi="Arial" w:cs="Arial"/>
          <w:i/>
          <w:iCs/>
          <w:lang w:val="en-US"/>
        </w:rPr>
        <w:instrText xml:space="preserve">types in the ventral hippocampus but was more common in the CA3 pyramidal neurons. Only in the dorsal DG granule cells was the level of the sIPSC and mIPSC density similar. The results indicate that the tonic GABAergic inhibition is particularly strong in the ventral hippocampal DG granule cells and enhanced in the dorsal as compared to the ventral hippocampal CA3 pyramidal neurons.","author":[{"dropping-particle":"","family":"Netsyk","given":"Olga","non-dropping-particle":"","parse-names":false,"suffix":""},{"dropping-particle":"","family":"Hammoud","given":"Hayma","non-dropping-particle":"","parse-names":false,"suffix":""},{"dropping-particle":"V.","family":"Korol","given":"Sergiy","non-dropping-particle":"","parse-names":false,"suffix":""},{"dropping-particle":"","family":"Jin","given":"Zhe","non-dropping-particle":"","parse-names":false,"suffix":""},{"dropping-particle":"","family":"Tafreshiha","given":"Atieh S.","non-dropping-particle":"","parse-names":false,"suffix":""},{"dropping-particle":"","family":"Birnir","given":"Bryndis","non-dropping-particle":"","parse-names":false,"suffix":""}],"container-title":"Hippocampus","id":"ITEM-7","issue":"11","issued":{"date-parts":[["2020","11","13"]]},"page":"1146-1157","title":"Tonic &lt;scp&gt;GABA&lt;/scp&gt; </w:instrText>
      </w:r>
      <w:r w:rsidR="0004734A" w:rsidRPr="0047369D">
        <w:rPr>
          <w:rFonts w:ascii="Cambria Math" w:hAnsi="Cambria Math" w:cs="Cambria Math"/>
          <w:i/>
          <w:iCs/>
          <w:lang w:val="en-US"/>
        </w:rPr>
        <w:instrText>‐</w:instrText>
      </w:r>
      <w:r w:rsidR="0004734A" w:rsidRPr="0047369D">
        <w:rPr>
          <w:rFonts w:ascii="Arial" w:hAnsi="Arial" w:cs="Arial"/>
          <w:i/>
          <w:iCs/>
          <w:lang w:val="en-US"/>
        </w:rPr>
        <w:instrText>activated synaptic and extrasynaptic currents in dentate gyrus granule cells and &lt;scp&gt;CA3&lt;/scp&gt; pyramidal neurons along the mouse hippocampal dorsoventral axis","type":"article-journal","volume":"30"},"uris":["http://www.mendeley.com/documents/?uuid=9eb7da33-4574-4fbf-b1bf-ef5e2b88f54b"]}],"mendeley":{"formattedCitation":"&lt;sup&gt;1,4–6,10–12&lt;/sup&gt;","plainTextFormattedCitation":"1,4–6,10–12","previouslyFormattedCitation":"&lt;sup&gt;1,4,6,10–12&lt;/sup&gt;"},"properties":{"noteIndex":0},"schema":"https://github.com/citation-style-language/schema/raw/master/csl-citation.json"}</w:instrText>
      </w:r>
      <w:r w:rsidRPr="0047369D">
        <w:rPr>
          <w:rFonts w:ascii="Arial" w:hAnsi="Arial" w:cs="Arial"/>
          <w:i/>
          <w:iCs/>
          <w:lang w:val="en-US"/>
        </w:rPr>
        <w:fldChar w:fldCharType="separate"/>
      </w:r>
      <w:r w:rsidR="0004734A" w:rsidRPr="0047369D">
        <w:rPr>
          <w:rFonts w:ascii="Arial" w:hAnsi="Arial" w:cs="Arial"/>
          <w:iCs/>
          <w:noProof/>
          <w:vertAlign w:val="superscript"/>
          <w:lang w:val="en-US"/>
        </w:rPr>
        <w:t>1,4–6,10–12</w:t>
      </w:r>
      <w:r w:rsidRPr="0047369D">
        <w:rPr>
          <w:rFonts w:ascii="Arial" w:hAnsi="Arial" w:cs="Arial"/>
          <w:i/>
          <w:iCs/>
          <w:lang w:val="en-US"/>
        </w:rPr>
        <w:fldChar w:fldCharType="end"/>
      </w:r>
    </w:p>
    <w:p w14:paraId="58C2EC7A" w14:textId="77777777" w:rsidR="00BA10F5" w:rsidRPr="0047369D" w:rsidRDefault="00BA10F5" w:rsidP="00953E33">
      <w:pPr>
        <w:jc w:val="both"/>
        <w:rPr>
          <w:rFonts w:ascii="Arial" w:hAnsi="Arial" w:cs="Arial"/>
          <w:i/>
          <w:iCs/>
          <w:lang w:val="en-US"/>
        </w:rPr>
      </w:pPr>
    </w:p>
    <w:p w14:paraId="45087649" w14:textId="77777777" w:rsidR="00BA10F5" w:rsidRPr="0047369D" w:rsidRDefault="00BA10F5" w:rsidP="00953E33">
      <w:pPr>
        <w:jc w:val="both"/>
        <w:rPr>
          <w:rFonts w:ascii="Arial" w:hAnsi="Arial" w:cs="Arial"/>
          <w:i/>
          <w:iCs/>
          <w:lang w:val="en-US"/>
        </w:rPr>
      </w:pPr>
    </w:p>
    <w:p w14:paraId="2C568292" w14:textId="77777777" w:rsidR="005B2853" w:rsidRPr="0047369D" w:rsidRDefault="005B2853" w:rsidP="00953E33">
      <w:pPr>
        <w:jc w:val="both"/>
        <w:rPr>
          <w:rFonts w:ascii="Arial" w:hAnsi="Arial" w:cs="Arial"/>
          <w:b/>
          <w:bCs/>
          <w:lang w:val="en-US"/>
        </w:rPr>
      </w:pPr>
    </w:p>
    <w:p w14:paraId="47FB282E" w14:textId="6FB52499" w:rsidR="005B2853" w:rsidRPr="0047369D" w:rsidRDefault="0010682B" w:rsidP="00953E33">
      <w:pPr>
        <w:jc w:val="both"/>
        <w:rPr>
          <w:rFonts w:ascii="Arial" w:hAnsi="Arial" w:cs="Arial"/>
          <w:b/>
          <w:bCs/>
          <w:lang w:val="en-US"/>
        </w:rPr>
      </w:pPr>
      <w:r w:rsidRPr="0047369D">
        <w:rPr>
          <w:rFonts w:ascii="Arial" w:hAnsi="Arial" w:cs="Arial"/>
          <w:b/>
          <w:bCs/>
          <w:lang w:val="en-US"/>
        </w:rPr>
        <w:t>Supplementary References:</w:t>
      </w:r>
    </w:p>
    <w:p w14:paraId="27954CBD" w14:textId="4A1B8220" w:rsidR="0004734A" w:rsidRPr="0047369D" w:rsidRDefault="00984A00"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b/>
          <w:bCs/>
          <w:lang w:val="en-US"/>
        </w:rPr>
        <w:fldChar w:fldCharType="begin" w:fldLock="1"/>
      </w:r>
      <w:r w:rsidRPr="0047369D">
        <w:rPr>
          <w:rFonts w:ascii="Arial" w:hAnsi="Arial" w:cs="Arial"/>
          <w:b/>
          <w:bCs/>
          <w:lang w:val="en-US"/>
        </w:rPr>
        <w:instrText xml:space="preserve">ADDIN Mendeley Bibliography CSL_BIBLIOGRAPHY </w:instrText>
      </w:r>
      <w:r w:rsidRPr="0047369D">
        <w:rPr>
          <w:rFonts w:ascii="Arial" w:hAnsi="Arial" w:cs="Arial"/>
          <w:b/>
          <w:bCs/>
          <w:lang w:val="en-US"/>
        </w:rPr>
        <w:fldChar w:fldCharType="separate"/>
      </w:r>
      <w:r w:rsidR="0004734A" w:rsidRPr="0047369D">
        <w:rPr>
          <w:rFonts w:ascii="Arial" w:hAnsi="Arial" w:cs="Arial"/>
          <w:noProof/>
          <w:kern w:val="0"/>
        </w:rPr>
        <w:t>1.</w:t>
      </w:r>
      <w:r w:rsidR="0004734A" w:rsidRPr="0047369D">
        <w:rPr>
          <w:rFonts w:ascii="Arial" w:hAnsi="Arial" w:cs="Arial"/>
          <w:noProof/>
          <w:kern w:val="0"/>
        </w:rPr>
        <w:tab/>
        <w:t xml:space="preserve">Wang, H.-X. &amp; Gao, W.-J. Cell type-specific development of NMDA receptors in the interneurons of rat prefrontal cortex. </w:t>
      </w:r>
      <w:r w:rsidR="0004734A" w:rsidRPr="0047369D">
        <w:rPr>
          <w:rFonts w:ascii="Arial" w:hAnsi="Arial" w:cs="Arial"/>
          <w:i/>
          <w:iCs/>
          <w:noProof/>
          <w:kern w:val="0"/>
        </w:rPr>
        <w:t>Neuropsychopharmacology</w:t>
      </w:r>
      <w:r w:rsidR="0004734A" w:rsidRPr="0047369D">
        <w:rPr>
          <w:rFonts w:ascii="Arial" w:hAnsi="Arial" w:cs="Arial"/>
          <w:noProof/>
          <w:kern w:val="0"/>
        </w:rPr>
        <w:t xml:space="preserve"> </w:t>
      </w:r>
      <w:r w:rsidR="0004734A" w:rsidRPr="0047369D">
        <w:rPr>
          <w:rFonts w:ascii="Arial" w:hAnsi="Arial" w:cs="Arial"/>
          <w:b/>
          <w:bCs/>
          <w:noProof/>
          <w:kern w:val="0"/>
        </w:rPr>
        <w:t>34</w:t>
      </w:r>
      <w:r w:rsidR="0004734A" w:rsidRPr="0047369D">
        <w:rPr>
          <w:rFonts w:ascii="Arial" w:hAnsi="Arial" w:cs="Arial"/>
          <w:noProof/>
          <w:kern w:val="0"/>
        </w:rPr>
        <w:t>, 2028–40 (2009).</w:t>
      </w:r>
    </w:p>
    <w:p w14:paraId="25ADAC07"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t>2.</w:t>
      </w:r>
      <w:r w:rsidRPr="0047369D">
        <w:rPr>
          <w:rFonts w:ascii="Arial" w:hAnsi="Arial" w:cs="Arial"/>
          <w:noProof/>
          <w:kern w:val="0"/>
        </w:rPr>
        <w:tab/>
        <w:t>Bacci, A., Rudolph, U., Huguenard, J. R. &amp; Prince, D. A. Cellular/Molecular Major Differences in Inhibitory Synaptic Transmission onto Two Neocortical Interneuron Subclasses.</w:t>
      </w:r>
    </w:p>
    <w:p w14:paraId="12AD5952"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t>3.</w:t>
      </w:r>
      <w:r w:rsidRPr="0047369D">
        <w:rPr>
          <w:rFonts w:ascii="Arial" w:hAnsi="Arial" w:cs="Arial"/>
          <w:noProof/>
          <w:kern w:val="0"/>
        </w:rPr>
        <w:tab/>
        <w:t xml:space="preserve">Sun, Q. </w:t>
      </w:r>
      <w:r w:rsidRPr="0047369D">
        <w:rPr>
          <w:rFonts w:ascii="Arial" w:hAnsi="Arial" w:cs="Arial"/>
          <w:i/>
          <w:iCs/>
          <w:noProof/>
          <w:kern w:val="0"/>
        </w:rPr>
        <w:t>et al.</w:t>
      </w:r>
      <w:r w:rsidRPr="0047369D">
        <w:rPr>
          <w:rFonts w:ascii="Arial" w:hAnsi="Arial" w:cs="Arial"/>
          <w:noProof/>
          <w:kern w:val="0"/>
        </w:rPr>
        <w:t xml:space="preserve"> Proximodistal Heterogeneity of Hippocampal CA3 Pyramidal Neuron Intrinsic Properties, Connectivity, and Reactivation during Memory Recall. </w:t>
      </w:r>
      <w:r w:rsidRPr="0047369D">
        <w:rPr>
          <w:rFonts w:ascii="Arial" w:hAnsi="Arial" w:cs="Arial"/>
          <w:i/>
          <w:iCs/>
          <w:noProof/>
          <w:kern w:val="0"/>
        </w:rPr>
        <w:t>Neuron</w:t>
      </w:r>
      <w:r w:rsidRPr="0047369D">
        <w:rPr>
          <w:rFonts w:ascii="Arial" w:hAnsi="Arial" w:cs="Arial"/>
          <w:noProof/>
          <w:kern w:val="0"/>
        </w:rPr>
        <w:t xml:space="preserve"> </w:t>
      </w:r>
      <w:r w:rsidRPr="0047369D">
        <w:rPr>
          <w:rFonts w:ascii="Arial" w:hAnsi="Arial" w:cs="Arial"/>
          <w:b/>
          <w:bCs/>
          <w:noProof/>
          <w:kern w:val="0"/>
        </w:rPr>
        <w:t>95</w:t>
      </w:r>
      <w:r w:rsidRPr="0047369D">
        <w:rPr>
          <w:rFonts w:ascii="Arial" w:hAnsi="Arial" w:cs="Arial"/>
          <w:noProof/>
          <w:kern w:val="0"/>
        </w:rPr>
        <w:t>, 656-672.e3 (2017).</w:t>
      </w:r>
    </w:p>
    <w:p w14:paraId="1F484AED"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t>4.</w:t>
      </w:r>
      <w:r w:rsidRPr="0047369D">
        <w:rPr>
          <w:rFonts w:ascii="Arial" w:hAnsi="Arial" w:cs="Arial"/>
          <w:noProof/>
          <w:kern w:val="0"/>
        </w:rPr>
        <w:tab/>
        <w:t xml:space="preserve">Fukushima, F. </w:t>
      </w:r>
      <w:r w:rsidRPr="0047369D">
        <w:rPr>
          <w:rFonts w:ascii="Arial" w:hAnsi="Arial" w:cs="Arial"/>
          <w:i/>
          <w:iCs/>
          <w:noProof/>
          <w:kern w:val="0"/>
        </w:rPr>
        <w:t>et al.</w:t>
      </w:r>
      <w:r w:rsidRPr="0047369D">
        <w:rPr>
          <w:rFonts w:ascii="Arial" w:hAnsi="Arial" w:cs="Arial"/>
          <w:noProof/>
          <w:kern w:val="0"/>
        </w:rPr>
        <w:t xml:space="preserve"> Ablation of NMDA Receptors Enhances the Excitability of Hippocampal CA3 Neurons. </w:t>
      </w:r>
      <w:r w:rsidRPr="0047369D">
        <w:rPr>
          <w:rFonts w:ascii="Arial" w:hAnsi="Arial" w:cs="Arial"/>
          <w:i/>
          <w:iCs/>
          <w:noProof/>
          <w:kern w:val="0"/>
        </w:rPr>
        <w:t>PLoS One</w:t>
      </w:r>
      <w:r w:rsidRPr="0047369D">
        <w:rPr>
          <w:rFonts w:ascii="Arial" w:hAnsi="Arial" w:cs="Arial"/>
          <w:noProof/>
          <w:kern w:val="0"/>
        </w:rPr>
        <w:t xml:space="preserve"> </w:t>
      </w:r>
      <w:r w:rsidRPr="0047369D">
        <w:rPr>
          <w:rFonts w:ascii="Arial" w:hAnsi="Arial" w:cs="Arial"/>
          <w:b/>
          <w:bCs/>
          <w:noProof/>
          <w:kern w:val="0"/>
        </w:rPr>
        <w:t>4</w:t>
      </w:r>
      <w:r w:rsidRPr="0047369D">
        <w:rPr>
          <w:rFonts w:ascii="Arial" w:hAnsi="Arial" w:cs="Arial"/>
          <w:noProof/>
          <w:kern w:val="0"/>
        </w:rPr>
        <w:t>, e3993 (2009).</w:t>
      </w:r>
    </w:p>
    <w:p w14:paraId="336F190D"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t>5.</w:t>
      </w:r>
      <w:r w:rsidRPr="0047369D">
        <w:rPr>
          <w:rFonts w:ascii="Arial" w:hAnsi="Arial" w:cs="Arial"/>
          <w:noProof/>
          <w:kern w:val="0"/>
        </w:rPr>
        <w:tab/>
        <w:t xml:space="preserve">Netsyk, O. </w:t>
      </w:r>
      <w:r w:rsidRPr="0047369D">
        <w:rPr>
          <w:rFonts w:ascii="Arial" w:hAnsi="Arial" w:cs="Arial"/>
          <w:i/>
          <w:iCs/>
          <w:noProof/>
          <w:kern w:val="0"/>
        </w:rPr>
        <w:t>et al.</w:t>
      </w:r>
      <w:r w:rsidRPr="0047369D">
        <w:rPr>
          <w:rFonts w:ascii="Arial" w:hAnsi="Arial" w:cs="Arial"/>
          <w:noProof/>
          <w:kern w:val="0"/>
        </w:rPr>
        <w:t xml:space="preserve"> Tonic &lt;scp&gt;GABA&lt;/scp&gt; </w:t>
      </w:r>
      <w:r w:rsidRPr="0047369D">
        <w:rPr>
          <w:rFonts w:ascii="Cambria Math" w:hAnsi="Cambria Math" w:cs="Cambria Math"/>
          <w:noProof/>
          <w:kern w:val="0"/>
        </w:rPr>
        <w:t>‐</w:t>
      </w:r>
      <w:r w:rsidRPr="0047369D">
        <w:rPr>
          <w:rFonts w:ascii="Arial" w:hAnsi="Arial" w:cs="Arial"/>
          <w:noProof/>
          <w:kern w:val="0"/>
        </w:rPr>
        <w:t xml:space="preserve">activated synaptic and extrasynaptic currents in dentate gyrus granule cells and &lt;scp&gt;CA3&lt;/scp&gt; pyramidal neurons along the mouse hippocampal dorsoventral axis. </w:t>
      </w:r>
      <w:r w:rsidRPr="0047369D">
        <w:rPr>
          <w:rFonts w:ascii="Arial" w:hAnsi="Arial" w:cs="Arial"/>
          <w:i/>
          <w:iCs/>
          <w:noProof/>
          <w:kern w:val="0"/>
        </w:rPr>
        <w:t>Hippocampus</w:t>
      </w:r>
      <w:r w:rsidRPr="0047369D">
        <w:rPr>
          <w:rFonts w:ascii="Arial" w:hAnsi="Arial" w:cs="Arial"/>
          <w:noProof/>
          <w:kern w:val="0"/>
        </w:rPr>
        <w:t xml:space="preserve"> </w:t>
      </w:r>
      <w:r w:rsidRPr="0047369D">
        <w:rPr>
          <w:rFonts w:ascii="Arial" w:hAnsi="Arial" w:cs="Arial"/>
          <w:b/>
          <w:bCs/>
          <w:noProof/>
          <w:kern w:val="0"/>
        </w:rPr>
        <w:t>30</w:t>
      </w:r>
      <w:r w:rsidRPr="0047369D">
        <w:rPr>
          <w:rFonts w:ascii="Arial" w:hAnsi="Arial" w:cs="Arial"/>
          <w:noProof/>
          <w:kern w:val="0"/>
        </w:rPr>
        <w:t>, 1146–1157 (2020).</w:t>
      </w:r>
    </w:p>
    <w:p w14:paraId="4820CEFB"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t>6.</w:t>
      </w:r>
      <w:r w:rsidRPr="0047369D">
        <w:rPr>
          <w:rFonts w:ascii="Arial" w:hAnsi="Arial" w:cs="Arial"/>
          <w:noProof/>
          <w:kern w:val="0"/>
        </w:rPr>
        <w:tab/>
        <w:t xml:space="preserve">Tzilivaki, A., Kastellakis, G. &amp; Poirazi, P. Challenging the point neuron dogma: FS basket cells as 2-stage nonlinear integrators. </w:t>
      </w:r>
      <w:r w:rsidRPr="0047369D">
        <w:rPr>
          <w:rFonts w:ascii="Arial" w:hAnsi="Arial" w:cs="Arial"/>
          <w:i/>
          <w:iCs/>
          <w:noProof/>
          <w:kern w:val="0"/>
        </w:rPr>
        <w:t>Nat. Commun.</w:t>
      </w:r>
      <w:r w:rsidRPr="0047369D">
        <w:rPr>
          <w:rFonts w:ascii="Arial" w:hAnsi="Arial" w:cs="Arial"/>
          <w:noProof/>
          <w:kern w:val="0"/>
        </w:rPr>
        <w:t xml:space="preserve"> </w:t>
      </w:r>
      <w:r w:rsidRPr="0047369D">
        <w:rPr>
          <w:rFonts w:ascii="Arial" w:hAnsi="Arial" w:cs="Arial"/>
          <w:b/>
          <w:bCs/>
          <w:noProof/>
          <w:kern w:val="0"/>
        </w:rPr>
        <w:t>10</w:t>
      </w:r>
      <w:r w:rsidRPr="0047369D">
        <w:rPr>
          <w:rFonts w:ascii="Arial" w:hAnsi="Arial" w:cs="Arial"/>
          <w:noProof/>
          <w:kern w:val="0"/>
        </w:rPr>
        <w:t>, 3664 (2019).</w:t>
      </w:r>
    </w:p>
    <w:p w14:paraId="2DB1430F"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t>7.</w:t>
      </w:r>
      <w:r w:rsidRPr="0047369D">
        <w:rPr>
          <w:rFonts w:ascii="Arial" w:hAnsi="Arial" w:cs="Arial"/>
          <w:noProof/>
          <w:kern w:val="0"/>
        </w:rPr>
        <w:tab/>
        <w:t xml:space="preserve">Goldberg, J. H., Yuste, R. &amp; Tamas, G. Ca2+ imaging of mouse neocortical interneurone dendrites: contribution of Ca2+-permeable AMPA and NMDA receptors to subthreshold Ca2+dynamics. </w:t>
      </w:r>
      <w:r w:rsidRPr="0047369D">
        <w:rPr>
          <w:rFonts w:ascii="Arial" w:hAnsi="Arial" w:cs="Arial"/>
          <w:i/>
          <w:iCs/>
          <w:noProof/>
          <w:kern w:val="0"/>
        </w:rPr>
        <w:t>J. Physiol.</w:t>
      </w:r>
      <w:r w:rsidRPr="0047369D">
        <w:rPr>
          <w:rFonts w:ascii="Arial" w:hAnsi="Arial" w:cs="Arial"/>
          <w:noProof/>
          <w:kern w:val="0"/>
        </w:rPr>
        <w:t xml:space="preserve"> </w:t>
      </w:r>
      <w:r w:rsidRPr="0047369D">
        <w:rPr>
          <w:rFonts w:ascii="Arial" w:hAnsi="Arial" w:cs="Arial"/>
          <w:b/>
          <w:bCs/>
          <w:noProof/>
          <w:kern w:val="0"/>
        </w:rPr>
        <w:t>551</w:t>
      </w:r>
      <w:r w:rsidRPr="0047369D">
        <w:rPr>
          <w:rFonts w:ascii="Arial" w:hAnsi="Arial" w:cs="Arial"/>
          <w:noProof/>
          <w:kern w:val="0"/>
        </w:rPr>
        <w:t>, 67–78 (2003).</w:t>
      </w:r>
    </w:p>
    <w:p w14:paraId="0466620E"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lastRenderedPageBreak/>
        <w:t>8.</w:t>
      </w:r>
      <w:r w:rsidRPr="0047369D">
        <w:rPr>
          <w:rFonts w:ascii="Arial" w:hAnsi="Arial" w:cs="Arial"/>
          <w:noProof/>
          <w:kern w:val="0"/>
        </w:rPr>
        <w:tab/>
        <w:t xml:space="preserve">Goldberg, J. H. &amp; Yuste, R. Space matters: Local and global dendritic Ca2+ compartmentalization in cortical interneurons. </w:t>
      </w:r>
      <w:r w:rsidRPr="0047369D">
        <w:rPr>
          <w:rFonts w:ascii="Arial" w:hAnsi="Arial" w:cs="Arial"/>
          <w:i/>
          <w:iCs/>
          <w:noProof/>
          <w:kern w:val="0"/>
        </w:rPr>
        <w:t>Trends Neurosci.</w:t>
      </w:r>
      <w:r w:rsidRPr="0047369D">
        <w:rPr>
          <w:rFonts w:ascii="Arial" w:hAnsi="Arial" w:cs="Arial"/>
          <w:noProof/>
          <w:kern w:val="0"/>
        </w:rPr>
        <w:t xml:space="preserve"> </w:t>
      </w:r>
      <w:r w:rsidRPr="0047369D">
        <w:rPr>
          <w:rFonts w:ascii="Arial" w:hAnsi="Arial" w:cs="Arial"/>
          <w:b/>
          <w:bCs/>
          <w:noProof/>
          <w:kern w:val="0"/>
        </w:rPr>
        <w:t>28</w:t>
      </w:r>
      <w:r w:rsidRPr="0047369D">
        <w:rPr>
          <w:rFonts w:ascii="Arial" w:hAnsi="Arial" w:cs="Arial"/>
          <w:noProof/>
          <w:kern w:val="0"/>
        </w:rPr>
        <w:t>, 158–167 (2005).</w:t>
      </w:r>
    </w:p>
    <w:p w14:paraId="66CC7120"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t>9.</w:t>
      </w:r>
      <w:r w:rsidRPr="0047369D">
        <w:rPr>
          <w:rFonts w:ascii="Arial" w:hAnsi="Arial" w:cs="Arial"/>
          <w:noProof/>
          <w:kern w:val="0"/>
        </w:rPr>
        <w:tab/>
        <w:t xml:space="preserve">Nörenberg, A., Hu, H., Vida, I., Bartos, M. &amp; Jonas, P. Distinct nonuniform cable properties optimize rapid and efficient activation of fast-spiking GABAergic interneurons. </w:t>
      </w:r>
      <w:r w:rsidRPr="0047369D">
        <w:rPr>
          <w:rFonts w:ascii="Arial" w:hAnsi="Arial" w:cs="Arial"/>
          <w:i/>
          <w:iCs/>
          <w:noProof/>
          <w:kern w:val="0"/>
        </w:rPr>
        <w:t>Proc. Natl. Acad. Sci. U. S. A.</w:t>
      </w:r>
      <w:r w:rsidRPr="0047369D">
        <w:rPr>
          <w:rFonts w:ascii="Arial" w:hAnsi="Arial" w:cs="Arial"/>
          <w:noProof/>
          <w:kern w:val="0"/>
        </w:rPr>
        <w:t xml:space="preserve"> </w:t>
      </w:r>
      <w:r w:rsidRPr="0047369D">
        <w:rPr>
          <w:rFonts w:ascii="Arial" w:hAnsi="Arial" w:cs="Arial"/>
          <w:b/>
          <w:bCs/>
          <w:noProof/>
          <w:kern w:val="0"/>
        </w:rPr>
        <w:t>107</w:t>
      </w:r>
      <w:r w:rsidRPr="0047369D">
        <w:rPr>
          <w:rFonts w:ascii="Arial" w:hAnsi="Arial" w:cs="Arial"/>
          <w:noProof/>
          <w:kern w:val="0"/>
        </w:rPr>
        <w:t>, 894–9 (2010).</w:t>
      </w:r>
    </w:p>
    <w:p w14:paraId="4C1CC1C0"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t>10.</w:t>
      </w:r>
      <w:r w:rsidRPr="0047369D">
        <w:rPr>
          <w:rFonts w:ascii="Arial" w:hAnsi="Arial" w:cs="Arial"/>
          <w:noProof/>
          <w:kern w:val="0"/>
        </w:rPr>
        <w:tab/>
        <w:t xml:space="preserve">Hadler, M. D., Tzilivaki, A., Schmitz, D., Alle, H. &amp; Geiger, J. R. P. Gamma oscillation plasticity is mediated via parvalbumin interneurons. </w:t>
      </w:r>
      <w:r w:rsidRPr="0047369D">
        <w:rPr>
          <w:rFonts w:ascii="Arial" w:hAnsi="Arial" w:cs="Arial"/>
          <w:i/>
          <w:iCs/>
          <w:noProof/>
          <w:kern w:val="0"/>
        </w:rPr>
        <w:t>Sci. Adv.</w:t>
      </w:r>
      <w:r w:rsidRPr="0047369D">
        <w:rPr>
          <w:rFonts w:ascii="Arial" w:hAnsi="Arial" w:cs="Arial"/>
          <w:noProof/>
          <w:kern w:val="0"/>
        </w:rPr>
        <w:t xml:space="preserve"> </w:t>
      </w:r>
      <w:r w:rsidRPr="0047369D">
        <w:rPr>
          <w:rFonts w:ascii="Arial" w:hAnsi="Arial" w:cs="Arial"/>
          <w:b/>
          <w:bCs/>
          <w:noProof/>
          <w:kern w:val="0"/>
        </w:rPr>
        <w:t>10</w:t>
      </w:r>
      <w:r w:rsidRPr="0047369D">
        <w:rPr>
          <w:rFonts w:ascii="Arial" w:hAnsi="Arial" w:cs="Arial"/>
          <w:noProof/>
          <w:kern w:val="0"/>
        </w:rPr>
        <w:t>, (2024).</w:t>
      </w:r>
    </w:p>
    <w:p w14:paraId="0641B686"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kern w:val="0"/>
        </w:rPr>
      </w:pPr>
      <w:r w:rsidRPr="0047369D">
        <w:rPr>
          <w:rFonts w:ascii="Arial" w:hAnsi="Arial" w:cs="Arial"/>
          <w:noProof/>
          <w:kern w:val="0"/>
        </w:rPr>
        <w:t>11.</w:t>
      </w:r>
      <w:r w:rsidRPr="0047369D">
        <w:rPr>
          <w:rFonts w:ascii="Arial" w:hAnsi="Arial" w:cs="Arial"/>
          <w:noProof/>
          <w:kern w:val="0"/>
        </w:rPr>
        <w:tab/>
        <w:t xml:space="preserve">Banke, T. G. &amp; McBain, C. J. GABAergic Input onto CA3 Hippocampal Interneurons Remains Shunting throughout Development. </w:t>
      </w:r>
      <w:r w:rsidRPr="0047369D">
        <w:rPr>
          <w:rFonts w:ascii="Arial" w:hAnsi="Arial" w:cs="Arial"/>
          <w:i/>
          <w:iCs/>
          <w:noProof/>
          <w:kern w:val="0"/>
        </w:rPr>
        <w:t>J. Neurosci.</w:t>
      </w:r>
      <w:r w:rsidRPr="0047369D">
        <w:rPr>
          <w:rFonts w:ascii="Arial" w:hAnsi="Arial" w:cs="Arial"/>
          <w:noProof/>
          <w:kern w:val="0"/>
        </w:rPr>
        <w:t xml:space="preserve"> </w:t>
      </w:r>
      <w:r w:rsidRPr="0047369D">
        <w:rPr>
          <w:rFonts w:ascii="Arial" w:hAnsi="Arial" w:cs="Arial"/>
          <w:b/>
          <w:bCs/>
          <w:noProof/>
          <w:kern w:val="0"/>
        </w:rPr>
        <w:t>26</w:t>
      </w:r>
      <w:r w:rsidRPr="0047369D">
        <w:rPr>
          <w:rFonts w:ascii="Arial" w:hAnsi="Arial" w:cs="Arial"/>
          <w:noProof/>
          <w:kern w:val="0"/>
        </w:rPr>
        <w:t>, 11720–11725 (2006).</w:t>
      </w:r>
    </w:p>
    <w:p w14:paraId="2203E901" w14:textId="77777777" w:rsidR="0004734A" w:rsidRPr="0047369D" w:rsidRDefault="0004734A" w:rsidP="0004734A">
      <w:pPr>
        <w:widowControl w:val="0"/>
        <w:autoSpaceDE w:val="0"/>
        <w:autoSpaceDN w:val="0"/>
        <w:adjustRightInd w:val="0"/>
        <w:spacing w:line="240" w:lineRule="auto"/>
        <w:ind w:left="640" w:hanging="640"/>
        <w:rPr>
          <w:rFonts w:ascii="Arial" w:hAnsi="Arial" w:cs="Arial"/>
          <w:noProof/>
        </w:rPr>
      </w:pPr>
      <w:r w:rsidRPr="0047369D">
        <w:rPr>
          <w:rFonts w:ascii="Arial" w:hAnsi="Arial" w:cs="Arial"/>
          <w:noProof/>
          <w:kern w:val="0"/>
        </w:rPr>
        <w:t>12.</w:t>
      </w:r>
      <w:r w:rsidRPr="0047369D">
        <w:rPr>
          <w:rFonts w:ascii="Arial" w:hAnsi="Arial" w:cs="Arial"/>
          <w:noProof/>
          <w:kern w:val="0"/>
        </w:rPr>
        <w:tab/>
        <w:t xml:space="preserve">Kohus, Z. </w:t>
      </w:r>
      <w:r w:rsidRPr="0047369D">
        <w:rPr>
          <w:rFonts w:ascii="Arial" w:hAnsi="Arial" w:cs="Arial"/>
          <w:i/>
          <w:iCs/>
          <w:noProof/>
          <w:kern w:val="0"/>
        </w:rPr>
        <w:t>et al.</w:t>
      </w:r>
      <w:r w:rsidRPr="0047369D">
        <w:rPr>
          <w:rFonts w:ascii="Arial" w:hAnsi="Arial" w:cs="Arial"/>
          <w:noProof/>
          <w:kern w:val="0"/>
        </w:rPr>
        <w:t xml:space="preserve"> Properties and dynamics of inhibitory synaptic communication within the CA3 microcircuits of pyramidal cells and interneurons expressing parvalbumin or cholecystokinin. </w:t>
      </w:r>
      <w:r w:rsidRPr="0047369D">
        <w:rPr>
          <w:rFonts w:ascii="Arial" w:hAnsi="Arial" w:cs="Arial"/>
          <w:i/>
          <w:iCs/>
          <w:noProof/>
          <w:kern w:val="0"/>
        </w:rPr>
        <w:t>J. Physiol.</w:t>
      </w:r>
      <w:r w:rsidRPr="0047369D">
        <w:rPr>
          <w:rFonts w:ascii="Arial" w:hAnsi="Arial" w:cs="Arial"/>
          <w:noProof/>
          <w:kern w:val="0"/>
        </w:rPr>
        <w:t xml:space="preserve"> </w:t>
      </w:r>
      <w:r w:rsidRPr="0047369D">
        <w:rPr>
          <w:rFonts w:ascii="Arial" w:hAnsi="Arial" w:cs="Arial"/>
          <w:b/>
          <w:bCs/>
          <w:noProof/>
          <w:kern w:val="0"/>
        </w:rPr>
        <w:t>594</w:t>
      </w:r>
      <w:r w:rsidRPr="0047369D">
        <w:rPr>
          <w:rFonts w:ascii="Arial" w:hAnsi="Arial" w:cs="Arial"/>
          <w:noProof/>
          <w:kern w:val="0"/>
        </w:rPr>
        <w:t>, 3745–3774 (2016).</w:t>
      </w:r>
    </w:p>
    <w:p w14:paraId="2986F206" w14:textId="48D77F87" w:rsidR="005B2853" w:rsidRPr="009931D1" w:rsidRDefault="00984A00" w:rsidP="00953E33">
      <w:pPr>
        <w:jc w:val="both"/>
        <w:rPr>
          <w:rFonts w:ascii="Arial" w:hAnsi="Arial" w:cs="Arial"/>
          <w:b/>
          <w:bCs/>
          <w:lang w:val="en-US"/>
        </w:rPr>
      </w:pPr>
      <w:r w:rsidRPr="0047369D">
        <w:rPr>
          <w:rFonts w:ascii="Arial" w:hAnsi="Arial" w:cs="Arial"/>
          <w:b/>
          <w:bCs/>
          <w:lang w:val="en-US"/>
        </w:rPr>
        <w:fldChar w:fldCharType="end"/>
      </w:r>
    </w:p>
    <w:p w14:paraId="4110CBAC" w14:textId="77777777" w:rsidR="005B2853" w:rsidRPr="009931D1" w:rsidRDefault="005B2853" w:rsidP="00953E33">
      <w:pPr>
        <w:jc w:val="both"/>
        <w:rPr>
          <w:rFonts w:ascii="Arial" w:hAnsi="Arial" w:cs="Arial"/>
          <w:b/>
          <w:bCs/>
          <w:lang w:val="en-US"/>
        </w:rPr>
      </w:pPr>
    </w:p>
    <w:sectPr w:rsidR="005B2853" w:rsidRPr="009931D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5FD6C6E"/>
    <w:multiLevelType w:val="hybridMultilevel"/>
    <w:tmpl w:val="C344A586"/>
    <w:lvl w:ilvl="0" w:tplc="480089F4">
      <w:start w:val="1"/>
      <w:numFmt w:val="lowerLetter"/>
      <w:lvlText w:val="%1."/>
      <w:lvlJc w:val="left"/>
      <w:pPr>
        <w:ind w:left="720" w:hanging="360"/>
      </w:pPr>
      <w:rPr>
        <w:rFonts w:hint="default"/>
        <w:b/>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 w15:restartNumberingAfterBreak="0">
    <w:nsid w:val="46BF52DA"/>
    <w:multiLevelType w:val="hybridMultilevel"/>
    <w:tmpl w:val="1324D1A6"/>
    <w:lvl w:ilvl="0" w:tplc="10000019">
      <w:start w:val="1"/>
      <w:numFmt w:val="lowerLetter"/>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 w15:restartNumberingAfterBreak="0">
    <w:nsid w:val="7E137AAE"/>
    <w:multiLevelType w:val="hybridMultilevel"/>
    <w:tmpl w:val="5C14DFA0"/>
    <w:lvl w:ilvl="0" w:tplc="10000019">
      <w:start w:val="1"/>
      <w:numFmt w:val="lowerLetter"/>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num w:numId="1" w16cid:durableId="1608385176">
    <w:abstractNumId w:val="2"/>
  </w:num>
  <w:num w:numId="2" w16cid:durableId="992022478">
    <w:abstractNumId w:val="1"/>
  </w:num>
  <w:num w:numId="3" w16cid:durableId="2105341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2CD1"/>
    <w:rsid w:val="00005C91"/>
    <w:rsid w:val="000204FA"/>
    <w:rsid w:val="00025373"/>
    <w:rsid w:val="00027DF5"/>
    <w:rsid w:val="00041F98"/>
    <w:rsid w:val="0004734A"/>
    <w:rsid w:val="00061ABC"/>
    <w:rsid w:val="00074E46"/>
    <w:rsid w:val="00091D7A"/>
    <w:rsid w:val="000963C2"/>
    <w:rsid w:val="000A6785"/>
    <w:rsid w:val="000C4377"/>
    <w:rsid w:val="000D013C"/>
    <w:rsid w:val="000D08BE"/>
    <w:rsid w:val="000D5F17"/>
    <w:rsid w:val="001039AF"/>
    <w:rsid w:val="0010682B"/>
    <w:rsid w:val="00121704"/>
    <w:rsid w:val="001624B7"/>
    <w:rsid w:val="001749DC"/>
    <w:rsid w:val="0018138A"/>
    <w:rsid w:val="001C4881"/>
    <w:rsid w:val="001D3504"/>
    <w:rsid w:val="001F0EBB"/>
    <w:rsid w:val="00202507"/>
    <w:rsid w:val="0022430E"/>
    <w:rsid w:val="0022619D"/>
    <w:rsid w:val="00250261"/>
    <w:rsid w:val="00281B65"/>
    <w:rsid w:val="00295ECD"/>
    <w:rsid w:val="002970AA"/>
    <w:rsid w:val="002A1DF9"/>
    <w:rsid w:val="002B6D58"/>
    <w:rsid w:val="002D04A2"/>
    <w:rsid w:val="002D31AA"/>
    <w:rsid w:val="002E6F9F"/>
    <w:rsid w:val="002F196E"/>
    <w:rsid w:val="003101A3"/>
    <w:rsid w:val="00320768"/>
    <w:rsid w:val="00361B6C"/>
    <w:rsid w:val="00381442"/>
    <w:rsid w:val="00393766"/>
    <w:rsid w:val="00394D63"/>
    <w:rsid w:val="003B283C"/>
    <w:rsid w:val="003C332E"/>
    <w:rsid w:val="00401450"/>
    <w:rsid w:val="00424D0C"/>
    <w:rsid w:val="00427CD7"/>
    <w:rsid w:val="00441206"/>
    <w:rsid w:val="0047369D"/>
    <w:rsid w:val="00493E25"/>
    <w:rsid w:val="00496D1E"/>
    <w:rsid w:val="004A31EA"/>
    <w:rsid w:val="004B651B"/>
    <w:rsid w:val="004F3154"/>
    <w:rsid w:val="00500FF5"/>
    <w:rsid w:val="00511AEC"/>
    <w:rsid w:val="005152DF"/>
    <w:rsid w:val="0051715A"/>
    <w:rsid w:val="00530E22"/>
    <w:rsid w:val="005321ED"/>
    <w:rsid w:val="00535BB9"/>
    <w:rsid w:val="00555AF1"/>
    <w:rsid w:val="00587AB3"/>
    <w:rsid w:val="005B2853"/>
    <w:rsid w:val="005C3497"/>
    <w:rsid w:val="005D7778"/>
    <w:rsid w:val="005F3EDD"/>
    <w:rsid w:val="00612CD1"/>
    <w:rsid w:val="006234EC"/>
    <w:rsid w:val="00624CF9"/>
    <w:rsid w:val="0063656A"/>
    <w:rsid w:val="00672938"/>
    <w:rsid w:val="00680B04"/>
    <w:rsid w:val="00693A83"/>
    <w:rsid w:val="006A1468"/>
    <w:rsid w:val="006A4BBE"/>
    <w:rsid w:val="006D3974"/>
    <w:rsid w:val="00702F3A"/>
    <w:rsid w:val="0071694C"/>
    <w:rsid w:val="007239AA"/>
    <w:rsid w:val="00755E83"/>
    <w:rsid w:val="0075692C"/>
    <w:rsid w:val="00777958"/>
    <w:rsid w:val="007B4FCF"/>
    <w:rsid w:val="007D46D7"/>
    <w:rsid w:val="007E0DD5"/>
    <w:rsid w:val="007E2124"/>
    <w:rsid w:val="007E26A4"/>
    <w:rsid w:val="0081580F"/>
    <w:rsid w:val="00832198"/>
    <w:rsid w:val="0089262C"/>
    <w:rsid w:val="008C3FEE"/>
    <w:rsid w:val="00935134"/>
    <w:rsid w:val="00953E33"/>
    <w:rsid w:val="009624A7"/>
    <w:rsid w:val="00963347"/>
    <w:rsid w:val="00975380"/>
    <w:rsid w:val="00984A00"/>
    <w:rsid w:val="009931D1"/>
    <w:rsid w:val="00993D5A"/>
    <w:rsid w:val="00996F6E"/>
    <w:rsid w:val="009C3852"/>
    <w:rsid w:val="009E4AC6"/>
    <w:rsid w:val="00A414FB"/>
    <w:rsid w:val="00A420F6"/>
    <w:rsid w:val="00A61C88"/>
    <w:rsid w:val="00AC6F05"/>
    <w:rsid w:val="00B60E94"/>
    <w:rsid w:val="00B63F01"/>
    <w:rsid w:val="00B66656"/>
    <w:rsid w:val="00B82C1D"/>
    <w:rsid w:val="00BA0B25"/>
    <w:rsid w:val="00BA10F5"/>
    <w:rsid w:val="00BA51AD"/>
    <w:rsid w:val="00BA61D9"/>
    <w:rsid w:val="00BF0A14"/>
    <w:rsid w:val="00BF32C6"/>
    <w:rsid w:val="00BF4251"/>
    <w:rsid w:val="00C0715D"/>
    <w:rsid w:val="00C33C08"/>
    <w:rsid w:val="00CB0A2E"/>
    <w:rsid w:val="00CB7AE6"/>
    <w:rsid w:val="00CD2B7F"/>
    <w:rsid w:val="00D0500A"/>
    <w:rsid w:val="00D1456F"/>
    <w:rsid w:val="00D17D71"/>
    <w:rsid w:val="00D20377"/>
    <w:rsid w:val="00D411B0"/>
    <w:rsid w:val="00D443CF"/>
    <w:rsid w:val="00D9383A"/>
    <w:rsid w:val="00DA6AA8"/>
    <w:rsid w:val="00DE6779"/>
    <w:rsid w:val="00DF6C4F"/>
    <w:rsid w:val="00E12C5C"/>
    <w:rsid w:val="00E15B77"/>
    <w:rsid w:val="00E244E8"/>
    <w:rsid w:val="00E2537E"/>
    <w:rsid w:val="00E31AE5"/>
    <w:rsid w:val="00E4474F"/>
    <w:rsid w:val="00E64546"/>
    <w:rsid w:val="00E76A9D"/>
    <w:rsid w:val="00E81A45"/>
    <w:rsid w:val="00EA0E0F"/>
    <w:rsid w:val="00EA3776"/>
    <w:rsid w:val="00ED585C"/>
    <w:rsid w:val="00EE4946"/>
    <w:rsid w:val="00EF3452"/>
    <w:rsid w:val="00EF4B53"/>
    <w:rsid w:val="00F05D60"/>
    <w:rsid w:val="00F537D3"/>
    <w:rsid w:val="00F66700"/>
    <w:rsid w:val="00F94270"/>
    <w:rsid w:val="00FC17EA"/>
    <w:rsid w:val="00FD4609"/>
    <w:rsid w:val="00FF4302"/>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1A3C6D"/>
  <w15:chartTrackingRefBased/>
  <w15:docId w15:val="{D440AB88-84A3-40FF-878A-2DD13D9801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Char"/>
    <w:uiPriority w:val="9"/>
    <w:qFormat/>
    <w:rsid w:val="00612CD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Char"/>
    <w:uiPriority w:val="9"/>
    <w:semiHidden/>
    <w:unhideWhenUsed/>
    <w:qFormat/>
    <w:rsid w:val="00612CD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Char"/>
    <w:uiPriority w:val="9"/>
    <w:semiHidden/>
    <w:unhideWhenUsed/>
    <w:qFormat/>
    <w:rsid w:val="00612CD1"/>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Char"/>
    <w:uiPriority w:val="9"/>
    <w:semiHidden/>
    <w:unhideWhenUsed/>
    <w:qFormat/>
    <w:rsid w:val="00612CD1"/>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Char"/>
    <w:uiPriority w:val="9"/>
    <w:semiHidden/>
    <w:unhideWhenUsed/>
    <w:qFormat/>
    <w:rsid w:val="00612CD1"/>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Char"/>
    <w:uiPriority w:val="9"/>
    <w:semiHidden/>
    <w:unhideWhenUsed/>
    <w:qFormat/>
    <w:rsid w:val="00612CD1"/>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612CD1"/>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612CD1"/>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612CD1"/>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612CD1"/>
    <w:rPr>
      <w:rFonts w:asciiTheme="majorHAnsi" w:eastAsiaTheme="majorEastAsia" w:hAnsiTheme="majorHAnsi" w:cstheme="majorBidi"/>
      <w:color w:val="0F4761" w:themeColor="accent1" w:themeShade="BF"/>
      <w:sz w:val="40"/>
      <w:szCs w:val="40"/>
    </w:rPr>
  </w:style>
  <w:style w:type="character" w:customStyle="1" w:styleId="2Char">
    <w:name w:val="Επικεφαλίδα 2 Char"/>
    <w:basedOn w:val="a0"/>
    <w:link w:val="2"/>
    <w:uiPriority w:val="9"/>
    <w:semiHidden/>
    <w:rsid w:val="00612CD1"/>
    <w:rPr>
      <w:rFonts w:asciiTheme="majorHAnsi" w:eastAsiaTheme="majorEastAsia" w:hAnsiTheme="majorHAnsi" w:cstheme="majorBidi"/>
      <w:color w:val="0F4761" w:themeColor="accent1" w:themeShade="BF"/>
      <w:sz w:val="32"/>
      <w:szCs w:val="32"/>
    </w:rPr>
  </w:style>
  <w:style w:type="character" w:customStyle="1" w:styleId="3Char">
    <w:name w:val="Επικεφαλίδα 3 Char"/>
    <w:basedOn w:val="a0"/>
    <w:link w:val="3"/>
    <w:uiPriority w:val="9"/>
    <w:semiHidden/>
    <w:rsid w:val="00612CD1"/>
    <w:rPr>
      <w:rFonts w:eastAsiaTheme="majorEastAsia" w:cstheme="majorBidi"/>
      <w:color w:val="0F4761" w:themeColor="accent1" w:themeShade="BF"/>
      <w:sz w:val="28"/>
      <w:szCs w:val="28"/>
    </w:rPr>
  </w:style>
  <w:style w:type="character" w:customStyle="1" w:styleId="4Char">
    <w:name w:val="Επικεφαλίδα 4 Char"/>
    <w:basedOn w:val="a0"/>
    <w:link w:val="4"/>
    <w:uiPriority w:val="9"/>
    <w:semiHidden/>
    <w:rsid w:val="00612CD1"/>
    <w:rPr>
      <w:rFonts w:eastAsiaTheme="majorEastAsia" w:cstheme="majorBidi"/>
      <w:i/>
      <w:iCs/>
      <w:color w:val="0F4761" w:themeColor="accent1" w:themeShade="BF"/>
    </w:rPr>
  </w:style>
  <w:style w:type="character" w:customStyle="1" w:styleId="5Char">
    <w:name w:val="Επικεφαλίδα 5 Char"/>
    <w:basedOn w:val="a0"/>
    <w:link w:val="5"/>
    <w:uiPriority w:val="9"/>
    <w:semiHidden/>
    <w:rsid w:val="00612CD1"/>
    <w:rPr>
      <w:rFonts w:eastAsiaTheme="majorEastAsia" w:cstheme="majorBidi"/>
      <w:color w:val="0F4761" w:themeColor="accent1" w:themeShade="BF"/>
    </w:rPr>
  </w:style>
  <w:style w:type="character" w:customStyle="1" w:styleId="6Char">
    <w:name w:val="Επικεφαλίδα 6 Char"/>
    <w:basedOn w:val="a0"/>
    <w:link w:val="6"/>
    <w:uiPriority w:val="9"/>
    <w:semiHidden/>
    <w:rsid w:val="00612CD1"/>
    <w:rPr>
      <w:rFonts w:eastAsiaTheme="majorEastAsia" w:cstheme="majorBidi"/>
      <w:i/>
      <w:iCs/>
      <w:color w:val="595959" w:themeColor="text1" w:themeTint="A6"/>
    </w:rPr>
  </w:style>
  <w:style w:type="character" w:customStyle="1" w:styleId="7Char">
    <w:name w:val="Επικεφαλίδα 7 Char"/>
    <w:basedOn w:val="a0"/>
    <w:link w:val="7"/>
    <w:uiPriority w:val="9"/>
    <w:semiHidden/>
    <w:rsid w:val="00612CD1"/>
    <w:rPr>
      <w:rFonts w:eastAsiaTheme="majorEastAsia" w:cstheme="majorBidi"/>
      <w:color w:val="595959" w:themeColor="text1" w:themeTint="A6"/>
    </w:rPr>
  </w:style>
  <w:style w:type="character" w:customStyle="1" w:styleId="8Char">
    <w:name w:val="Επικεφαλίδα 8 Char"/>
    <w:basedOn w:val="a0"/>
    <w:link w:val="8"/>
    <w:uiPriority w:val="9"/>
    <w:semiHidden/>
    <w:rsid w:val="00612CD1"/>
    <w:rPr>
      <w:rFonts w:eastAsiaTheme="majorEastAsia" w:cstheme="majorBidi"/>
      <w:i/>
      <w:iCs/>
      <w:color w:val="272727" w:themeColor="text1" w:themeTint="D8"/>
    </w:rPr>
  </w:style>
  <w:style w:type="character" w:customStyle="1" w:styleId="9Char">
    <w:name w:val="Επικεφαλίδα 9 Char"/>
    <w:basedOn w:val="a0"/>
    <w:link w:val="9"/>
    <w:uiPriority w:val="9"/>
    <w:semiHidden/>
    <w:rsid w:val="00612CD1"/>
    <w:rPr>
      <w:rFonts w:eastAsiaTheme="majorEastAsia" w:cstheme="majorBidi"/>
      <w:color w:val="272727" w:themeColor="text1" w:themeTint="D8"/>
    </w:rPr>
  </w:style>
  <w:style w:type="paragraph" w:styleId="a3">
    <w:name w:val="Title"/>
    <w:basedOn w:val="a"/>
    <w:next w:val="a"/>
    <w:link w:val="Char"/>
    <w:uiPriority w:val="10"/>
    <w:qFormat/>
    <w:rsid w:val="00612CD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612CD1"/>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612CD1"/>
    <w:pPr>
      <w:numPr>
        <w:ilvl w:val="1"/>
      </w:numPr>
    </w:pPr>
    <w:rPr>
      <w:rFonts w:eastAsiaTheme="majorEastAsia" w:cstheme="majorBidi"/>
      <w:color w:val="595959" w:themeColor="text1" w:themeTint="A6"/>
      <w:spacing w:val="15"/>
      <w:sz w:val="28"/>
      <w:szCs w:val="28"/>
    </w:rPr>
  </w:style>
  <w:style w:type="character" w:customStyle="1" w:styleId="Char0">
    <w:name w:val="Υπότιτλος Char"/>
    <w:basedOn w:val="a0"/>
    <w:link w:val="a4"/>
    <w:uiPriority w:val="11"/>
    <w:rsid w:val="00612CD1"/>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612CD1"/>
    <w:pPr>
      <w:spacing w:before="160"/>
      <w:jc w:val="center"/>
    </w:pPr>
    <w:rPr>
      <w:i/>
      <w:iCs/>
      <w:color w:val="404040" w:themeColor="text1" w:themeTint="BF"/>
    </w:rPr>
  </w:style>
  <w:style w:type="character" w:customStyle="1" w:styleId="Char1">
    <w:name w:val="Απόσπασμα Char"/>
    <w:basedOn w:val="a0"/>
    <w:link w:val="a5"/>
    <w:uiPriority w:val="29"/>
    <w:rsid w:val="00612CD1"/>
    <w:rPr>
      <w:i/>
      <w:iCs/>
      <w:color w:val="404040" w:themeColor="text1" w:themeTint="BF"/>
    </w:rPr>
  </w:style>
  <w:style w:type="paragraph" w:styleId="a6">
    <w:name w:val="List Paragraph"/>
    <w:basedOn w:val="a"/>
    <w:uiPriority w:val="34"/>
    <w:qFormat/>
    <w:rsid w:val="00612CD1"/>
    <w:pPr>
      <w:ind w:left="720"/>
      <w:contextualSpacing/>
    </w:pPr>
  </w:style>
  <w:style w:type="character" w:styleId="a7">
    <w:name w:val="Intense Emphasis"/>
    <w:basedOn w:val="a0"/>
    <w:uiPriority w:val="21"/>
    <w:qFormat/>
    <w:rsid w:val="00612CD1"/>
    <w:rPr>
      <w:i/>
      <w:iCs/>
      <w:color w:val="0F4761" w:themeColor="accent1" w:themeShade="BF"/>
    </w:rPr>
  </w:style>
  <w:style w:type="paragraph" w:styleId="a8">
    <w:name w:val="Intense Quote"/>
    <w:basedOn w:val="a"/>
    <w:next w:val="a"/>
    <w:link w:val="Char2"/>
    <w:uiPriority w:val="30"/>
    <w:qFormat/>
    <w:rsid w:val="00612CD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Έντονο απόσπ. Char"/>
    <w:basedOn w:val="a0"/>
    <w:link w:val="a8"/>
    <w:uiPriority w:val="30"/>
    <w:rsid w:val="00612CD1"/>
    <w:rPr>
      <w:i/>
      <w:iCs/>
      <w:color w:val="0F4761" w:themeColor="accent1" w:themeShade="BF"/>
    </w:rPr>
  </w:style>
  <w:style w:type="character" w:styleId="a9">
    <w:name w:val="Intense Reference"/>
    <w:basedOn w:val="a0"/>
    <w:uiPriority w:val="32"/>
    <w:qFormat/>
    <w:rsid w:val="00612CD1"/>
    <w:rPr>
      <w:b/>
      <w:bCs/>
      <w:smallCaps/>
      <w:color w:val="0F4761" w:themeColor="accent1" w:themeShade="BF"/>
      <w:spacing w:val="5"/>
    </w:rPr>
  </w:style>
  <w:style w:type="table" w:styleId="50">
    <w:name w:val="Plain Table 5"/>
    <w:basedOn w:val="a1"/>
    <w:uiPriority w:val="45"/>
    <w:rsid w:val="002970AA"/>
    <w:pPr>
      <w:spacing w:after="0" w:line="240" w:lineRule="auto"/>
    </w:pPr>
    <w:rPr>
      <w:kern w:val="0"/>
      <w:lang w:val="en-CA"/>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30">
    <w:name w:val="Plain Table 3"/>
    <w:basedOn w:val="a1"/>
    <w:uiPriority w:val="43"/>
    <w:rsid w:val="002970AA"/>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20">
    <w:name w:val="Plain Table 2"/>
    <w:basedOn w:val="a1"/>
    <w:uiPriority w:val="42"/>
    <w:rsid w:val="002970AA"/>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aa">
    <w:name w:val="Table Grid"/>
    <w:basedOn w:val="a1"/>
    <w:uiPriority w:val="59"/>
    <w:rsid w:val="00535BB9"/>
    <w:pPr>
      <w:spacing w:after="0" w:line="240" w:lineRule="auto"/>
    </w:pPr>
    <w:rPr>
      <w:kern w:val="0"/>
      <w:lang w:val="el-G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annotation reference"/>
    <w:basedOn w:val="a0"/>
    <w:uiPriority w:val="99"/>
    <w:semiHidden/>
    <w:unhideWhenUsed/>
    <w:rsid w:val="00DA6AA8"/>
    <w:rPr>
      <w:sz w:val="16"/>
      <w:szCs w:val="16"/>
    </w:rPr>
  </w:style>
  <w:style w:type="paragraph" w:styleId="ac">
    <w:name w:val="annotation text"/>
    <w:basedOn w:val="a"/>
    <w:link w:val="Char3"/>
    <w:uiPriority w:val="99"/>
    <w:unhideWhenUsed/>
    <w:rsid w:val="00DA6AA8"/>
    <w:pPr>
      <w:spacing w:line="240" w:lineRule="auto"/>
    </w:pPr>
    <w:rPr>
      <w:sz w:val="20"/>
      <w:szCs w:val="20"/>
    </w:rPr>
  </w:style>
  <w:style w:type="character" w:customStyle="1" w:styleId="Char3">
    <w:name w:val="Κείμενο σχολίου Char"/>
    <w:basedOn w:val="a0"/>
    <w:link w:val="ac"/>
    <w:uiPriority w:val="99"/>
    <w:rsid w:val="00DA6AA8"/>
    <w:rPr>
      <w:sz w:val="20"/>
      <w:szCs w:val="20"/>
    </w:rPr>
  </w:style>
  <w:style w:type="paragraph" w:styleId="ad">
    <w:name w:val="annotation subject"/>
    <w:basedOn w:val="ac"/>
    <w:next w:val="ac"/>
    <w:link w:val="Char4"/>
    <w:uiPriority w:val="99"/>
    <w:semiHidden/>
    <w:unhideWhenUsed/>
    <w:rsid w:val="00DA6AA8"/>
    <w:rPr>
      <w:b/>
      <w:bCs/>
    </w:rPr>
  </w:style>
  <w:style w:type="character" w:customStyle="1" w:styleId="Char4">
    <w:name w:val="Θέμα σχολίου Char"/>
    <w:basedOn w:val="Char3"/>
    <w:link w:val="ad"/>
    <w:uiPriority w:val="99"/>
    <w:semiHidden/>
    <w:rsid w:val="00DA6AA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3699833">
      <w:bodyDiv w:val="1"/>
      <w:marLeft w:val="0"/>
      <w:marRight w:val="0"/>
      <w:marTop w:val="0"/>
      <w:marBottom w:val="0"/>
      <w:divBdr>
        <w:top w:val="none" w:sz="0" w:space="0" w:color="auto"/>
        <w:left w:val="none" w:sz="0" w:space="0" w:color="auto"/>
        <w:bottom w:val="none" w:sz="0" w:space="0" w:color="auto"/>
        <w:right w:val="none" w:sz="0" w:space="0" w:color="auto"/>
      </w:divBdr>
    </w:div>
    <w:div w:id="1546604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D0E6A8-8A88-4244-ADBC-2074D901F7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1245</TotalTime>
  <Pages>10</Pages>
  <Words>11767</Words>
  <Characters>67074</Characters>
  <Application>Microsoft Office Word</Application>
  <DocSecurity>0</DocSecurity>
  <Lines>558</Lines>
  <Paragraphs>157</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78684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Tzilivaki, Alexandra</dc:creator>
  <cp:keywords/>
  <dc:description/>
  <cp:lastModifiedBy>Tzilivaki, Alexandra</cp:lastModifiedBy>
  <cp:revision>127</cp:revision>
  <dcterms:created xsi:type="dcterms:W3CDTF">2024-07-12T18:38:00Z</dcterms:created>
  <dcterms:modified xsi:type="dcterms:W3CDTF">2025-02-14T11:52:00Z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https://csl.mendeley.com/styles/616328221/apa</vt:lpwstr>
  </property>
  <property fmtid="{D5CDD505-2E9C-101B-9397-08002B2CF9AE}" pid="7" name="Mendeley Recent Style Name 2_1">
    <vt:lpwstr>American Psychological Association 7th edition - Alexandra Tzilivaki</vt:lpwstr>
  </property>
  <property fmtid="{D5CDD505-2E9C-101B-9397-08002B2CF9AE}" pid="8" name="Mendeley Recent Style Id 3_1">
    <vt:lpwstr>http://csl.mendeley.com/styles/616328221/apa</vt:lpwstr>
  </property>
  <property fmtid="{D5CDD505-2E9C-101B-9397-08002B2CF9AE}" pid="9" name="Mendeley Recent Style Name 3_1">
    <vt:lpwstr>American Psychological Association 7th edition - Alexandra Tzilivaki</vt:lpwstr>
  </property>
  <property fmtid="{D5CDD505-2E9C-101B-9397-08002B2CF9AE}" pid="10" name="Mendeley Recent Style Id 4_1">
    <vt:lpwstr>http://www.zotero.org/styles/american-sociological-association</vt:lpwstr>
  </property>
  <property fmtid="{D5CDD505-2E9C-101B-9397-08002B2CF9AE}" pid="11" name="Mendeley Recent Style Name 4_1">
    <vt:lpwstr>American Sociological Association 6th edition</vt:lpwstr>
  </property>
  <property fmtid="{D5CDD505-2E9C-101B-9397-08002B2CF9AE}" pid="12" name="Mendeley Recent Style Id 5_1">
    <vt:lpwstr>http://www.zotero.org/styles/chicago-author-date</vt:lpwstr>
  </property>
  <property fmtid="{D5CDD505-2E9C-101B-9397-08002B2CF9AE}" pid="13" name="Mendeley Recent Style Name 5_1">
    <vt:lpwstr>Chicago Manual of Style 17th edition (author-date)</vt:lpwstr>
  </property>
  <property fmtid="{D5CDD505-2E9C-101B-9397-08002B2CF9AE}" pid="14" name="Mendeley Recent Style Id 6_1">
    <vt:lpwstr>http://www.zotero.org/styles/harvard-cite-them-right</vt:lpwstr>
  </property>
  <property fmtid="{D5CDD505-2E9C-101B-9397-08002B2CF9AE}" pid="15" name="Mendeley Recent Style Name 6_1">
    <vt:lpwstr>Cite Them Right 10th edition - Harvard</vt:lpwstr>
  </property>
  <property fmtid="{D5CDD505-2E9C-101B-9397-08002B2CF9AE}" pid="16" name="Mendeley Recent Style Id 7_1">
    <vt:lpwstr>http://www.zotero.org/styles/nature</vt:lpwstr>
  </property>
  <property fmtid="{D5CDD505-2E9C-101B-9397-08002B2CF9AE}" pid="17" name="Mendeley Recent Style Name 7_1">
    <vt:lpwstr>Nature</vt:lpwstr>
  </property>
  <property fmtid="{D5CDD505-2E9C-101B-9397-08002B2CF9AE}" pid="18" name="Mendeley Recent Style Id 8_1">
    <vt:lpwstr>http://csl.mendeley.com/styles/616328221/thesisstyle</vt:lpwstr>
  </property>
  <property fmtid="{D5CDD505-2E9C-101B-9397-08002B2CF9AE}" pid="19" name="Mendeley Recent Style Name 8_1">
    <vt:lpwstr>No Title</vt:lpwstr>
  </property>
  <property fmtid="{D5CDD505-2E9C-101B-9397-08002B2CF9AE}" pid="20" name="Mendeley Recent Style Id 9_1">
    <vt:lpwstr>http://www.zotero.org/styles/turabian-fullnote-bibliography</vt:lpwstr>
  </property>
  <property fmtid="{D5CDD505-2E9C-101B-9397-08002B2CF9AE}" pid="21" name="Mendeley Recent Style Name 9_1">
    <vt:lpwstr>Turabian 9th edition (full note)</vt:lpwstr>
  </property>
  <property fmtid="{D5CDD505-2E9C-101B-9397-08002B2CF9AE}" pid="22" name="Mendeley Document_1">
    <vt:lpwstr>True</vt:lpwstr>
  </property>
  <property fmtid="{D5CDD505-2E9C-101B-9397-08002B2CF9AE}" pid="23" name="Mendeley Unique User Id_1">
    <vt:lpwstr>45f94b92-1c5d-3933-883e-344a3396eace</vt:lpwstr>
  </property>
  <property fmtid="{D5CDD505-2E9C-101B-9397-08002B2CF9AE}" pid="24" name="Mendeley Citation Style_1">
    <vt:lpwstr>http://www.zotero.org/styles/nature</vt:lpwstr>
  </property>
</Properties>
</file>