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E53" w:rsidRPr="00D5628A" w:rsidRDefault="00AE7E53" w:rsidP="0093744B">
      <w:pPr>
        <w:spacing w:line="360" w:lineRule="auto"/>
        <w:rPr>
          <w:rFonts w:ascii="Palatino Linotype" w:eastAsiaTheme="minorEastAsia" w:hAnsi="Palatino Linotype" w:cs="Arial"/>
          <w:b/>
          <w:bCs/>
          <w:sz w:val="24"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sz w:val="24"/>
          <w:lang w:val="en-US" w:bidi="en-US"/>
        </w:rPr>
        <w:t>Supplemental Videos</w:t>
      </w:r>
      <w:r w:rsidR="00781D5E" w:rsidRPr="00D5628A">
        <w:rPr>
          <w:rFonts w:ascii="Palatino Linotype" w:eastAsiaTheme="minorEastAsia" w:hAnsi="Palatino Linotype" w:cs="Arial"/>
          <w:b/>
          <w:bCs/>
          <w:sz w:val="24"/>
          <w:lang w:val="en-US" w:bidi="en-US"/>
        </w:rPr>
        <w:t xml:space="preserve"> - legends</w:t>
      </w:r>
      <w:r w:rsidRPr="00D5628A">
        <w:rPr>
          <w:rFonts w:ascii="Palatino Linotype" w:eastAsiaTheme="minorEastAsia" w:hAnsi="Palatino Linotype" w:cs="Arial"/>
          <w:b/>
          <w:bCs/>
          <w:sz w:val="24"/>
          <w:lang w:val="en-US" w:bidi="en-US"/>
        </w:rPr>
        <w:t>: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1: Neutrophils in medium.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in HBSS medium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and monitored by fluorescence microscopy (bright field and green fluorescence channels merged; 100x objective; scale bar, 12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2: NET formation induced by </w:t>
      </w:r>
      <w:proofErr w:type="spellStart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ionomycin</w:t>
      </w:r>
      <w:proofErr w:type="spellEnd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ionomycin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(5 µM)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100x objective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>; scale bar, 12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3: NET formation induced by alum.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alum (100 µg/ml)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100x objective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>; scale bar, 12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4: Neutrophils in medium.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with 25 ng/ml GM-CSF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and incubated for 2 h in HBSS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and monitored by fluorescence microscopy (bright field and green fluorescence channels merged; 20x objective;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5: NET formation induced by </w:t>
      </w:r>
      <w:proofErr w:type="spellStart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ionomycin</w:t>
      </w:r>
      <w:proofErr w:type="spellEnd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ionomycin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(5 µM)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20x objective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>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6: NET formation induced by alum.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alum (100 µg/ml)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20x objective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>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lastRenderedPageBreak/>
        <w:t>Video 7: NET formation induced by the alum-</w:t>
      </w:r>
      <w:proofErr w:type="spellStart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adjuvanted</w:t>
      </w:r>
      <w:proofErr w:type="spellEnd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 vaccine A-HDM.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>Neutrophils were primed with 25 ng/ml GM-CSF and incubated for 2 h with the vaccine A-HDM (89 µg alum/ml)</w:t>
      </w: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20x objective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>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Video 8: NET formation induced by the alum-</w:t>
      </w:r>
      <w:proofErr w:type="spellStart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adjuvanted</w:t>
      </w:r>
      <w:proofErr w:type="spellEnd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 vaccine A-BP.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2h with the vaccine A-BP (100 µg alum/ml)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20x objective;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Video 9: Neutrophils stimulated with MPLA.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MPLA (5 µg/ml)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20x objective; scale bar, 20 µm).</w:t>
      </w:r>
    </w:p>
    <w:p w:rsidR="00AE7E53" w:rsidRPr="00D5628A" w:rsidRDefault="00AE7E53" w:rsidP="00AE7E53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</w:p>
    <w:p w:rsidR="00B71919" w:rsidRPr="00D5628A" w:rsidRDefault="00AE7E53" w:rsidP="00D8459B">
      <w:pPr>
        <w:spacing w:after="0" w:line="36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Video 10: Neutrophils stimulated with the MPLA/tyrosine microcrystals-</w:t>
      </w:r>
      <w:proofErr w:type="spellStart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adjuvanted</w:t>
      </w:r>
      <w:proofErr w:type="spellEnd"/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 vaccine MT-GP.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with 25 ng/ml GM-CSF and incubated for 2 h with the vaccine MT-GP (2 µg MPLA/ml) with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green in HBSS and monitored by fluorescence microscopy (bright field and green fluorescence channels merged; 20x objective; scale bar, 20 µm).</w:t>
      </w:r>
      <w:r w:rsidR="00B71919" w:rsidRPr="00D5628A">
        <w:rPr>
          <w:rFonts w:ascii="Palatino Linotype" w:hAnsi="Palatino Linotype" w:cs="Arial"/>
          <w:b/>
          <w:sz w:val="28"/>
          <w:szCs w:val="28"/>
          <w:lang w:val="en-GB"/>
        </w:rPr>
        <w:br w:type="page"/>
      </w:r>
    </w:p>
    <w:p w:rsidR="00B71919" w:rsidRPr="00D5628A" w:rsidRDefault="00B71919" w:rsidP="00B71919">
      <w:pPr>
        <w:rPr>
          <w:rFonts w:ascii="Palatino Linotype" w:hAnsi="Palatino Linotype" w:cs="Arial"/>
          <w:b/>
          <w:sz w:val="24"/>
        </w:rPr>
      </w:pPr>
      <w:proofErr w:type="spellStart"/>
      <w:r w:rsidRPr="00D5628A">
        <w:rPr>
          <w:rFonts w:ascii="Palatino Linotype" w:hAnsi="Palatino Linotype" w:cs="Arial"/>
          <w:b/>
          <w:sz w:val="24"/>
        </w:rPr>
        <w:lastRenderedPageBreak/>
        <w:t>Supplemental</w:t>
      </w:r>
      <w:proofErr w:type="spellEnd"/>
      <w:r w:rsidRPr="00D5628A">
        <w:rPr>
          <w:rFonts w:ascii="Palatino Linotype" w:hAnsi="Palatino Linotype" w:cs="Arial"/>
          <w:b/>
          <w:sz w:val="24"/>
        </w:rPr>
        <w:t xml:space="preserve"> </w:t>
      </w:r>
      <w:proofErr w:type="spellStart"/>
      <w:r w:rsidRPr="00D5628A">
        <w:rPr>
          <w:rFonts w:ascii="Palatino Linotype" w:hAnsi="Palatino Linotype" w:cs="Arial"/>
          <w:b/>
          <w:sz w:val="24"/>
        </w:rPr>
        <w:t>Figures</w:t>
      </w:r>
      <w:proofErr w:type="spellEnd"/>
    </w:p>
    <w:p w:rsidR="00B16A87" w:rsidRPr="00D5628A" w:rsidRDefault="00B16A87" w:rsidP="00B71919">
      <w:pPr>
        <w:rPr>
          <w:rFonts w:ascii="Palatino Linotype" w:hAnsi="Palatino Linotype" w:cs="Arial"/>
          <w:b/>
          <w:sz w:val="24"/>
        </w:rPr>
      </w:pPr>
    </w:p>
    <w:p w:rsidR="00B16A87" w:rsidRPr="00D5628A" w:rsidRDefault="00206327" w:rsidP="00B16A87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hAnsi="Palatino Linotype" w:cs="Arial"/>
          <w:noProof/>
          <w:lang w:val="de-AT" w:eastAsia="de-AT"/>
        </w:rPr>
        <w:drawing>
          <wp:inline distT="0" distB="0" distL="0" distR="0" wp14:anchorId="743F5F52" wp14:editId="3E38B517">
            <wp:extent cx="5972810" cy="6172220"/>
            <wp:effectExtent l="0" t="0" r="8890" b="0"/>
            <wp:docPr id="2" name="Picture 2" descr="\\Ppc5\ed\Documents\Jasmine\Paper\meins\Suppl\Suppl_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pc5\ed\Documents\Jasmine\Paper\meins\Suppl\Suppl_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17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A87" w:rsidRPr="00D5628A" w:rsidRDefault="00B16A87" w:rsidP="00B16A87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</w:p>
    <w:p w:rsidR="00B16A87" w:rsidRPr="00D5628A" w:rsidRDefault="00B16A87" w:rsidP="00B16A87">
      <w:pPr>
        <w:spacing w:after="0"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</w:p>
    <w:p w:rsidR="00B16A87" w:rsidRPr="00D5628A" w:rsidRDefault="00B16A87" w:rsidP="00B16A87">
      <w:pPr>
        <w:spacing w:after="0" w:line="240" w:lineRule="auto"/>
        <w:jc w:val="both"/>
        <w:rPr>
          <w:rFonts w:ascii="Palatino Linotype" w:eastAsiaTheme="minorEastAsia" w:hAnsi="Palatino Linotype" w:cs="Arial"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 xml:space="preserve"> Figure S1: Kinetics of DNA release induced by alum or MPLA.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Neutrophils were primed </w:t>
      </w:r>
      <w:proofErr w:type="gramStart"/>
      <w:r w:rsidRPr="00D5628A">
        <w:rPr>
          <w:rFonts w:ascii="Palatino Linotype" w:eastAsiaTheme="minorEastAsia" w:hAnsi="Palatino Linotype" w:cs="Arial"/>
          <w:bCs/>
          <w:lang w:val="en-US" w:bidi="en-US"/>
        </w:rPr>
        <w:t>with 25 ng/ml GM-CSF</w:t>
      </w:r>
      <w:proofErr w:type="gram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and incubated for 3 h with medium,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ionomycin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(5 µM), alum (A) or MPLA (B) at the indicated concentrations. NET release was measured by fluorescence of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Sytox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orange bound to extracellular DNA in a plate reader assay. </w:t>
      </w:r>
    </w:p>
    <w:p w:rsidR="00B16A87" w:rsidRPr="00D5628A" w:rsidRDefault="00234318" w:rsidP="00B71919">
      <w:pPr>
        <w:rPr>
          <w:rFonts w:ascii="Palatino Linotype" w:hAnsi="Palatino Linotype" w:cs="Arial"/>
          <w:lang w:val="en-US"/>
        </w:rPr>
      </w:pPr>
      <w:r w:rsidRPr="00D5628A">
        <w:rPr>
          <w:rFonts w:ascii="Palatino Linotype" w:hAnsi="Palatino Linotype" w:cs="Arial"/>
          <w:noProof/>
          <w:lang w:val="de-AT" w:eastAsia="de-AT"/>
        </w:rPr>
        <w:lastRenderedPageBreak/>
        <w:drawing>
          <wp:inline distT="0" distB="0" distL="0" distR="0" wp14:anchorId="179EB5B8" wp14:editId="3EAE2451">
            <wp:extent cx="3045473" cy="6797040"/>
            <wp:effectExtent l="0" t="0" r="2540" b="3810"/>
            <wp:docPr id="3" name="Picture 3" descr="\\Ppc5\ed\Documents\Jasmine\Paper\meins\Suppl\Suppl_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pc5\ed\Documents\Jasmine\Paper\meins\Suppl\Suppl_4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774" cy="681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327" w:rsidRPr="00D5628A" w:rsidRDefault="00206327" w:rsidP="00B71919">
      <w:pPr>
        <w:rPr>
          <w:rFonts w:ascii="Palatino Linotype" w:hAnsi="Palatino Linotype" w:cs="Arial"/>
          <w:lang w:val="en-US"/>
        </w:rPr>
      </w:pPr>
    </w:p>
    <w:p w:rsidR="00B16A87" w:rsidRPr="00D5628A" w:rsidRDefault="00B16A87" w:rsidP="00B16A87">
      <w:pPr>
        <w:spacing w:after="0" w:line="24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Figure S2: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</w:t>
      </w: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Medium controls for monocyte staining after 24 h.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Medium control samples as reference for the expression of surface markers on monocytes within PBMC after 24 h incubation. (A) Fluorescence of CD14</w:t>
      </w:r>
      <w:r w:rsidRPr="00D5628A">
        <w:rPr>
          <w:rFonts w:ascii="Palatino Linotype" w:eastAsiaTheme="minorEastAsia" w:hAnsi="Palatino Linotype" w:cs="Arial"/>
          <w:bCs/>
          <w:vertAlign w:val="superscript"/>
          <w:lang w:val="en-US" w:bidi="en-US"/>
        </w:rPr>
        <w:t>+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monocytes after 24 h of incubation of PBMC in medium (left panel) or in the presence of Bet v 1-pHrodo (1µg/ml) (right panel). (B) Isotype controls (left panels) and staining of CD14</w:t>
      </w:r>
      <w:r w:rsidRPr="00D5628A">
        <w:rPr>
          <w:rFonts w:ascii="Palatino Linotype" w:eastAsiaTheme="minorEastAsia" w:hAnsi="Palatino Linotype" w:cs="Arial"/>
          <w:bCs/>
          <w:vertAlign w:val="superscript"/>
          <w:lang w:val="en-US" w:bidi="en-US"/>
        </w:rPr>
        <w:t>+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monocytes with specific antibodies (right panels) are shown.</w:t>
      </w:r>
    </w:p>
    <w:p w:rsidR="00B16A87" w:rsidRPr="00D5628A" w:rsidRDefault="00B16A87" w:rsidP="00B71919">
      <w:pPr>
        <w:rPr>
          <w:rFonts w:ascii="Palatino Linotype" w:hAnsi="Palatino Linotype" w:cs="Arial"/>
          <w:lang w:val="en-US"/>
        </w:rPr>
      </w:pPr>
    </w:p>
    <w:p w:rsidR="00B16A87" w:rsidRPr="00D5628A" w:rsidRDefault="001A76C2" w:rsidP="001A76C2">
      <w:pPr>
        <w:spacing w:line="36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noProof/>
          <w:lang w:val="de-AT" w:eastAsia="de-AT"/>
        </w:rPr>
        <w:lastRenderedPageBreak/>
        <w:drawing>
          <wp:inline distT="0" distB="0" distL="0" distR="0">
            <wp:extent cx="4039332" cy="6423660"/>
            <wp:effectExtent l="0" t="0" r="0" b="0"/>
            <wp:docPr id="1" name="Picture 1" descr="D:\Users\PathoPhys\Documents\Jasmine\Paper\meins\Suppl\Suppl_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athoPhys\Documents\Jasmine\Paper\meins\Suppl\Suppl_7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603" cy="642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318" w:rsidRDefault="00234318" w:rsidP="00B16A87">
      <w:pPr>
        <w:spacing w:after="0" w:line="24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</w:p>
    <w:p w:rsidR="00234318" w:rsidRDefault="00234318" w:rsidP="00B16A87">
      <w:pPr>
        <w:spacing w:after="0" w:line="24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bookmarkStart w:id="0" w:name="_GoBack"/>
      <w:bookmarkEnd w:id="0"/>
    </w:p>
    <w:p w:rsidR="00B16A87" w:rsidRPr="00D5628A" w:rsidRDefault="00B16A87" w:rsidP="00B16A87">
      <w:pPr>
        <w:spacing w:after="0" w:line="240" w:lineRule="auto"/>
        <w:jc w:val="both"/>
        <w:rPr>
          <w:rFonts w:ascii="Palatino Linotype" w:eastAsiaTheme="minorEastAsia" w:hAnsi="Palatino Linotype" w:cs="Arial"/>
          <w:b/>
          <w:bCs/>
          <w:lang w:val="en-US" w:bidi="en-US"/>
        </w:rPr>
      </w:pPr>
      <w:r w:rsidRPr="00D5628A">
        <w:rPr>
          <w:rFonts w:ascii="Palatino Linotype" w:eastAsiaTheme="minorEastAsia" w:hAnsi="Palatino Linotype" w:cs="Arial"/>
          <w:b/>
          <w:bCs/>
          <w:lang w:val="en-US" w:bidi="en-US"/>
        </w:rPr>
        <w:t>Figure S3: Induction of IL-1</w:t>
      </w:r>
      <w:r w:rsidRPr="00D5628A">
        <w:rPr>
          <w:rFonts w:ascii="Palatino Linotype" w:hAnsi="Palatino Linotype" w:cs="Arial"/>
          <w:b/>
          <w:color w:val="000000"/>
        </w:rPr>
        <w:t>β</w:t>
      </w:r>
      <w:r w:rsidRPr="00D5628A">
        <w:rPr>
          <w:rFonts w:ascii="Palatino Linotype" w:hAnsi="Palatino Linotype" w:cs="Arial"/>
          <w:b/>
          <w:color w:val="000000"/>
          <w:lang w:val="en-US"/>
        </w:rPr>
        <w:t xml:space="preserve">/IL-6 release in PBMC by LPS or NET priming or stimulation with complete vaccines. 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PBMC were incubated for 3 h with either medium (neg. control), ultrapure LPS (25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pg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>/ml) or isolated NETs (100 ng/ml) and then stimulated for 6 h with either one of the alum-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adjuvanted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vaccines (A-HDM, A-BP) or the MPLA-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adjuvanted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one MT-GP. Cytokine levels of (A) IL-1</w:t>
      </w:r>
      <w:r w:rsidRPr="00D5628A">
        <w:rPr>
          <w:rFonts w:ascii="Palatino Linotype" w:hAnsi="Palatino Linotype" w:cs="Arial"/>
          <w:color w:val="000000"/>
        </w:rPr>
        <w:t>β</w:t>
      </w:r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and (B) IL-6 in SN were measured by ELISA. Cumulative data of 3 independent experiments with 6 different donors are shown. One-way ANOVA followed by </w:t>
      </w:r>
      <w:proofErr w:type="spellStart"/>
      <w:r w:rsidRPr="00D5628A">
        <w:rPr>
          <w:rFonts w:ascii="Palatino Linotype" w:eastAsiaTheme="minorEastAsia" w:hAnsi="Palatino Linotype" w:cs="Arial"/>
          <w:bCs/>
          <w:lang w:val="en-US" w:bidi="en-US"/>
        </w:rPr>
        <w:t>Dunnetts</w:t>
      </w:r>
      <w:proofErr w:type="spellEnd"/>
      <w:r w:rsidRPr="00D5628A">
        <w:rPr>
          <w:rFonts w:ascii="Palatino Linotype" w:eastAsiaTheme="minorEastAsia" w:hAnsi="Palatino Linotype" w:cs="Arial"/>
          <w:bCs/>
          <w:lang w:val="en-US" w:bidi="en-US"/>
        </w:rPr>
        <w:t xml:space="preserve"> posttests (*p&lt;0.05; **p&lt;0.01; ***p&lt;0.001). </w:t>
      </w:r>
    </w:p>
    <w:sectPr w:rsidR="00B16A87" w:rsidRPr="00D5628A" w:rsidSect="00D8459B">
      <w:headerReference w:type="default" r:id="rId12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9B" w:rsidRDefault="00FD769B" w:rsidP="007E41AE">
      <w:pPr>
        <w:spacing w:after="0" w:line="240" w:lineRule="auto"/>
      </w:pPr>
      <w:r>
        <w:separator/>
      </w:r>
    </w:p>
  </w:endnote>
  <w:endnote w:type="continuationSeparator" w:id="0">
    <w:p w:rsidR="00FD769B" w:rsidRDefault="00FD769B" w:rsidP="007E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9B" w:rsidRDefault="00FD769B" w:rsidP="007E41AE">
      <w:pPr>
        <w:spacing w:after="0" w:line="240" w:lineRule="auto"/>
      </w:pPr>
      <w:r>
        <w:separator/>
      </w:r>
    </w:p>
  </w:footnote>
  <w:footnote w:type="continuationSeparator" w:id="0">
    <w:p w:rsidR="00FD769B" w:rsidRDefault="00FD769B" w:rsidP="007E4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535972"/>
      <w:docPartObj>
        <w:docPartGallery w:val="Page Numbers (Top of Page)"/>
        <w:docPartUnique/>
      </w:docPartObj>
    </w:sdtPr>
    <w:sdtEndPr/>
    <w:sdtContent>
      <w:p w:rsidR="007E41AE" w:rsidRDefault="007E41AE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318">
          <w:rPr>
            <w:noProof/>
          </w:rPr>
          <w:t>5</w:t>
        </w:r>
        <w:r>
          <w:fldChar w:fldCharType="end"/>
        </w:r>
      </w:p>
    </w:sdtContent>
  </w:sdt>
  <w:p w:rsidR="007E41AE" w:rsidRDefault="007E41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6CCC"/>
    <w:multiLevelType w:val="hybridMultilevel"/>
    <w:tmpl w:val="FD4857F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2r29drnrfzvfe25ed5ped0zvap2trdrsv9&quot;&gt;JAK paper&lt;record-ids&gt;&lt;item&gt;76&lt;/item&gt;&lt;item&gt;84&lt;/item&gt;&lt;/record-ids&gt;&lt;/item&gt;&lt;/Libraries&gt;"/>
  </w:docVars>
  <w:rsids>
    <w:rsidRoot w:val="007E41AE"/>
    <w:rsid w:val="00035D5D"/>
    <w:rsid w:val="00044B05"/>
    <w:rsid w:val="00103112"/>
    <w:rsid w:val="00137A21"/>
    <w:rsid w:val="00152424"/>
    <w:rsid w:val="001A76C2"/>
    <w:rsid w:val="001C4DE8"/>
    <w:rsid w:val="001C5F59"/>
    <w:rsid w:val="00206327"/>
    <w:rsid w:val="00234318"/>
    <w:rsid w:val="002403CE"/>
    <w:rsid w:val="00264B86"/>
    <w:rsid w:val="00277841"/>
    <w:rsid w:val="002C348E"/>
    <w:rsid w:val="003C2729"/>
    <w:rsid w:val="004306EE"/>
    <w:rsid w:val="0047282B"/>
    <w:rsid w:val="0049172C"/>
    <w:rsid w:val="004F6077"/>
    <w:rsid w:val="004F77C0"/>
    <w:rsid w:val="005B1D21"/>
    <w:rsid w:val="006027B9"/>
    <w:rsid w:val="00602E52"/>
    <w:rsid w:val="00623957"/>
    <w:rsid w:val="006A7291"/>
    <w:rsid w:val="00714073"/>
    <w:rsid w:val="00757CD6"/>
    <w:rsid w:val="007674A8"/>
    <w:rsid w:val="00781D5E"/>
    <w:rsid w:val="007E41AE"/>
    <w:rsid w:val="00867804"/>
    <w:rsid w:val="008E64F3"/>
    <w:rsid w:val="0093744B"/>
    <w:rsid w:val="00952EF7"/>
    <w:rsid w:val="00974646"/>
    <w:rsid w:val="0099522F"/>
    <w:rsid w:val="00AE7E53"/>
    <w:rsid w:val="00B00526"/>
    <w:rsid w:val="00B15578"/>
    <w:rsid w:val="00B16A87"/>
    <w:rsid w:val="00B71919"/>
    <w:rsid w:val="00B7381A"/>
    <w:rsid w:val="00B87F3C"/>
    <w:rsid w:val="00BB36DF"/>
    <w:rsid w:val="00BC4F4B"/>
    <w:rsid w:val="00BD2745"/>
    <w:rsid w:val="00C2590F"/>
    <w:rsid w:val="00C26B1F"/>
    <w:rsid w:val="00C441FB"/>
    <w:rsid w:val="00C76792"/>
    <w:rsid w:val="00CE7B5E"/>
    <w:rsid w:val="00D366DE"/>
    <w:rsid w:val="00D5628A"/>
    <w:rsid w:val="00D82049"/>
    <w:rsid w:val="00D8459B"/>
    <w:rsid w:val="00D84621"/>
    <w:rsid w:val="00DF6424"/>
    <w:rsid w:val="00E039FF"/>
    <w:rsid w:val="00E20048"/>
    <w:rsid w:val="00E95F8F"/>
    <w:rsid w:val="00ED2619"/>
    <w:rsid w:val="00F40BA2"/>
    <w:rsid w:val="00F802E6"/>
    <w:rsid w:val="00F95CC1"/>
    <w:rsid w:val="00FD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1D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41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41A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E41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1AE"/>
    <w:rPr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1D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1D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1D21"/>
    <w:rPr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1D21"/>
    <w:rPr>
      <w:rFonts w:ascii="Tahoma" w:hAnsi="Tahoma" w:cs="Tahoma"/>
      <w:sz w:val="16"/>
      <w:szCs w:val="1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1D21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styleId="Zeilennummer">
    <w:name w:val="line number"/>
    <w:basedOn w:val="Absatz-Standardschriftart"/>
    <w:uiPriority w:val="99"/>
    <w:semiHidden/>
    <w:unhideWhenUsed/>
    <w:rsid w:val="00D8459B"/>
  </w:style>
  <w:style w:type="paragraph" w:customStyle="1" w:styleId="EndNoteBibliography">
    <w:name w:val="EndNote Bibliography"/>
    <w:basedOn w:val="Standard"/>
    <w:link w:val="EndNoteBibliographyZchn"/>
    <w:rsid w:val="001C5F59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1C5F59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Standard"/>
    <w:link w:val="EndNoteBibliographyTitleZchn"/>
    <w:rsid w:val="00035D5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035D5D"/>
    <w:rPr>
      <w:rFonts w:ascii="Calibri" w:hAnsi="Calibri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1D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41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41A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E41A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41AE"/>
    <w:rPr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1D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1D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1D21"/>
    <w:rPr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1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1D21"/>
    <w:rPr>
      <w:rFonts w:ascii="Tahoma" w:hAnsi="Tahoma" w:cs="Tahoma"/>
      <w:sz w:val="16"/>
      <w:szCs w:val="1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1D21"/>
    <w:rPr>
      <w:rFonts w:asciiTheme="majorHAnsi" w:eastAsiaTheme="majorEastAsia" w:hAnsiTheme="majorHAnsi" w:cstheme="majorBidi"/>
      <w:b/>
      <w:bCs/>
      <w:color w:val="4F81BD" w:themeColor="accent1"/>
      <w:lang w:val="de-DE"/>
    </w:rPr>
  </w:style>
  <w:style w:type="character" w:styleId="Zeilennummer">
    <w:name w:val="line number"/>
    <w:basedOn w:val="Absatz-Standardschriftart"/>
    <w:uiPriority w:val="99"/>
    <w:semiHidden/>
    <w:unhideWhenUsed/>
    <w:rsid w:val="00D8459B"/>
  </w:style>
  <w:style w:type="paragraph" w:customStyle="1" w:styleId="EndNoteBibliography">
    <w:name w:val="EndNote Bibliography"/>
    <w:basedOn w:val="Standard"/>
    <w:link w:val="EndNoteBibliographyZchn"/>
    <w:rsid w:val="001C5F59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1C5F59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Standard"/>
    <w:link w:val="EndNoteBibliographyTitleZchn"/>
    <w:rsid w:val="00035D5D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035D5D"/>
    <w:rPr>
      <w:rFonts w:ascii="Calibri" w:hAnsi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0" Type="http://schemas.openxmlformats.org/officeDocument/2006/relationships/image" Target="media/image2.tiff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A0125-726D-4C32-992E-B36C5EF8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Medizinische Universitaet Wien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</dc:creator>
  <cp:lastModifiedBy>Beatrice</cp:lastModifiedBy>
  <cp:revision>2</cp:revision>
  <cp:lastPrinted>2020-12-04T16:08:00Z</cp:lastPrinted>
  <dcterms:created xsi:type="dcterms:W3CDTF">2021-03-04T16:35:00Z</dcterms:created>
  <dcterms:modified xsi:type="dcterms:W3CDTF">2021-03-04T16:35:00Z</dcterms:modified>
</cp:coreProperties>
</file>