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2B86" w14:textId="77777777" w:rsidR="00935A8D" w:rsidRPr="005839E7" w:rsidRDefault="00935A8D" w:rsidP="00935A8D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5839E7">
        <w:rPr>
          <w:rFonts w:ascii="Arial" w:hAnsi="Arial" w:cs="Arial"/>
          <w:b/>
          <w:bCs/>
          <w:color w:val="000000" w:themeColor="text1"/>
          <w:lang w:val="en-US"/>
        </w:rPr>
        <w:t>Cardiovascular magnetic resonance reveals myocardial involvement in patients with active stage of inflammatory bowel disease</w:t>
      </w:r>
    </w:p>
    <w:p w14:paraId="31F399A9" w14:textId="77777777" w:rsidR="00935A8D" w:rsidRPr="005839E7" w:rsidRDefault="00935A8D" w:rsidP="00935A8D">
      <w:pPr>
        <w:spacing w:line="480" w:lineRule="auto"/>
        <w:rPr>
          <w:rFonts w:ascii="Arial" w:hAnsi="Arial" w:cs="Arial"/>
          <w:lang w:val="en-US"/>
        </w:rPr>
      </w:pPr>
    </w:p>
    <w:p w14:paraId="695AA409" w14:textId="77777777" w:rsidR="00935A8D" w:rsidRPr="004B0DE8" w:rsidRDefault="00935A8D" w:rsidP="00935A8D">
      <w:pPr>
        <w:spacing w:line="48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765116">
        <w:rPr>
          <w:rFonts w:ascii="Arial" w:hAnsi="Arial" w:cs="Arial"/>
          <w:sz w:val="22"/>
          <w:szCs w:val="22"/>
          <w:lang w:val="en-US"/>
        </w:rPr>
        <w:t>Maximilian Fenski</w:t>
      </w:r>
      <w:r w:rsidRPr="00765116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765116">
        <w:rPr>
          <w:rFonts w:ascii="Arial" w:hAnsi="Arial" w:cs="Arial"/>
          <w:sz w:val="22"/>
          <w:szCs w:val="22"/>
          <w:lang w:val="en-US"/>
        </w:rPr>
        <w:t>, Endri Abazi</w:t>
      </w:r>
      <w:r w:rsidRPr="00765116">
        <w:rPr>
          <w:rFonts w:ascii="Arial" w:hAnsi="Arial" w:cs="Arial"/>
          <w:sz w:val="22"/>
          <w:szCs w:val="22"/>
          <w:vertAlign w:val="superscript"/>
          <w:lang w:val="en-US"/>
        </w:rPr>
        <w:t>,1</w:t>
      </w:r>
      <w:r w:rsidRPr="00765116">
        <w:rPr>
          <w:rFonts w:ascii="Arial" w:hAnsi="Arial" w:cs="Arial"/>
          <w:sz w:val="22"/>
          <w:szCs w:val="22"/>
          <w:lang w:val="en-US"/>
        </w:rPr>
        <w:t>, Jan Gröschel</w:t>
      </w:r>
      <w:r w:rsidRPr="00765116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765116">
        <w:rPr>
          <w:rFonts w:ascii="Arial" w:hAnsi="Arial" w:cs="Arial"/>
          <w:sz w:val="22"/>
          <w:szCs w:val="22"/>
          <w:lang w:val="en-US"/>
        </w:rPr>
        <w:t>, Thomas Hadler</w:t>
      </w:r>
      <w:r w:rsidRPr="00765116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765116">
        <w:rPr>
          <w:rFonts w:ascii="Arial" w:hAnsi="Arial" w:cs="Arial"/>
          <w:sz w:val="22"/>
          <w:szCs w:val="22"/>
          <w:lang w:val="en-US"/>
        </w:rPr>
        <w:t>, Diane Kappelmayer</w:t>
      </w:r>
      <w:r w:rsidRPr="00765116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765116">
        <w:rPr>
          <w:rFonts w:ascii="Arial" w:hAnsi="Arial" w:cs="Arial"/>
          <w:sz w:val="22"/>
          <w:szCs w:val="22"/>
          <w:lang w:val="en-US"/>
        </w:rPr>
        <w:t>, Frank Kolligs</w:t>
      </w:r>
      <w:r w:rsidRPr="00765116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765116">
        <w:rPr>
          <w:rFonts w:ascii="Arial" w:hAnsi="Arial" w:cs="Arial"/>
          <w:sz w:val="22"/>
          <w:szCs w:val="22"/>
          <w:lang w:val="en-US"/>
        </w:rPr>
        <w:t>, Claudia Prieto</w:t>
      </w:r>
      <w:r w:rsidRPr="00765116">
        <w:rPr>
          <w:rFonts w:ascii="Arial" w:hAnsi="Arial" w:cs="Arial"/>
          <w:sz w:val="22"/>
          <w:szCs w:val="22"/>
          <w:vertAlign w:val="superscript"/>
          <w:lang w:val="en-US"/>
        </w:rPr>
        <w:t>3,6</w:t>
      </w:r>
      <w:r w:rsidRPr="00765116">
        <w:rPr>
          <w:rFonts w:ascii="Arial" w:hAnsi="Arial" w:cs="Arial"/>
          <w:sz w:val="22"/>
          <w:szCs w:val="22"/>
          <w:lang w:val="en-US"/>
        </w:rPr>
        <w:t>, Rene Botnar</w:t>
      </w:r>
      <w:r w:rsidRPr="00765116">
        <w:rPr>
          <w:rFonts w:ascii="Arial" w:hAnsi="Arial" w:cs="Arial"/>
          <w:sz w:val="22"/>
          <w:szCs w:val="22"/>
          <w:vertAlign w:val="superscript"/>
          <w:lang w:val="en-US"/>
        </w:rPr>
        <w:t>3,6,7</w:t>
      </w:r>
      <w:r w:rsidRPr="00765116">
        <w:rPr>
          <w:rFonts w:ascii="Arial" w:hAnsi="Arial" w:cs="Arial"/>
          <w:sz w:val="22"/>
          <w:szCs w:val="22"/>
          <w:lang w:val="en-US"/>
        </w:rPr>
        <w:t xml:space="preserve">, </w:t>
      </w:r>
      <w:r w:rsidRPr="00765116">
        <w:rPr>
          <w:rFonts w:ascii="Arial" w:hAnsi="Arial" w:cs="Arial"/>
          <w:color w:val="000000"/>
          <w:sz w:val="22"/>
          <w:szCs w:val="22"/>
          <w:lang w:val="en-US"/>
        </w:rPr>
        <w:t>Karl-Philipp Kunze</w:t>
      </w:r>
      <w:r w:rsidRPr="00765116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3,4</w:t>
      </w:r>
      <w:r w:rsidRPr="00765116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765116">
        <w:rPr>
          <w:rFonts w:ascii="Arial" w:hAnsi="Arial" w:cs="Arial"/>
          <w:sz w:val="22"/>
          <w:szCs w:val="22"/>
          <w:lang w:val="en-US"/>
        </w:rPr>
        <w:t>Jeanette Schulz-Menger</w:t>
      </w:r>
      <w:r w:rsidRPr="00765116">
        <w:rPr>
          <w:rFonts w:ascii="Arial" w:hAnsi="Arial" w:cs="Arial"/>
          <w:sz w:val="22"/>
          <w:szCs w:val="22"/>
          <w:vertAlign w:val="superscript"/>
          <w:lang w:val="en-US"/>
        </w:rPr>
        <w:t>1,5</w:t>
      </w:r>
    </w:p>
    <w:p w14:paraId="5553DD96" w14:textId="77777777" w:rsidR="00935A8D" w:rsidRDefault="00935A8D" w:rsidP="00935A8D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</w:p>
    <w:p w14:paraId="0D68A80D" w14:textId="77777777" w:rsidR="00935A8D" w:rsidRPr="00765116" w:rsidRDefault="00935A8D" w:rsidP="00935A8D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765116">
        <w:rPr>
          <w:rFonts w:ascii="Arial" w:hAnsi="Arial" w:cs="Arial"/>
          <w:sz w:val="22"/>
          <w:szCs w:val="22"/>
          <w:lang w:val="en-US"/>
        </w:rPr>
        <w:t xml:space="preserve">1 Working Group Cardiovascular Magnetic Resonance, Experimental and Clinical Research Center, </w:t>
      </w:r>
      <w:proofErr w:type="spellStart"/>
      <w:r w:rsidRPr="00765116">
        <w:rPr>
          <w:rFonts w:ascii="Arial" w:hAnsi="Arial" w:cs="Arial"/>
          <w:sz w:val="22"/>
          <w:szCs w:val="22"/>
          <w:lang w:val="en-US"/>
        </w:rPr>
        <w:t>Charité</w:t>
      </w:r>
      <w:proofErr w:type="spellEnd"/>
      <w:r w:rsidRPr="00765116">
        <w:rPr>
          <w:rFonts w:ascii="Arial" w:hAnsi="Arial" w:cs="Arial"/>
          <w:sz w:val="22"/>
          <w:szCs w:val="22"/>
          <w:lang w:val="en-US"/>
        </w:rPr>
        <w:t xml:space="preserve"> Medical Faculty, Max-Delbrück Center for Molecular Medicine, HELIOS </w:t>
      </w:r>
      <w:proofErr w:type="spellStart"/>
      <w:r w:rsidRPr="00765116">
        <w:rPr>
          <w:rFonts w:ascii="Arial" w:hAnsi="Arial" w:cs="Arial"/>
          <w:sz w:val="22"/>
          <w:szCs w:val="22"/>
          <w:lang w:val="en-US"/>
        </w:rPr>
        <w:t>Klinikum</w:t>
      </w:r>
      <w:proofErr w:type="spellEnd"/>
      <w:r w:rsidRPr="00765116">
        <w:rPr>
          <w:rFonts w:ascii="Arial" w:hAnsi="Arial" w:cs="Arial"/>
          <w:sz w:val="22"/>
          <w:szCs w:val="22"/>
          <w:lang w:val="en-US"/>
        </w:rPr>
        <w:t xml:space="preserve"> Berlin Buch, Department of Cardiology and Nephrology, Berlin, Germany</w:t>
      </w:r>
    </w:p>
    <w:p w14:paraId="0303A510" w14:textId="77777777" w:rsidR="00935A8D" w:rsidRPr="00765116" w:rsidRDefault="00935A8D" w:rsidP="00935A8D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765116">
        <w:rPr>
          <w:rFonts w:ascii="Arial" w:hAnsi="Arial" w:cs="Arial"/>
          <w:sz w:val="22"/>
          <w:szCs w:val="22"/>
          <w:lang w:val="en-US"/>
        </w:rPr>
        <w:t xml:space="preserve">2 HELIOS </w:t>
      </w:r>
      <w:proofErr w:type="spellStart"/>
      <w:r w:rsidRPr="00765116">
        <w:rPr>
          <w:rFonts w:ascii="Arial" w:hAnsi="Arial" w:cs="Arial"/>
          <w:sz w:val="22"/>
          <w:szCs w:val="22"/>
          <w:lang w:val="en-US"/>
        </w:rPr>
        <w:t>Klinikum</w:t>
      </w:r>
      <w:proofErr w:type="spellEnd"/>
      <w:r w:rsidRPr="00765116">
        <w:rPr>
          <w:rFonts w:ascii="Arial" w:hAnsi="Arial" w:cs="Arial"/>
          <w:sz w:val="22"/>
          <w:szCs w:val="22"/>
          <w:lang w:val="en-US"/>
        </w:rPr>
        <w:t xml:space="preserve"> Berlin Buch, Department of Internal medicine and Gastroenterology, Berlin, Germany</w:t>
      </w:r>
    </w:p>
    <w:p w14:paraId="3DDFFBFA" w14:textId="77777777" w:rsidR="00935A8D" w:rsidRPr="00765116" w:rsidRDefault="00935A8D" w:rsidP="00935A8D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765116">
        <w:rPr>
          <w:rFonts w:ascii="Arial" w:hAnsi="Arial" w:cs="Arial"/>
          <w:sz w:val="22"/>
          <w:szCs w:val="22"/>
          <w:lang w:val="en-US"/>
        </w:rPr>
        <w:t>3 School of Biomedical Engineering and Imaging Sciences, King’s College London, London, UK</w:t>
      </w:r>
    </w:p>
    <w:p w14:paraId="54D28342" w14:textId="77777777" w:rsidR="00935A8D" w:rsidRPr="00765116" w:rsidRDefault="00935A8D" w:rsidP="00935A8D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765116">
        <w:rPr>
          <w:rFonts w:ascii="Arial" w:hAnsi="Arial" w:cs="Arial"/>
          <w:sz w:val="22"/>
          <w:szCs w:val="22"/>
          <w:lang w:val="en-US"/>
        </w:rPr>
        <w:t xml:space="preserve">4 MR Research Collaborations, Siemens Healthcare Limited, Camberley, UK </w:t>
      </w:r>
    </w:p>
    <w:p w14:paraId="2B0258DD" w14:textId="77777777" w:rsidR="00935A8D" w:rsidRPr="00765116" w:rsidRDefault="00935A8D" w:rsidP="00935A8D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765116">
        <w:rPr>
          <w:rFonts w:ascii="Arial" w:hAnsi="Arial" w:cs="Arial"/>
          <w:sz w:val="22"/>
          <w:szCs w:val="22"/>
          <w:lang w:val="en-US"/>
        </w:rPr>
        <w:t>5 DZHK (German Center for Cardiovascular Research), Partner Site Berlin</w:t>
      </w:r>
    </w:p>
    <w:p w14:paraId="1417E09E" w14:textId="77777777" w:rsidR="00935A8D" w:rsidRPr="00765116" w:rsidRDefault="00935A8D" w:rsidP="00935A8D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765116">
        <w:rPr>
          <w:rFonts w:ascii="Arial" w:hAnsi="Arial" w:cs="Arial"/>
          <w:sz w:val="22"/>
          <w:szCs w:val="22"/>
          <w:lang w:val="en-US"/>
        </w:rPr>
        <w:t>6 School of Engineering, Pontificia Universidad Católica de Chile, Santiago, Chile</w:t>
      </w:r>
    </w:p>
    <w:p w14:paraId="7310C811" w14:textId="77777777" w:rsidR="00935A8D" w:rsidRPr="00765116" w:rsidRDefault="00935A8D" w:rsidP="00935A8D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765116">
        <w:rPr>
          <w:rFonts w:ascii="Arial" w:hAnsi="Arial" w:cs="Arial"/>
          <w:sz w:val="22"/>
          <w:szCs w:val="22"/>
          <w:lang w:val="en-US"/>
        </w:rPr>
        <w:t>7 Institute for Biological and Medical Engineering, Pontificia Universidad Católica de Chile, Santiago, Chile</w:t>
      </w:r>
    </w:p>
    <w:p w14:paraId="65D816A1" w14:textId="77777777" w:rsidR="00935A8D" w:rsidRPr="005839E7" w:rsidRDefault="00935A8D" w:rsidP="00935A8D">
      <w:pPr>
        <w:spacing w:line="480" w:lineRule="auto"/>
        <w:rPr>
          <w:rFonts w:ascii="Arial" w:hAnsi="Arial" w:cs="Arial"/>
          <w:lang w:val="en-US"/>
        </w:rPr>
      </w:pPr>
    </w:p>
    <w:p w14:paraId="2DE91267" w14:textId="77777777" w:rsidR="00935A8D" w:rsidRPr="00685698" w:rsidRDefault="00935A8D" w:rsidP="00935A8D">
      <w:pPr>
        <w:pStyle w:val="Standard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685698">
        <w:rPr>
          <w:rFonts w:ascii="Arial" w:hAnsi="Arial" w:cs="Arial"/>
          <w:sz w:val="22"/>
          <w:szCs w:val="22"/>
          <w:u w:val="single"/>
          <w:lang w:val="en-US"/>
        </w:rPr>
        <w:t>Corresponding author</w:t>
      </w:r>
    </w:p>
    <w:p w14:paraId="6173D32E" w14:textId="77777777" w:rsidR="00935A8D" w:rsidRPr="00685698" w:rsidRDefault="00935A8D" w:rsidP="00935A8D">
      <w:pPr>
        <w:pStyle w:val="Standard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lang w:val="en-US"/>
        </w:rPr>
      </w:pPr>
      <w:r w:rsidRPr="00685698">
        <w:rPr>
          <w:rFonts w:ascii="Arial" w:hAnsi="Arial" w:cs="Arial"/>
          <w:sz w:val="22"/>
          <w:szCs w:val="22"/>
          <w:lang w:val="en-US"/>
        </w:rPr>
        <w:t>Prof. Dr. Jeanette Schulz-</w:t>
      </w:r>
      <w:proofErr w:type="spellStart"/>
      <w:r w:rsidRPr="00685698">
        <w:rPr>
          <w:rFonts w:ascii="Arial" w:hAnsi="Arial" w:cs="Arial"/>
          <w:sz w:val="22"/>
          <w:szCs w:val="22"/>
          <w:lang w:val="en-US"/>
        </w:rPr>
        <w:t>Menger</w:t>
      </w:r>
      <w:proofErr w:type="spellEnd"/>
    </w:p>
    <w:p w14:paraId="33797CC7" w14:textId="77777777" w:rsidR="00935A8D" w:rsidRPr="00685698" w:rsidRDefault="00935A8D" w:rsidP="00935A8D">
      <w:pPr>
        <w:pStyle w:val="StandardWeb"/>
        <w:spacing w:before="0" w:beforeAutospacing="0" w:after="0" w:afterAutospacing="0" w:line="480" w:lineRule="auto"/>
        <w:rPr>
          <w:rStyle w:val="block"/>
          <w:rFonts w:ascii="Arial" w:hAnsi="Arial" w:cs="Arial"/>
          <w:sz w:val="22"/>
          <w:szCs w:val="22"/>
          <w:lang w:val="en-US"/>
        </w:rPr>
      </w:pPr>
      <w:r w:rsidRPr="00685698">
        <w:rPr>
          <w:rStyle w:val="block"/>
          <w:rFonts w:ascii="Arial" w:hAnsi="Arial" w:cs="Arial"/>
          <w:sz w:val="22"/>
          <w:szCs w:val="22"/>
          <w:lang w:val="en-US"/>
        </w:rPr>
        <w:t>Experimental and Clinical Research Center (</w:t>
      </w:r>
      <w:r w:rsidRPr="00685698">
        <w:rPr>
          <w:rStyle w:val="HTMLDefinition"/>
          <w:rFonts w:ascii="Arial" w:hAnsi="Arial" w:cs="Arial"/>
          <w:sz w:val="22"/>
          <w:szCs w:val="22"/>
          <w:lang w:val="en-US"/>
        </w:rPr>
        <w:t>ECRC</w:t>
      </w:r>
      <w:r w:rsidRPr="00685698">
        <w:rPr>
          <w:rStyle w:val="block"/>
          <w:rFonts w:ascii="Arial" w:hAnsi="Arial" w:cs="Arial"/>
          <w:sz w:val="22"/>
          <w:szCs w:val="22"/>
          <w:lang w:val="en-US"/>
        </w:rPr>
        <w:t>)</w:t>
      </w:r>
    </w:p>
    <w:p w14:paraId="56B4BBCD" w14:textId="77777777" w:rsidR="00935A8D" w:rsidRPr="00685698" w:rsidRDefault="00935A8D" w:rsidP="00935A8D">
      <w:pPr>
        <w:pStyle w:val="Standard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</w:rPr>
      </w:pPr>
      <w:r w:rsidRPr="00685698">
        <w:rPr>
          <w:rStyle w:val="block"/>
          <w:rFonts w:ascii="Arial" w:hAnsi="Arial" w:cs="Arial"/>
          <w:sz w:val="22"/>
          <w:szCs w:val="22"/>
        </w:rPr>
        <w:t>Charité – Universitätsmedizin Berlin</w:t>
      </w:r>
    </w:p>
    <w:p w14:paraId="6E959BAF" w14:textId="77777777" w:rsidR="00935A8D" w:rsidRPr="00685698" w:rsidRDefault="00935A8D" w:rsidP="00935A8D">
      <w:pPr>
        <w:pStyle w:val="Standard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</w:rPr>
      </w:pPr>
      <w:r w:rsidRPr="00685698">
        <w:rPr>
          <w:rFonts w:ascii="Arial" w:hAnsi="Arial" w:cs="Arial"/>
          <w:sz w:val="22"/>
          <w:szCs w:val="22"/>
        </w:rPr>
        <w:t>Lindenberger Weg 80, 13125 Berlin, Germany</w:t>
      </w:r>
    </w:p>
    <w:p w14:paraId="7C827E35" w14:textId="77777777" w:rsidR="00935A8D" w:rsidRPr="00685698" w:rsidRDefault="00935A8D" w:rsidP="00935A8D">
      <w:pPr>
        <w:spacing w:line="480" w:lineRule="auto"/>
        <w:rPr>
          <w:rFonts w:ascii="Arial" w:hAnsi="Arial" w:cs="Arial"/>
          <w:bCs/>
          <w:sz w:val="22"/>
          <w:szCs w:val="22"/>
          <w:lang w:val="en-US"/>
        </w:rPr>
      </w:pPr>
      <w:r w:rsidRPr="00685698">
        <w:rPr>
          <w:rFonts w:ascii="Arial" w:hAnsi="Arial" w:cs="Arial"/>
          <w:bCs/>
          <w:sz w:val="22"/>
          <w:szCs w:val="22"/>
          <w:lang w:val="en-US"/>
        </w:rPr>
        <w:t>Email: jeanette.schulz-menger@charite.de</w:t>
      </w:r>
    </w:p>
    <w:p w14:paraId="6343F421" w14:textId="77777777" w:rsidR="00F84232" w:rsidRDefault="00F84232" w:rsidP="00852D97">
      <w:pPr>
        <w:spacing w:line="480" w:lineRule="auto"/>
        <w:rPr>
          <w:rFonts w:ascii="Arial" w:hAnsi="Arial" w:cs="Arial"/>
          <w:b/>
          <w:bCs/>
          <w:u w:val="single"/>
          <w:lang w:val="en-US"/>
        </w:rPr>
      </w:pPr>
    </w:p>
    <w:p w14:paraId="15F6D959" w14:textId="77777777" w:rsidR="00935A8D" w:rsidRDefault="00935A8D" w:rsidP="00852D97">
      <w:pPr>
        <w:spacing w:line="480" w:lineRule="auto"/>
        <w:rPr>
          <w:rFonts w:ascii="Arial" w:hAnsi="Arial" w:cs="Arial"/>
          <w:b/>
          <w:bCs/>
          <w:lang w:val="en-US"/>
        </w:rPr>
      </w:pPr>
    </w:p>
    <w:p w14:paraId="209E41F6" w14:textId="7B981F54" w:rsidR="00C617AB" w:rsidRPr="00F84232" w:rsidRDefault="00C617AB" w:rsidP="00852D97">
      <w:pPr>
        <w:spacing w:line="480" w:lineRule="auto"/>
        <w:rPr>
          <w:rFonts w:ascii="Arial" w:hAnsi="Arial" w:cs="Arial"/>
          <w:b/>
          <w:bCs/>
          <w:lang w:val="en-US"/>
        </w:rPr>
      </w:pPr>
      <w:r w:rsidRPr="00F84232">
        <w:rPr>
          <w:rFonts w:ascii="Arial" w:hAnsi="Arial" w:cs="Arial"/>
          <w:b/>
          <w:bCs/>
          <w:lang w:val="en-US"/>
        </w:rPr>
        <w:lastRenderedPageBreak/>
        <w:t>Sequence parameters</w:t>
      </w:r>
    </w:p>
    <w:p w14:paraId="7D299F8C" w14:textId="77777777" w:rsidR="00081F5A" w:rsidRPr="00F84232" w:rsidRDefault="00081F5A" w:rsidP="00081F5A">
      <w:pPr>
        <w:spacing w:line="480" w:lineRule="auto"/>
        <w:jc w:val="both"/>
        <w:rPr>
          <w:rFonts w:ascii="Arial" w:hAnsi="Arial" w:cs="Arial"/>
          <w:b/>
          <w:bCs/>
          <w:lang w:val="en-US"/>
        </w:rPr>
      </w:pPr>
      <w:r w:rsidRPr="00F84232">
        <w:rPr>
          <w:rFonts w:ascii="Arial" w:hAnsi="Arial" w:cs="Arial"/>
          <w:b/>
          <w:bCs/>
          <w:lang w:val="en-US"/>
        </w:rPr>
        <w:t>Late gadolinium enhancement:</w:t>
      </w:r>
    </w:p>
    <w:p w14:paraId="40DAB2AC" w14:textId="3DA2E5CB" w:rsidR="00081F5A" w:rsidRPr="00F84232" w:rsidRDefault="00081F5A" w:rsidP="00081F5A">
      <w:pPr>
        <w:spacing w:line="480" w:lineRule="auto"/>
        <w:jc w:val="both"/>
        <w:rPr>
          <w:rFonts w:ascii="Arial" w:hAnsi="Arial" w:cs="Arial"/>
          <w:lang w:val="en-US"/>
        </w:rPr>
      </w:pPr>
      <w:r w:rsidRPr="00F84232">
        <w:rPr>
          <w:rFonts w:ascii="Arial" w:hAnsi="Arial" w:cs="Arial"/>
          <w:lang w:val="en-US"/>
        </w:rPr>
        <w:t>3D LGE Dixon Fat/Water imaging, inversion recovery prepared spoiled gradient-echo prototype sequence (SIEMENS WIP 1111), ECG-gated in free-breathing and transversal orientation, isotropic resolution of 1.3mm</w:t>
      </w:r>
      <w:r w:rsidRPr="00F84232">
        <w:rPr>
          <w:rFonts w:ascii="Arial" w:hAnsi="Arial" w:cs="Arial"/>
          <w:vertAlign w:val="superscript"/>
          <w:lang w:val="en-US"/>
        </w:rPr>
        <w:t>3</w:t>
      </w:r>
      <w:r w:rsidRPr="00F84232">
        <w:rPr>
          <w:rFonts w:ascii="Arial" w:hAnsi="Arial" w:cs="Arial"/>
          <w:lang w:val="en-US"/>
        </w:rPr>
        <w:t>, image navigator placed manually directly over the left ventricle. Acquisition parameters were as follows: TE1= 1.31ms; TE2= 2.81ms; FA 20</w:t>
      </w:r>
      <w:proofErr w:type="gramStart"/>
      <w:r w:rsidRPr="00F84232">
        <w:rPr>
          <w:rFonts w:ascii="Arial" w:hAnsi="Arial" w:cs="Arial"/>
          <w:lang w:val="en-US"/>
        </w:rPr>
        <w:t>°,.</w:t>
      </w:r>
      <w:proofErr w:type="gramEnd"/>
      <w:r w:rsidRPr="00F84232" w:rsidDel="00634CEB">
        <w:rPr>
          <w:rFonts w:ascii="Arial" w:hAnsi="Arial" w:cs="Arial"/>
          <w:lang w:val="en-US"/>
        </w:rPr>
        <w:t xml:space="preserve"> </w:t>
      </w:r>
      <w:r w:rsidRPr="00F84232">
        <w:rPr>
          <w:rFonts w:ascii="Arial" w:hAnsi="Arial" w:cs="Arial"/>
          <w:lang w:val="en-US"/>
        </w:rPr>
        <w:t>TI individually determined using a TI-Scout (SIEMENS WIP 1090). To account for the time delay during image acquisition mean of 2</w:t>
      </w:r>
      <w:r w:rsidR="002538D6" w:rsidRPr="00F84232">
        <w:rPr>
          <w:rFonts w:ascii="Arial" w:hAnsi="Arial" w:cs="Arial"/>
          <w:lang w:val="en-US"/>
        </w:rPr>
        <w:t>0</w:t>
      </w:r>
      <w:r w:rsidRPr="00F84232">
        <w:rPr>
          <w:rFonts w:ascii="Arial" w:hAnsi="Arial" w:cs="Arial"/>
          <w:lang w:val="en-US"/>
        </w:rPr>
        <w:t xml:space="preserve"> </w:t>
      </w:r>
      <w:proofErr w:type="spellStart"/>
      <w:r w:rsidRPr="00F84232">
        <w:rPr>
          <w:rFonts w:ascii="Arial" w:hAnsi="Arial" w:cs="Arial"/>
          <w:lang w:val="en-US"/>
        </w:rPr>
        <w:t>ms</w:t>
      </w:r>
      <w:proofErr w:type="spellEnd"/>
      <w:r w:rsidRPr="00F84232">
        <w:rPr>
          <w:rFonts w:ascii="Arial" w:hAnsi="Arial" w:cs="Arial"/>
          <w:lang w:val="en-US"/>
        </w:rPr>
        <w:t xml:space="preserve"> was added. Trigger delay (TD) and acquisition window were selected based on an automatic resting phase detection, based on CINE-images acquired in 4CV directly before 3D data acquisition.</w:t>
      </w:r>
    </w:p>
    <w:p w14:paraId="640997ED" w14:textId="77777777" w:rsidR="00081F5A" w:rsidRPr="00F84232" w:rsidRDefault="00081F5A" w:rsidP="00081F5A">
      <w:pPr>
        <w:spacing w:line="480" w:lineRule="auto"/>
        <w:jc w:val="both"/>
        <w:rPr>
          <w:rFonts w:ascii="Arial" w:hAnsi="Arial" w:cs="Arial"/>
          <w:lang w:val="en-US"/>
        </w:rPr>
      </w:pPr>
      <w:r w:rsidRPr="00F84232">
        <w:rPr>
          <w:rFonts w:ascii="Arial" w:hAnsi="Arial" w:cs="Arial"/>
          <w:lang w:val="en-US"/>
        </w:rPr>
        <w:t>2D: PSIR reconstruction, gradient echo sequences, TI 240ms, TR 29.76ms, TE 5.17ms, FA 30°, FOV 350x263mm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matrix 256x166, voxel size 1.4x1.4mm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ST 7mm, gap between slices 0mm.</w:t>
      </w:r>
    </w:p>
    <w:p w14:paraId="661339B2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b/>
          <w:bCs/>
          <w:lang w:val="en-US"/>
        </w:rPr>
      </w:pPr>
      <w:r w:rsidRPr="00F84232">
        <w:rPr>
          <w:rFonts w:ascii="Arial" w:hAnsi="Arial" w:cs="Arial"/>
          <w:b/>
          <w:bCs/>
          <w:lang w:val="en-US"/>
        </w:rPr>
        <w:t>Balanced steady-state free precession cine imaging:</w:t>
      </w:r>
    </w:p>
    <w:p w14:paraId="0A995163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lang w:val="en-US"/>
        </w:rPr>
      </w:pPr>
      <w:r w:rsidRPr="00F84232">
        <w:rPr>
          <w:rFonts w:ascii="Arial" w:hAnsi="Arial" w:cs="Arial"/>
          <w:b/>
          <w:bCs/>
          <w:lang w:val="en-US"/>
        </w:rPr>
        <w:t xml:space="preserve">Long </w:t>
      </w:r>
      <w:r w:rsidRPr="00F84232">
        <w:rPr>
          <w:rFonts w:ascii="Arial" w:hAnsi="Arial" w:cs="Arial"/>
          <w:lang w:val="en-US"/>
        </w:rPr>
        <w:t xml:space="preserve">axis: ECG triggered with </w:t>
      </w:r>
      <w:proofErr w:type="spellStart"/>
      <w:r w:rsidRPr="00F84232">
        <w:rPr>
          <w:rFonts w:ascii="Arial" w:hAnsi="Arial" w:cs="Arial"/>
          <w:lang w:val="en-US"/>
        </w:rPr>
        <w:t>retrogating</w:t>
      </w:r>
      <w:proofErr w:type="spellEnd"/>
      <w:r w:rsidRPr="00F84232">
        <w:rPr>
          <w:rFonts w:ascii="Arial" w:hAnsi="Arial" w:cs="Arial"/>
          <w:lang w:val="en-US"/>
        </w:rPr>
        <w:t xml:space="preserve">, repetition time (TR) 2.78 </w:t>
      </w:r>
      <w:proofErr w:type="spellStart"/>
      <w:r w:rsidRPr="00F84232">
        <w:rPr>
          <w:rFonts w:ascii="Arial" w:hAnsi="Arial" w:cs="Arial"/>
          <w:lang w:val="en-US"/>
        </w:rPr>
        <w:t>ms</w:t>
      </w:r>
      <w:proofErr w:type="spellEnd"/>
      <w:r w:rsidRPr="00F84232">
        <w:rPr>
          <w:rFonts w:ascii="Arial" w:hAnsi="Arial" w:cs="Arial"/>
          <w:lang w:val="en-US"/>
        </w:rPr>
        <w:t>, 30 reconstructed phases, echo time (TE) 1.19ms, field of view (FOV) 340x276mm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matrix 192x156, voxel size 1.8x1.8mm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slice thickness (ST) 6mm, flip angle (FA) 74°, GRAPPA acceleration factor 2.</w:t>
      </w:r>
    </w:p>
    <w:p w14:paraId="36D3EFC6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lang w:val="en-US"/>
        </w:rPr>
      </w:pPr>
      <w:r w:rsidRPr="00F84232">
        <w:rPr>
          <w:rFonts w:ascii="Arial" w:hAnsi="Arial" w:cs="Arial"/>
          <w:b/>
          <w:bCs/>
          <w:lang w:val="en-US"/>
        </w:rPr>
        <w:t xml:space="preserve">Short axis: </w:t>
      </w:r>
      <w:r w:rsidRPr="00F84232">
        <w:rPr>
          <w:rFonts w:ascii="Arial" w:hAnsi="Arial" w:cs="Arial"/>
          <w:lang w:val="en-US"/>
        </w:rPr>
        <w:t xml:space="preserve">ECG triggered with </w:t>
      </w:r>
      <w:proofErr w:type="spellStart"/>
      <w:r w:rsidRPr="00F84232">
        <w:rPr>
          <w:rFonts w:ascii="Arial" w:hAnsi="Arial" w:cs="Arial"/>
          <w:lang w:val="en-US"/>
        </w:rPr>
        <w:t>retrogating</w:t>
      </w:r>
      <w:proofErr w:type="spellEnd"/>
      <w:r w:rsidRPr="00F84232">
        <w:rPr>
          <w:rFonts w:ascii="Arial" w:hAnsi="Arial" w:cs="Arial"/>
          <w:lang w:val="en-US"/>
        </w:rPr>
        <w:t>, TR 3.31ms, 30 reconstructed phases, TE 1.44ms, FOV 380x308.75mm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matrix 192x156, voxel size 2.0x2.0mm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ST 7mm, gap between slice: 0mm, FA 80°, GRAPPA acceleration factor 2.</w:t>
      </w:r>
    </w:p>
    <w:p w14:paraId="7BA24A3B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b/>
          <w:bCs/>
          <w:lang w:val="en-US"/>
        </w:rPr>
      </w:pPr>
      <w:r w:rsidRPr="00F84232">
        <w:rPr>
          <w:rFonts w:ascii="Arial" w:hAnsi="Arial" w:cs="Arial"/>
          <w:b/>
          <w:bCs/>
          <w:lang w:val="en-US"/>
        </w:rPr>
        <w:t xml:space="preserve">T2 mapping: </w:t>
      </w:r>
    </w:p>
    <w:p w14:paraId="1C06A854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lang w:val="en-US"/>
        </w:rPr>
      </w:pPr>
      <w:r w:rsidRPr="00F84232">
        <w:rPr>
          <w:rFonts w:ascii="Arial" w:hAnsi="Arial" w:cs="Arial"/>
          <w:lang w:val="en-US"/>
        </w:rPr>
        <w:t xml:space="preserve">Balanced steady-state free precession sequence, T2prep times 0, 25 and 55 </w:t>
      </w:r>
      <w:proofErr w:type="spellStart"/>
      <w:r w:rsidRPr="00F84232">
        <w:rPr>
          <w:rFonts w:ascii="Arial" w:hAnsi="Arial" w:cs="Arial"/>
          <w:lang w:val="en-US"/>
        </w:rPr>
        <w:t>ms</w:t>
      </w:r>
      <w:proofErr w:type="spellEnd"/>
      <w:r w:rsidRPr="00F84232">
        <w:rPr>
          <w:rFonts w:ascii="Arial" w:hAnsi="Arial" w:cs="Arial"/>
          <w:lang w:val="en-US"/>
        </w:rPr>
        <w:t>, 3 recovery heartbeats, TR 2.98ms, TE 1.12ms, FA 70°, FOV 380×288mm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 xml:space="preserve">, matrix </w:t>
      </w:r>
      <w:r w:rsidRPr="00F84232">
        <w:rPr>
          <w:rFonts w:ascii="Arial" w:hAnsi="Arial" w:cs="Arial"/>
          <w:lang w:val="en-US"/>
        </w:rPr>
        <w:lastRenderedPageBreak/>
        <w:t>224x170, voxel size 1.7x1.7mm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ST 8mm, gap between slices 0mm, GRAPPA acceleration factor 2, motion corrected.</w:t>
      </w:r>
    </w:p>
    <w:p w14:paraId="467471C3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b/>
          <w:bCs/>
          <w:lang w:val="en-US"/>
        </w:rPr>
      </w:pPr>
      <w:r w:rsidRPr="00F84232">
        <w:rPr>
          <w:rFonts w:ascii="Arial" w:hAnsi="Arial" w:cs="Arial"/>
          <w:b/>
          <w:bCs/>
          <w:lang w:val="en-US"/>
        </w:rPr>
        <w:t>T1 Mapping:</w:t>
      </w:r>
    </w:p>
    <w:p w14:paraId="7C3D181C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lang w:val="en-US"/>
        </w:rPr>
      </w:pPr>
      <w:r w:rsidRPr="00F84232">
        <w:rPr>
          <w:rFonts w:ascii="Arial" w:hAnsi="Arial" w:cs="Arial"/>
          <w:lang w:val="en-US"/>
        </w:rPr>
        <w:t>5(3)3 MOLLI acquisition scheme, TR 3.9ms, TE 1.13ms, FA 35°, TI 180ms, FOV 360×270mm2, matrix 256x144, voxel size 1.4x1.4mm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ST 8 mm, gap between slices 0mm, GRAPPA acceleration factor 2, motion corrected.</w:t>
      </w:r>
    </w:p>
    <w:p w14:paraId="7B700563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b/>
          <w:bCs/>
          <w:lang w:val="en-US"/>
        </w:rPr>
      </w:pPr>
      <w:r w:rsidRPr="00F84232">
        <w:rPr>
          <w:rFonts w:ascii="Arial" w:hAnsi="Arial" w:cs="Arial"/>
          <w:b/>
          <w:bCs/>
          <w:lang w:val="en-US"/>
        </w:rPr>
        <w:t>Synthetic Extracellular volume:</w:t>
      </w:r>
    </w:p>
    <w:p w14:paraId="138B9F61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lang w:val="en-US"/>
        </w:rPr>
      </w:pPr>
      <w:r w:rsidRPr="00F84232">
        <w:rPr>
          <w:rFonts w:ascii="Arial" w:hAnsi="Arial" w:cs="Arial"/>
          <w:lang w:val="en-US"/>
        </w:rPr>
        <w:t>Prototype-sequence,</w:t>
      </w:r>
    </w:p>
    <w:p w14:paraId="6E6DFBD1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lang w:val="en-US"/>
        </w:rPr>
      </w:pPr>
      <w:r w:rsidRPr="00F84232">
        <w:rPr>
          <w:rFonts w:ascii="Arial" w:hAnsi="Arial" w:cs="Arial"/>
          <w:lang w:val="en-US"/>
        </w:rPr>
        <w:t>Pre-contrast: 5(3)3 MOLLI acquisition scheme, TR 3.9ms, TE 1.13ms, FA 35°, TI 180ms, FOV 360×270mm2, matrix 256x144, voxel size 1.4x1.4mm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ST 6 mm, GRAPPA acceleration factor 2, motion corrected.</w:t>
      </w:r>
    </w:p>
    <w:p w14:paraId="0C6267E1" w14:textId="77777777" w:rsidR="00943F60" w:rsidRPr="00F84232" w:rsidRDefault="00943F60" w:rsidP="00943F60">
      <w:pPr>
        <w:spacing w:line="480" w:lineRule="auto"/>
        <w:jc w:val="both"/>
        <w:rPr>
          <w:rFonts w:ascii="Arial" w:hAnsi="Arial" w:cs="Arial"/>
          <w:lang w:val="en-US"/>
        </w:rPr>
      </w:pPr>
      <w:r w:rsidRPr="00F84232">
        <w:rPr>
          <w:rFonts w:ascii="Arial" w:hAnsi="Arial" w:cs="Arial"/>
          <w:lang w:val="en-US"/>
        </w:rPr>
        <w:t>Post-contrast: 4(1)3(1)2 MOLLI acquisition scheme, TR 5ms, TE 1.13ms, FA 35°, TI 260ms, FOV 360×270mm2, matrix 256x144, voxel size 1.4x1.4mm</w:t>
      </w:r>
      <w:r w:rsidRPr="00F84232">
        <w:rPr>
          <w:rFonts w:ascii="Arial" w:hAnsi="Arial" w:cs="Arial"/>
          <w:vertAlign w:val="superscript"/>
          <w:lang w:val="en-US"/>
        </w:rPr>
        <w:t>2</w:t>
      </w:r>
      <w:r w:rsidRPr="00F84232">
        <w:rPr>
          <w:rFonts w:ascii="Arial" w:hAnsi="Arial" w:cs="Arial"/>
          <w:lang w:val="en-US"/>
        </w:rPr>
        <w:t>, ST 6 mm, GRAPPA acceleration factor 2, motion corrected.</w:t>
      </w:r>
    </w:p>
    <w:p w14:paraId="4C925DB0" w14:textId="77777777" w:rsidR="00C617AB" w:rsidRDefault="00C617AB" w:rsidP="00852D97">
      <w:pPr>
        <w:spacing w:line="480" w:lineRule="auto"/>
        <w:rPr>
          <w:rFonts w:ascii="Arial" w:hAnsi="Arial" w:cs="Arial"/>
          <w:u w:val="single"/>
          <w:lang w:val="en-US"/>
        </w:rPr>
      </w:pPr>
    </w:p>
    <w:p w14:paraId="4369F52D" w14:textId="6DA39D1F" w:rsidR="00BD5E40" w:rsidRPr="00344F8E" w:rsidRDefault="00344F8E" w:rsidP="00344F8E">
      <w:pPr>
        <w:pStyle w:val="berschrift3"/>
        <w:spacing w:before="0" w:beforeAutospacing="0" w:after="0" w:afterAutospacing="0" w:line="480" w:lineRule="auto"/>
        <w:rPr>
          <w:rFonts w:ascii="Arial" w:hAnsi="Arial" w:cs="Arial"/>
          <w:b w:val="0"/>
          <w:bCs w:val="0"/>
          <w:sz w:val="24"/>
          <w:szCs w:val="24"/>
          <w:u w:val="single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u w:val="single"/>
          <w:lang w:val="en-US"/>
        </w:rPr>
        <w:t>Association</w:t>
      </w:r>
      <w:r w:rsidRPr="00710DC2">
        <w:rPr>
          <w:rFonts w:ascii="Arial" w:hAnsi="Arial" w:cs="Arial"/>
          <w:b w:val="0"/>
          <w:bCs w:val="0"/>
          <w:sz w:val="24"/>
          <w:szCs w:val="24"/>
          <w:u w:val="single"/>
          <w:lang w:val="en-US"/>
        </w:rPr>
        <w:t xml:space="preserve"> of arterial hypertension </w:t>
      </w:r>
      <w:r>
        <w:rPr>
          <w:rFonts w:ascii="Arial" w:hAnsi="Arial" w:cs="Arial"/>
          <w:b w:val="0"/>
          <w:bCs w:val="0"/>
          <w:sz w:val="24"/>
          <w:szCs w:val="24"/>
          <w:u w:val="single"/>
          <w:lang w:val="en-US"/>
        </w:rPr>
        <w:t>with</w:t>
      </w:r>
      <w:r w:rsidRPr="00710DC2">
        <w:rPr>
          <w:rFonts w:ascii="Arial" w:hAnsi="Arial" w:cs="Arial"/>
          <w:b w:val="0"/>
          <w:bCs w:val="0"/>
          <w:sz w:val="24"/>
          <w:szCs w:val="24"/>
          <w:u w:val="single"/>
          <w:lang w:val="en-US"/>
        </w:rPr>
        <w:t xml:space="preserve"> LV fibrosis and markers of LV remodeling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2"/>
        <w:gridCol w:w="2417"/>
        <w:gridCol w:w="2251"/>
        <w:gridCol w:w="782"/>
      </w:tblGrid>
      <w:tr w:rsidR="00BD5E40" w:rsidRPr="00883CCF" w14:paraId="6EC89909" w14:textId="77777777">
        <w:tc>
          <w:tcPr>
            <w:tcW w:w="2342" w:type="dxa"/>
          </w:tcPr>
          <w:p w14:paraId="5FE9FE3A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Parameter</w:t>
            </w:r>
          </w:p>
        </w:tc>
        <w:tc>
          <w:tcPr>
            <w:tcW w:w="2417" w:type="dxa"/>
          </w:tcPr>
          <w:p w14:paraId="2ECAE8E3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 xml:space="preserve">Hypertension (n = 7) </w:t>
            </w:r>
          </w:p>
        </w:tc>
        <w:tc>
          <w:tcPr>
            <w:tcW w:w="2251" w:type="dxa"/>
          </w:tcPr>
          <w:p w14:paraId="395522EF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No Hypertension ( n= 37)</w:t>
            </w:r>
          </w:p>
        </w:tc>
        <w:tc>
          <w:tcPr>
            <w:tcW w:w="782" w:type="dxa"/>
          </w:tcPr>
          <w:p w14:paraId="1229F5D5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P</w:t>
            </w:r>
          </w:p>
        </w:tc>
      </w:tr>
      <w:tr w:rsidR="00BD5E40" w:rsidRPr="00883CCF" w14:paraId="4B494E78" w14:textId="77777777">
        <w:tc>
          <w:tcPr>
            <w:tcW w:w="2342" w:type="dxa"/>
          </w:tcPr>
          <w:p w14:paraId="20A3D200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LV-mass index, g/m</w:t>
            </w:r>
            <w:r w:rsidRPr="00883CCF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2417" w:type="dxa"/>
          </w:tcPr>
          <w:p w14:paraId="47BC1AD9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53.25 ± 10.91</w:t>
            </w:r>
          </w:p>
        </w:tc>
        <w:tc>
          <w:tcPr>
            <w:tcW w:w="2251" w:type="dxa"/>
          </w:tcPr>
          <w:p w14:paraId="165ED04D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51.64 ± 9.34</w:t>
            </w:r>
          </w:p>
        </w:tc>
        <w:tc>
          <w:tcPr>
            <w:tcW w:w="782" w:type="dxa"/>
          </w:tcPr>
          <w:p w14:paraId="4E69C8CD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.688</w:t>
            </w:r>
          </w:p>
        </w:tc>
      </w:tr>
      <w:tr w:rsidR="00BD5E40" w:rsidRPr="00883CCF" w14:paraId="5CD0DEC5" w14:textId="77777777">
        <w:tc>
          <w:tcPr>
            <w:tcW w:w="2342" w:type="dxa"/>
          </w:tcPr>
          <w:p w14:paraId="56541DF2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LV-EF, %</w:t>
            </w:r>
          </w:p>
        </w:tc>
        <w:tc>
          <w:tcPr>
            <w:tcW w:w="2417" w:type="dxa"/>
          </w:tcPr>
          <w:p w14:paraId="740DAA46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61.16 ± 4.52</w:t>
            </w:r>
          </w:p>
        </w:tc>
        <w:tc>
          <w:tcPr>
            <w:tcW w:w="2251" w:type="dxa"/>
          </w:tcPr>
          <w:p w14:paraId="4B4A25B5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61.77 ± 4.64</w:t>
            </w:r>
          </w:p>
        </w:tc>
        <w:tc>
          <w:tcPr>
            <w:tcW w:w="782" w:type="dxa"/>
          </w:tcPr>
          <w:p w14:paraId="76956858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.750</w:t>
            </w:r>
          </w:p>
        </w:tc>
      </w:tr>
      <w:tr w:rsidR="00BD5E40" w:rsidRPr="00883CCF" w14:paraId="3B924C54" w14:textId="77777777">
        <w:tc>
          <w:tcPr>
            <w:tcW w:w="2342" w:type="dxa"/>
          </w:tcPr>
          <w:p w14:paraId="53FF0D7F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 xml:space="preserve">T1 global, </w:t>
            </w:r>
            <w:proofErr w:type="spellStart"/>
            <w:r w:rsidRPr="00883CCF">
              <w:rPr>
                <w:rFonts w:ascii="Arial" w:hAnsi="Arial" w:cs="Arial"/>
                <w:lang w:val="en-US"/>
              </w:rPr>
              <w:t>ms</w:t>
            </w:r>
            <w:proofErr w:type="spellEnd"/>
          </w:p>
        </w:tc>
        <w:tc>
          <w:tcPr>
            <w:tcW w:w="2417" w:type="dxa"/>
          </w:tcPr>
          <w:p w14:paraId="7AB5AA7C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1000.97 ± 21.39</w:t>
            </w:r>
          </w:p>
        </w:tc>
        <w:tc>
          <w:tcPr>
            <w:tcW w:w="2251" w:type="dxa"/>
          </w:tcPr>
          <w:p w14:paraId="265A3FB9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1020.12 ± 35.49</w:t>
            </w:r>
          </w:p>
        </w:tc>
        <w:tc>
          <w:tcPr>
            <w:tcW w:w="782" w:type="dxa"/>
          </w:tcPr>
          <w:p w14:paraId="6F4B6C9A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.178</w:t>
            </w:r>
          </w:p>
        </w:tc>
      </w:tr>
      <w:tr w:rsidR="00BD5E40" w:rsidRPr="00883CCF" w14:paraId="06AD8FE4" w14:textId="77777777">
        <w:tc>
          <w:tcPr>
            <w:tcW w:w="2342" w:type="dxa"/>
          </w:tcPr>
          <w:p w14:paraId="7686FA12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 xml:space="preserve">T2 global, </w:t>
            </w:r>
            <w:proofErr w:type="spellStart"/>
            <w:r w:rsidRPr="00883CCF">
              <w:rPr>
                <w:rFonts w:ascii="Arial" w:hAnsi="Arial" w:cs="Arial"/>
                <w:lang w:val="en-US"/>
              </w:rPr>
              <w:t>ms</w:t>
            </w:r>
            <w:proofErr w:type="spellEnd"/>
          </w:p>
        </w:tc>
        <w:tc>
          <w:tcPr>
            <w:tcW w:w="2417" w:type="dxa"/>
          </w:tcPr>
          <w:p w14:paraId="33347049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50.22 ± 1.95</w:t>
            </w:r>
          </w:p>
        </w:tc>
        <w:tc>
          <w:tcPr>
            <w:tcW w:w="2251" w:type="dxa"/>
          </w:tcPr>
          <w:p w14:paraId="7DC48226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48.84 ± 2.16</w:t>
            </w:r>
          </w:p>
        </w:tc>
        <w:tc>
          <w:tcPr>
            <w:tcW w:w="782" w:type="dxa"/>
          </w:tcPr>
          <w:p w14:paraId="76C1DFA4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.124</w:t>
            </w:r>
          </w:p>
        </w:tc>
      </w:tr>
      <w:tr w:rsidR="00BD5E40" w:rsidRPr="00883CCF" w14:paraId="4C9C4F37" w14:textId="77777777">
        <w:tc>
          <w:tcPr>
            <w:tcW w:w="2342" w:type="dxa"/>
          </w:tcPr>
          <w:p w14:paraId="4B75D44D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 xml:space="preserve">ECV global, </w:t>
            </w:r>
            <w:proofErr w:type="spellStart"/>
            <w:r w:rsidRPr="00883CCF">
              <w:rPr>
                <w:rFonts w:ascii="Arial" w:hAnsi="Arial" w:cs="Arial"/>
                <w:lang w:val="en-US"/>
              </w:rPr>
              <w:t>ms</w:t>
            </w:r>
            <w:proofErr w:type="spellEnd"/>
          </w:p>
        </w:tc>
        <w:tc>
          <w:tcPr>
            <w:tcW w:w="2417" w:type="dxa"/>
          </w:tcPr>
          <w:p w14:paraId="025E69D7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22.69 ± 3.09</w:t>
            </w:r>
          </w:p>
        </w:tc>
        <w:tc>
          <w:tcPr>
            <w:tcW w:w="2251" w:type="dxa"/>
          </w:tcPr>
          <w:p w14:paraId="7B0F04BD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23.82 ± 3.05</w:t>
            </w:r>
          </w:p>
        </w:tc>
        <w:tc>
          <w:tcPr>
            <w:tcW w:w="782" w:type="dxa"/>
          </w:tcPr>
          <w:p w14:paraId="0A35CA3D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.411</w:t>
            </w:r>
          </w:p>
        </w:tc>
      </w:tr>
      <w:tr w:rsidR="00BD5E40" w:rsidRPr="00883CCF" w14:paraId="072649F7" w14:textId="77777777">
        <w:tc>
          <w:tcPr>
            <w:tcW w:w="2342" w:type="dxa"/>
          </w:tcPr>
          <w:p w14:paraId="2397CEA5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GLS, %</w:t>
            </w:r>
          </w:p>
        </w:tc>
        <w:tc>
          <w:tcPr>
            <w:tcW w:w="2417" w:type="dxa"/>
          </w:tcPr>
          <w:p w14:paraId="11DF455E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 w:rsidRPr="00883CCF">
              <w:rPr>
                <w:rFonts w:ascii="Arial" w:hAnsi="Arial" w:cs="Arial"/>
                <w:lang w:val="en-US"/>
              </w:rPr>
              <w:t>15.29 ± 5.55</w:t>
            </w:r>
          </w:p>
        </w:tc>
        <w:tc>
          <w:tcPr>
            <w:tcW w:w="2251" w:type="dxa"/>
          </w:tcPr>
          <w:p w14:paraId="3D74EE2E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 w:rsidRPr="00883CCF">
              <w:rPr>
                <w:rFonts w:ascii="Arial" w:hAnsi="Arial" w:cs="Arial"/>
                <w:lang w:val="en-US"/>
              </w:rPr>
              <w:t>17.78 ± 1.85</w:t>
            </w:r>
          </w:p>
        </w:tc>
        <w:tc>
          <w:tcPr>
            <w:tcW w:w="782" w:type="dxa"/>
          </w:tcPr>
          <w:p w14:paraId="49E23C0B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.285</w:t>
            </w:r>
          </w:p>
        </w:tc>
      </w:tr>
      <w:tr w:rsidR="00BD5E40" w:rsidRPr="00883CCF" w14:paraId="6AF8C975" w14:textId="77777777">
        <w:tc>
          <w:tcPr>
            <w:tcW w:w="2342" w:type="dxa"/>
          </w:tcPr>
          <w:p w14:paraId="62F045A5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GRS, %</w:t>
            </w:r>
          </w:p>
        </w:tc>
        <w:tc>
          <w:tcPr>
            <w:tcW w:w="2417" w:type="dxa"/>
          </w:tcPr>
          <w:p w14:paraId="36ACBEA2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22.43 ± 6.08</w:t>
            </w:r>
          </w:p>
        </w:tc>
        <w:tc>
          <w:tcPr>
            <w:tcW w:w="2251" w:type="dxa"/>
          </w:tcPr>
          <w:p w14:paraId="1C1A11B7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24.11 ± 5.43</w:t>
            </w:r>
          </w:p>
        </w:tc>
        <w:tc>
          <w:tcPr>
            <w:tcW w:w="782" w:type="dxa"/>
          </w:tcPr>
          <w:p w14:paraId="2F264A2F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.493</w:t>
            </w:r>
          </w:p>
        </w:tc>
      </w:tr>
      <w:tr w:rsidR="00BD5E40" w:rsidRPr="00883CCF" w14:paraId="5260D675" w14:textId="77777777">
        <w:tc>
          <w:tcPr>
            <w:tcW w:w="2342" w:type="dxa"/>
          </w:tcPr>
          <w:p w14:paraId="65558C48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GCS, %</w:t>
            </w:r>
          </w:p>
        </w:tc>
        <w:tc>
          <w:tcPr>
            <w:tcW w:w="2417" w:type="dxa"/>
          </w:tcPr>
          <w:p w14:paraId="1DF38CE3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-14.88 ± 2.79</w:t>
            </w:r>
          </w:p>
        </w:tc>
        <w:tc>
          <w:tcPr>
            <w:tcW w:w="2251" w:type="dxa"/>
          </w:tcPr>
          <w:p w14:paraId="23709511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-15.66 ± 2.45</w:t>
            </w:r>
          </w:p>
        </w:tc>
        <w:tc>
          <w:tcPr>
            <w:tcW w:w="782" w:type="dxa"/>
          </w:tcPr>
          <w:p w14:paraId="31137449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.482</w:t>
            </w:r>
          </w:p>
        </w:tc>
      </w:tr>
      <w:tr w:rsidR="00BD5E40" w:rsidRPr="00883CCF" w14:paraId="773ED105" w14:textId="77777777">
        <w:tc>
          <w:tcPr>
            <w:tcW w:w="2342" w:type="dxa"/>
          </w:tcPr>
          <w:p w14:paraId="68101A59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LGE presence, n (%)</w:t>
            </w:r>
          </w:p>
        </w:tc>
        <w:tc>
          <w:tcPr>
            <w:tcW w:w="2417" w:type="dxa"/>
          </w:tcPr>
          <w:p w14:paraId="4CCFABFC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4/7 (57.1)</w:t>
            </w:r>
          </w:p>
        </w:tc>
        <w:tc>
          <w:tcPr>
            <w:tcW w:w="2251" w:type="dxa"/>
          </w:tcPr>
          <w:p w14:paraId="5605D2B7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3/36 (8.3)</w:t>
            </w:r>
          </w:p>
        </w:tc>
        <w:tc>
          <w:tcPr>
            <w:tcW w:w="782" w:type="dxa"/>
          </w:tcPr>
          <w:p w14:paraId="38718D19" w14:textId="77777777" w:rsidR="00BD5E40" w:rsidRPr="00883CCF" w:rsidRDefault="00BD5E40" w:rsidP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.001</w:t>
            </w:r>
          </w:p>
        </w:tc>
      </w:tr>
      <w:tr w:rsidR="00BD5E40" w:rsidRPr="00883CCF" w14:paraId="20E31A05" w14:textId="77777777">
        <w:tc>
          <w:tcPr>
            <w:tcW w:w="2342" w:type="dxa"/>
          </w:tcPr>
          <w:p w14:paraId="3FE59DF5" w14:textId="77777777" w:rsidR="00BD5E40" w:rsidRPr="00883CCF" w:rsidRDefault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Fat presence, n (%)</w:t>
            </w:r>
          </w:p>
        </w:tc>
        <w:tc>
          <w:tcPr>
            <w:tcW w:w="2417" w:type="dxa"/>
          </w:tcPr>
          <w:p w14:paraId="66E9A4A1" w14:textId="77777777" w:rsidR="00BD5E40" w:rsidRPr="00883CCF" w:rsidRDefault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0/7 (0)</w:t>
            </w:r>
          </w:p>
        </w:tc>
        <w:tc>
          <w:tcPr>
            <w:tcW w:w="2251" w:type="dxa"/>
          </w:tcPr>
          <w:p w14:paraId="2C5DB285" w14:textId="77777777" w:rsidR="00BD5E40" w:rsidRPr="00883CCF" w:rsidRDefault="00BD5E40">
            <w:pPr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4/37 (13.5)</w:t>
            </w:r>
          </w:p>
        </w:tc>
        <w:tc>
          <w:tcPr>
            <w:tcW w:w="782" w:type="dxa"/>
          </w:tcPr>
          <w:p w14:paraId="21965FBA" w14:textId="77777777" w:rsidR="00BD5E40" w:rsidRPr="00883CCF" w:rsidRDefault="00BD5E40">
            <w:pPr>
              <w:keepNext/>
              <w:rPr>
                <w:rFonts w:ascii="Arial" w:hAnsi="Arial" w:cs="Arial"/>
                <w:lang w:val="en-US"/>
              </w:rPr>
            </w:pPr>
            <w:r w:rsidRPr="00883CCF">
              <w:rPr>
                <w:rFonts w:ascii="Arial" w:hAnsi="Arial" w:cs="Arial"/>
                <w:lang w:val="en-US"/>
              </w:rPr>
              <w:t>1</w:t>
            </w:r>
          </w:p>
        </w:tc>
      </w:tr>
    </w:tbl>
    <w:p w14:paraId="69856C3A" w14:textId="45322FD0" w:rsidR="009924EB" w:rsidRPr="00344F8E" w:rsidRDefault="00BD5E40" w:rsidP="00344F8E">
      <w:pPr>
        <w:spacing w:line="360" w:lineRule="auto"/>
        <w:rPr>
          <w:rFonts w:ascii="Arial" w:hAnsi="Arial" w:cs="Arial"/>
          <w:lang w:val="en-US"/>
        </w:rPr>
      </w:pPr>
      <w:r w:rsidRPr="00344F8E">
        <w:rPr>
          <w:rFonts w:ascii="Arial" w:hAnsi="Arial" w:cs="Arial"/>
          <w:lang w:val="en-US"/>
        </w:rPr>
        <w:t>Table S</w:t>
      </w:r>
      <w:r w:rsidRPr="00344F8E">
        <w:rPr>
          <w:rFonts w:ascii="Arial" w:hAnsi="Arial" w:cs="Arial"/>
        </w:rPr>
        <w:fldChar w:fldCharType="begin"/>
      </w:r>
      <w:r w:rsidRPr="00344F8E">
        <w:rPr>
          <w:rFonts w:ascii="Arial" w:hAnsi="Arial" w:cs="Arial"/>
          <w:lang w:val="en-US"/>
        </w:rPr>
        <w:instrText xml:space="preserve"> SEQ Table \* ARABIC </w:instrText>
      </w:r>
      <w:r w:rsidRPr="00344F8E">
        <w:rPr>
          <w:rFonts w:ascii="Arial" w:hAnsi="Arial" w:cs="Arial"/>
        </w:rPr>
        <w:fldChar w:fldCharType="separate"/>
      </w:r>
      <w:r w:rsidRPr="00344F8E">
        <w:rPr>
          <w:rFonts w:ascii="Arial" w:hAnsi="Arial" w:cs="Arial"/>
          <w:noProof/>
          <w:lang w:val="en-US"/>
        </w:rPr>
        <w:t>1</w:t>
      </w:r>
      <w:r w:rsidRPr="00344F8E">
        <w:rPr>
          <w:rFonts w:ascii="Arial" w:hAnsi="Arial" w:cs="Arial"/>
        </w:rPr>
        <w:fldChar w:fldCharType="end"/>
      </w:r>
      <w:r w:rsidR="00344F8E" w:rsidRPr="00344F8E">
        <w:rPr>
          <w:rFonts w:ascii="Arial" w:hAnsi="Arial" w:cs="Arial"/>
          <w:lang w:val="en-US"/>
        </w:rPr>
        <w:t xml:space="preserve"> </w:t>
      </w:r>
      <w:r w:rsidR="00344F8E" w:rsidRPr="00344F8E">
        <w:rPr>
          <w:rFonts w:ascii="Arial" w:hAnsi="Arial" w:cs="Arial"/>
          <w:color w:val="000000" w:themeColor="text1"/>
          <w:lang w:val="en-US"/>
        </w:rPr>
        <w:t>Analysis of CMR results in Patients with IBD and Hypertension vs. IBD without Hypertension; ECV = extra cellular volume, GCS = global circumferential strain, GLS = global longitudinal strain, GRS = global radial strain</w:t>
      </w:r>
    </w:p>
    <w:sectPr w:rsidR="009924EB" w:rsidRPr="00344F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20"/>
    <w:rsid w:val="00081F5A"/>
    <w:rsid w:val="002538D6"/>
    <w:rsid w:val="00344F8E"/>
    <w:rsid w:val="00760C00"/>
    <w:rsid w:val="00790133"/>
    <w:rsid w:val="00852D97"/>
    <w:rsid w:val="00926A20"/>
    <w:rsid w:val="00935A8D"/>
    <w:rsid w:val="00943F60"/>
    <w:rsid w:val="009924EB"/>
    <w:rsid w:val="00A22044"/>
    <w:rsid w:val="00BC72B1"/>
    <w:rsid w:val="00BD5E40"/>
    <w:rsid w:val="00C07608"/>
    <w:rsid w:val="00C617AB"/>
    <w:rsid w:val="00DF4758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94B75D"/>
  <w15:docId w15:val="{37862307-975C-9C40-8671-1A7C45AC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2D97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344F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35A8D"/>
    <w:pPr>
      <w:spacing w:before="100" w:beforeAutospacing="1" w:after="100" w:afterAutospacing="1"/>
    </w:pPr>
  </w:style>
  <w:style w:type="character" w:customStyle="1" w:styleId="block">
    <w:name w:val="block"/>
    <w:basedOn w:val="Absatz-Standardschriftart"/>
    <w:rsid w:val="00935A8D"/>
  </w:style>
  <w:style w:type="character" w:styleId="HTMLDefinition">
    <w:name w:val="HTML Definition"/>
    <w:basedOn w:val="Absatz-Standardschriftart"/>
    <w:uiPriority w:val="99"/>
    <w:semiHidden/>
    <w:unhideWhenUsed/>
    <w:rsid w:val="00935A8D"/>
    <w:rPr>
      <w:i/>
      <w:iCs/>
    </w:rPr>
  </w:style>
  <w:style w:type="table" w:styleId="Tabellenraster">
    <w:name w:val="Table Grid"/>
    <w:basedOn w:val="NormaleTabelle"/>
    <w:uiPriority w:val="39"/>
    <w:rsid w:val="00BD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BD5E4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4F8E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Fenski</dc:creator>
  <cp:keywords/>
  <dc:description/>
  <cp:lastModifiedBy>Fenski, Maximilian</cp:lastModifiedBy>
  <cp:revision>1</cp:revision>
  <dcterms:created xsi:type="dcterms:W3CDTF">2023-08-22T15:13:00Z</dcterms:created>
  <dcterms:modified xsi:type="dcterms:W3CDTF">2024-06-06T16:57:00Z</dcterms:modified>
</cp:coreProperties>
</file>