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F3E4F" w:rsidRDefault="000C5CE9">
      <w:pPr>
        <w:spacing w:line="240" w:lineRule="auto"/>
      </w:pPr>
      <w:bookmarkStart w:id="0" w:name="_GoBack"/>
      <w:bookmarkEnd w:id="0"/>
      <w:r>
        <w:rPr>
          <w:b/>
          <w:sz w:val="24"/>
          <w:szCs w:val="24"/>
        </w:rPr>
        <w:t>Suppl. figures</w:t>
      </w:r>
      <w:r>
        <w:rPr>
          <w:sz w:val="24"/>
          <w:szCs w:val="24"/>
        </w:rPr>
        <w:t xml:space="preserve"> (</w:t>
      </w:r>
      <w:proofErr w:type="spellStart"/>
      <w:r>
        <w:rPr>
          <w:sz w:val="24"/>
          <w:szCs w:val="24"/>
        </w:rPr>
        <w:t>suppl</w:t>
      </w:r>
      <w:proofErr w:type="spellEnd"/>
      <w:r>
        <w:rPr>
          <w:sz w:val="24"/>
          <w:szCs w:val="24"/>
        </w:rPr>
        <w:t xml:space="preserve"> tables 1 and 2 are available as files only due to their size). </w:t>
      </w:r>
    </w:p>
    <w:p w:rsidR="008F3E4F" w:rsidRDefault="008F3E4F">
      <w:pPr>
        <w:spacing w:line="240" w:lineRule="auto"/>
        <w:ind w:left="720"/>
        <w:rPr>
          <w:sz w:val="24"/>
          <w:szCs w:val="24"/>
        </w:rPr>
      </w:pPr>
    </w:p>
    <w:p w:rsidR="008F3E4F" w:rsidRDefault="008F3E4F">
      <w:pPr>
        <w:spacing w:line="240" w:lineRule="auto"/>
        <w:rPr>
          <w:sz w:val="24"/>
          <w:szCs w:val="24"/>
        </w:rPr>
      </w:pPr>
    </w:p>
    <w:p w:rsidR="008F3E4F" w:rsidRDefault="000C5CE9">
      <w:pPr>
        <w:spacing w:line="240" w:lineRule="auto"/>
        <w:ind w:left="720"/>
      </w:pPr>
      <w:r>
        <w:rPr>
          <w:noProof/>
          <w:lang w:val="en-US" w:eastAsia="en-US" w:bidi="ar-SA"/>
        </w:rPr>
        <w:drawing>
          <wp:inline distT="0" distB="0" distL="0" distR="0">
            <wp:extent cx="5358130" cy="4500245"/>
            <wp:effectExtent l="0" t="0" r="0" b="0"/>
            <wp:docPr id="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0.png"/>
                    <pic:cNvPicPr>
                      <a:picLocks noChangeAspect="1" noChangeArrowheads="1"/>
                    </pic:cNvPicPr>
                  </pic:nvPicPr>
                  <pic:blipFill>
                    <a:blip r:embed="rId4"/>
                    <a:stretch>
                      <a:fillRect/>
                    </a:stretch>
                  </pic:blipFill>
                  <pic:spPr bwMode="auto">
                    <a:xfrm>
                      <a:off x="0" y="0"/>
                      <a:ext cx="5358130" cy="4500245"/>
                    </a:xfrm>
                    <a:prstGeom prst="rect">
                      <a:avLst/>
                    </a:prstGeom>
                  </pic:spPr>
                </pic:pic>
              </a:graphicData>
            </a:graphic>
          </wp:inline>
        </w:drawing>
      </w:r>
    </w:p>
    <w:p w:rsidR="008F3E4F" w:rsidRDefault="000C5CE9">
      <w:pPr>
        <w:spacing w:line="240" w:lineRule="auto"/>
        <w:rPr>
          <w:sz w:val="24"/>
          <w:szCs w:val="24"/>
        </w:rPr>
      </w:pPr>
      <w:r>
        <w:rPr>
          <w:sz w:val="24"/>
          <w:szCs w:val="24"/>
        </w:rPr>
        <w:t xml:space="preserve">Suppl. figure 1 - Correlation between </w:t>
      </w:r>
      <w:r>
        <w:rPr>
          <w:sz w:val="24"/>
          <w:szCs w:val="24"/>
        </w:rPr>
        <w:t xml:space="preserve">continuous variables for </w:t>
      </w:r>
      <w:proofErr w:type="gramStart"/>
      <w:r>
        <w:rPr>
          <w:sz w:val="24"/>
          <w:szCs w:val="24"/>
        </w:rPr>
        <w:t>urbanisation  and</w:t>
      </w:r>
      <w:proofErr w:type="gramEnd"/>
      <w:r>
        <w:rPr>
          <w:sz w:val="24"/>
          <w:szCs w:val="24"/>
        </w:rPr>
        <w:t xml:space="preserve"> association with administrative area. Impervious surface and human footprint index </w:t>
      </w:r>
      <w:proofErr w:type="gramStart"/>
      <w:r>
        <w:rPr>
          <w:sz w:val="24"/>
          <w:szCs w:val="24"/>
        </w:rPr>
        <w:t>are strongly correlated</w:t>
      </w:r>
      <w:proofErr w:type="gramEnd"/>
      <w:r>
        <w:rPr>
          <w:sz w:val="24"/>
          <w:szCs w:val="24"/>
        </w:rPr>
        <w:t>. All three continuous variables are strongly associated with differentiation between the rural and urban a</w:t>
      </w:r>
      <w:r>
        <w:rPr>
          <w:sz w:val="24"/>
          <w:szCs w:val="24"/>
        </w:rPr>
        <w:t>dministrative area.</w:t>
      </w:r>
      <w:r>
        <w:br w:type="page"/>
      </w:r>
    </w:p>
    <w:p w:rsidR="008F3E4F" w:rsidRDefault="008F3E4F">
      <w:pPr>
        <w:spacing w:line="240" w:lineRule="auto"/>
        <w:rPr>
          <w:sz w:val="24"/>
          <w:szCs w:val="24"/>
        </w:rPr>
      </w:pPr>
    </w:p>
    <w:p w:rsidR="008F3E4F" w:rsidRDefault="000C5CE9">
      <w:pPr>
        <w:spacing w:line="240" w:lineRule="auto"/>
        <w:ind w:left="720"/>
      </w:pPr>
      <w:r>
        <w:rPr>
          <w:noProof/>
          <w:lang w:val="en-US" w:eastAsia="en-US" w:bidi="ar-SA"/>
        </w:rPr>
        <w:drawing>
          <wp:inline distT="0" distB="0" distL="0" distR="0">
            <wp:extent cx="5943600" cy="2374900"/>
            <wp:effectExtent l="0" t="0" r="0" b="0"/>
            <wp:docPr id="10"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4.png"/>
                    <pic:cNvPicPr>
                      <a:picLocks noChangeAspect="1" noChangeArrowheads="1"/>
                    </pic:cNvPicPr>
                  </pic:nvPicPr>
                  <pic:blipFill>
                    <a:blip r:embed="rId5"/>
                    <a:stretch>
                      <a:fillRect/>
                    </a:stretch>
                  </pic:blipFill>
                  <pic:spPr bwMode="auto">
                    <a:xfrm>
                      <a:off x="0" y="0"/>
                      <a:ext cx="5943600" cy="2374900"/>
                    </a:xfrm>
                    <a:prstGeom prst="rect">
                      <a:avLst/>
                    </a:prstGeom>
                  </pic:spPr>
                </pic:pic>
              </a:graphicData>
            </a:graphic>
          </wp:inline>
        </w:drawing>
      </w:r>
    </w:p>
    <w:p w:rsidR="008F3E4F" w:rsidRDefault="000C5CE9">
      <w:pPr>
        <w:spacing w:line="240" w:lineRule="auto"/>
        <w:rPr>
          <w:sz w:val="24"/>
          <w:szCs w:val="24"/>
        </w:rPr>
      </w:pPr>
      <w:r>
        <w:rPr>
          <w:sz w:val="24"/>
          <w:szCs w:val="24"/>
        </w:rPr>
        <w:t xml:space="preserve">Suppl. figure </w:t>
      </w:r>
      <w:proofErr w:type="gramStart"/>
      <w:r>
        <w:rPr>
          <w:sz w:val="24"/>
          <w:szCs w:val="24"/>
        </w:rPr>
        <w:t>2</w:t>
      </w:r>
      <w:proofErr w:type="gramEnd"/>
      <w:r>
        <w:rPr>
          <w:sz w:val="24"/>
          <w:szCs w:val="24"/>
        </w:rPr>
        <w:t xml:space="preserve"> - Correlation or association of sampling depth (the number of sequencing reads recovered) with technical or biological variables. Sequencing depth is not associated or correlated with any of the technical (DNA </w:t>
      </w:r>
      <w:r>
        <w:rPr>
          <w:sz w:val="24"/>
          <w:szCs w:val="24"/>
        </w:rPr>
        <w:t>quality and quantity) or biological (as reported in the manuscript) variables.</w:t>
      </w:r>
    </w:p>
    <w:p w:rsidR="008F3E4F" w:rsidRDefault="000C5CE9">
      <w:pPr>
        <w:spacing w:line="240" w:lineRule="auto"/>
        <w:rPr>
          <w:sz w:val="24"/>
          <w:szCs w:val="24"/>
        </w:rPr>
      </w:pPr>
      <w:r>
        <w:rPr>
          <w:noProof/>
          <w:lang w:val="en-US" w:eastAsia="en-US" w:bidi="ar-SA"/>
        </w:rPr>
        <w:lastRenderedPageBreak/>
        <w:drawing>
          <wp:anchor distT="114300" distB="114300" distL="114300" distR="114300" simplePos="0" relativeHeight="14" behindDoc="0" locked="0" layoutInCell="0" allowOverlap="1">
            <wp:simplePos x="0" y="0"/>
            <wp:positionH relativeFrom="column">
              <wp:posOffset>19050</wp:posOffset>
            </wp:positionH>
            <wp:positionV relativeFrom="paragraph">
              <wp:posOffset>114300</wp:posOffset>
            </wp:positionV>
            <wp:extent cx="3024505" cy="6048375"/>
            <wp:effectExtent l="0" t="0" r="0" b="0"/>
            <wp:wrapTopAndBottom/>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png"/>
                    <pic:cNvPicPr>
                      <a:picLocks noChangeAspect="1" noChangeArrowheads="1"/>
                    </pic:cNvPicPr>
                  </pic:nvPicPr>
                  <pic:blipFill>
                    <a:blip r:embed="rId6"/>
                    <a:stretch>
                      <a:fillRect/>
                    </a:stretch>
                  </pic:blipFill>
                  <pic:spPr bwMode="auto">
                    <a:xfrm>
                      <a:off x="0" y="0"/>
                      <a:ext cx="3024505" cy="6048375"/>
                    </a:xfrm>
                    <a:prstGeom prst="rect">
                      <a:avLst/>
                    </a:prstGeom>
                  </pic:spPr>
                </pic:pic>
              </a:graphicData>
            </a:graphic>
          </wp:anchor>
        </w:drawing>
      </w:r>
      <w:r>
        <w:rPr>
          <w:sz w:val="24"/>
          <w:szCs w:val="24"/>
        </w:rPr>
        <w:t xml:space="preserve">Suppl. figure </w:t>
      </w:r>
      <w:proofErr w:type="gramStart"/>
      <w:r>
        <w:rPr>
          <w:sz w:val="24"/>
          <w:szCs w:val="24"/>
        </w:rPr>
        <w:t>3</w:t>
      </w:r>
      <w:proofErr w:type="gramEnd"/>
      <w:r>
        <w:rPr>
          <w:sz w:val="24"/>
          <w:szCs w:val="24"/>
        </w:rPr>
        <w:t xml:space="preserve"> - Association of season, weight and administrative area with sample decomposition status.  Slightly autolytic carcasses </w:t>
      </w:r>
      <w:proofErr w:type="gramStart"/>
      <w:r>
        <w:rPr>
          <w:sz w:val="24"/>
          <w:szCs w:val="24"/>
        </w:rPr>
        <w:t>were sampled</w:t>
      </w:r>
      <w:proofErr w:type="gramEnd"/>
      <w:r>
        <w:rPr>
          <w:sz w:val="24"/>
          <w:szCs w:val="24"/>
        </w:rPr>
        <w:t xml:space="preserve"> at higher proportions in wi</w:t>
      </w:r>
      <w:r>
        <w:rPr>
          <w:sz w:val="24"/>
          <w:szCs w:val="24"/>
        </w:rPr>
        <w:t xml:space="preserve">nter and were lighter than excellently preserved carcasses. No difference in decomposition status </w:t>
      </w:r>
      <w:proofErr w:type="gramStart"/>
      <w:r>
        <w:rPr>
          <w:sz w:val="24"/>
          <w:szCs w:val="24"/>
        </w:rPr>
        <w:t>was detected</w:t>
      </w:r>
      <w:proofErr w:type="gramEnd"/>
      <w:r>
        <w:rPr>
          <w:sz w:val="24"/>
          <w:szCs w:val="24"/>
        </w:rPr>
        <w:t xml:space="preserve"> between administrative areas. </w:t>
      </w:r>
    </w:p>
    <w:p w:rsidR="008F3E4F" w:rsidRDefault="000C5CE9">
      <w:pPr>
        <w:spacing w:line="240" w:lineRule="auto"/>
      </w:pPr>
      <w:r>
        <w:rPr>
          <w:noProof/>
          <w:lang w:val="en-US" w:eastAsia="en-US" w:bidi="ar-SA"/>
        </w:rPr>
        <w:lastRenderedPageBreak/>
        <w:drawing>
          <wp:inline distT="0" distB="0" distL="0" distR="0">
            <wp:extent cx="5943600" cy="4953000"/>
            <wp:effectExtent l="0" t="0" r="0" b="0"/>
            <wp:docPr id="12"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9.png"/>
                    <pic:cNvPicPr>
                      <a:picLocks noChangeAspect="1" noChangeArrowheads="1"/>
                    </pic:cNvPicPr>
                  </pic:nvPicPr>
                  <pic:blipFill>
                    <a:blip r:embed="rId7"/>
                    <a:stretch>
                      <a:fillRect/>
                    </a:stretch>
                  </pic:blipFill>
                  <pic:spPr bwMode="auto">
                    <a:xfrm>
                      <a:off x="0" y="0"/>
                      <a:ext cx="5943600" cy="4953000"/>
                    </a:xfrm>
                    <a:prstGeom prst="rect">
                      <a:avLst/>
                    </a:prstGeom>
                  </pic:spPr>
                </pic:pic>
              </a:graphicData>
            </a:graphic>
          </wp:inline>
        </w:drawing>
      </w:r>
      <w:r>
        <w:rPr>
          <w:sz w:val="24"/>
          <w:szCs w:val="24"/>
        </w:rPr>
        <w:t>Suppl. figure 4 - The continuous environmental variables “human footprint index” and “tree cover” explain varianc</w:t>
      </w:r>
      <w:r>
        <w:rPr>
          <w:sz w:val="24"/>
          <w:szCs w:val="24"/>
        </w:rPr>
        <w:t xml:space="preserve">e in helminth composition similarly to differences in administrative areas (see Figure 5). </w:t>
      </w:r>
    </w:p>
    <w:p w:rsidR="008F3E4F" w:rsidRDefault="000C5CE9">
      <w:pPr>
        <w:spacing w:line="240" w:lineRule="auto"/>
      </w:pPr>
      <w:r>
        <w:rPr>
          <w:noProof/>
          <w:lang w:val="en-US" w:eastAsia="en-US" w:bidi="ar-SA"/>
        </w:rPr>
        <w:lastRenderedPageBreak/>
        <w:drawing>
          <wp:inline distT="0" distB="0" distL="0" distR="0">
            <wp:extent cx="5943600" cy="2971800"/>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png"/>
                    <pic:cNvPicPr>
                      <a:picLocks noChangeAspect="1" noChangeArrowheads="1"/>
                    </pic:cNvPicPr>
                  </pic:nvPicPr>
                  <pic:blipFill>
                    <a:blip r:embed="rId8"/>
                    <a:stretch>
                      <a:fillRect/>
                    </a:stretch>
                  </pic:blipFill>
                  <pic:spPr bwMode="auto">
                    <a:xfrm>
                      <a:off x="0" y="0"/>
                      <a:ext cx="5943600" cy="2971800"/>
                    </a:xfrm>
                    <a:prstGeom prst="rect">
                      <a:avLst/>
                    </a:prstGeom>
                  </pic:spPr>
                </pic:pic>
              </a:graphicData>
            </a:graphic>
          </wp:inline>
        </w:drawing>
      </w:r>
    </w:p>
    <w:p w:rsidR="008F3E4F" w:rsidRDefault="000C5CE9">
      <w:pPr>
        <w:spacing w:line="240" w:lineRule="auto"/>
      </w:pPr>
      <w:r>
        <w:rPr>
          <w:sz w:val="24"/>
          <w:szCs w:val="24"/>
        </w:rPr>
        <w:t xml:space="preserve">Suppl. figure 5 - </w:t>
      </w:r>
      <w:r>
        <w:t xml:space="preserve">Host-intrinsic, seasonal and environmental factors affect the occurrence of helminths.  Coefficients of the explanatory variables in the </w:t>
      </w:r>
      <w:proofErr w:type="spellStart"/>
      <w:r>
        <w:t>jSDM</w:t>
      </w:r>
      <w:proofErr w:type="spellEnd"/>
      <w:r>
        <w:t xml:space="preserve"> fo</w:t>
      </w:r>
      <w:r>
        <w:t xml:space="preserve">r the different helminth taxa are given. Environmental explanatory variables add some information i.e. </w:t>
      </w:r>
      <w:proofErr w:type="spellStart"/>
      <w:r>
        <w:rPr>
          <w:i/>
        </w:rPr>
        <w:t>Crenosoma</w:t>
      </w:r>
      <w:proofErr w:type="spellEnd"/>
      <w:r>
        <w:t xml:space="preserve"> and </w:t>
      </w:r>
      <w:proofErr w:type="spellStart"/>
      <w:r>
        <w:rPr>
          <w:i/>
        </w:rPr>
        <w:t>Angiostrongylus</w:t>
      </w:r>
      <w:proofErr w:type="spellEnd"/>
      <w:r>
        <w:t xml:space="preserve"> are associated with higher tree </w:t>
      </w:r>
      <w:proofErr w:type="gramStart"/>
      <w:r>
        <w:t xml:space="preserve">cover and </w:t>
      </w:r>
      <w:proofErr w:type="spellStart"/>
      <w:r>
        <w:rPr>
          <w:i/>
        </w:rPr>
        <w:t>Angiostrongylus</w:t>
      </w:r>
      <w:proofErr w:type="spellEnd"/>
      <w:proofErr w:type="gramEnd"/>
      <w:r>
        <w:t xml:space="preserve"> and </w:t>
      </w:r>
      <w:proofErr w:type="spellStart"/>
      <w:r>
        <w:rPr>
          <w:i/>
        </w:rPr>
        <w:t>Strongyloides</w:t>
      </w:r>
      <w:proofErr w:type="spellEnd"/>
      <w:r>
        <w:t xml:space="preserve"> with higher and lower human footprint index, re</w:t>
      </w:r>
      <w:r>
        <w:t xml:space="preserve">spectively. Compare this with figure 6, in which general effects of administrative areas </w:t>
      </w:r>
      <w:proofErr w:type="gramStart"/>
      <w:r>
        <w:t>are presented</w:t>
      </w:r>
      <w:proofErr w:type="gramEnd"/>
      <w:r>
        <w:t xml:space="preserve">. </w:t>
      </w:r>
    </w:p>
    <w:p w:rsidR="008F3E4F" w:rsidRDefault="000C5CE9">
      <w:pPr>
        <w:spacing w:line="240" w:lineRule="auto"/>
        <w:rPr>
          <w:sz w:val="24"/>
          <w:szCs w:val="24"/>
        </w:rPr>
      </w:pPr>
      <w:r>
        <w:rPr>
          <w:noProof/>
          <w:lang w:val="en-US" w:eastAsia="en-US" w:bidi="ar-SA"/>
        </w:rPr>
        <w:drawing>
          <wp:anchor distT="114300" distB="114300" distL="114300" distR="114300" simplePos="0" relativeHeight="13" behindDoc="0" locked="0" layoutInCell="0" allowOverlap="1">
            <wp:simplePos x="0" y="0"/>
            <wp:positionH relativeFrom="column">
              <wp:posOffset>19050</wp:posOffset>
            </wp:positionH>
            <wp:positionV relativeFrom="paragraph">
              <wp:posOffset>114300</wp:posOffset>
            </wp:positionV>
            <wp:extent cx="5943600" cy="3302000"/>
            <wp:effectExtent l="0" t="0" r="0" b="0"/>
            <wp:wrapTopAndBottom/>
            <wp:docPr id="1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5.png"/>
                    <pic:cNvPicPr>
                      <a:picLocks noChangeAspect="1" noChangeArrowheads="1"/>
                    </pic:cNvPicPr>
                  </pic:nvPicPr>
                  <pic:blipFill>
                    <a:blip r:embed="rId9"/>
                    <a:stretch>
                      <a:fillRect/>
                    </a:stretch>
                  </pic:blipFill>
                  <pic:spPr bwMode="auto">
                    <a:xfrm>
                      <a:off x="0" y="0"/>
                      <a:ext cx="5943600" cy="3302000"/>
                    </a:xfrm>
                    <a:prstGeom prst="rect">
                      <a:avLst/>
                    </a:prstGeom>
                  </pic:spPr>
                </pic:pic>
              </a:graphicData>
            </a:graphic>
          </wp:anchor>
        </w:drawing>
      </w:r>
      <w:r>
        <w:rPr>
          <w:sz w:val="24"/>
          <w:szCs w:val="24"/>
        </w:rPr>
        <w:t>Suppl. figure 6 - Helminth traits are not significantly associated with any variables in this model. This does not provide increased resolution over a</w:t>
      </w:r>
      <w:r>
        <w:rPr>
          <w:sz w:val="24"/>
          <w:szCs w:val="24"/>
        </w:rPr>
        <w:t xml:space="preserve">n analysis of administrative area effects (compared with Figure 7). </w:t>
      </w:r>
    </w:p>
    <w:p w:rsidR="008F3E4F" w:rsidRDefault="008F3E4F">
      <w:pPr>
        <w:spacing w:line="240" w:lineRule="auto"/>
        <w:rPr>
          <w:sz w:val="24"/>
          <w:szCs w:val="24"/>
        </w:rPr>
      </w:pPr>
    </w:p>
    <w:p w:rsidR="008F3E4F" w:rsidRDefault="000C5CE9">
      <w:pPr>
        <w:spacing w:line="240" w:lineRule="auto"/>
        <w:rPr>
          <w:sz w:val="24"/>
          <w:szCs w:val="24"/>
        </w:rPr>
      </w:pPr>
      <w:r>
        <w:rPr>
          <w:sz w:val="24"/>
          <w:szCs w:val="24"/>
        </w:rPr>
        <w:lastRenderedPageBreak/>
        <w:t>Suppl. Table 3 - Prevalent helminth species detected in this study in their specific epidemiological context</w:t>
      </w:r>
    </w:p>
    <w:tbl>
      <w:tblPr>
        <w:tblW w:w="9360" w:type="dxa"/>
        <w:tblInd w:w="99" w:type="dxa"/>
        <w:tblLayout w:type="fixed"/>
        <w:tblCellMar>
          <w:top w:w="100" w:type="dxa"/>
          <w:left w:w="100" w:type="dxa"/>
          <w:bottom w:w="100" w:type="dxa"/>
          <w:right w:w="100" w:type="dxa"/>
        </w:tblCellMar>
        <w:tblLook w:val="0000" w:firstRow="0" w:lastRow="0" w:firstColumn="0" w:lastColumn="0" w:noHBand="0" w:noVBand="0"/>
      </w:tblPr>
      <w:tblGrid>
        <w:gridCol w:w="2115"/>
        <w:gridCol w:w="7245"/>
      </w:tblGrid>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Angiostrongylus</w:t>
            </w:r>
            <w:proofErr w:type="spellEnd"/>
            <w:r>
              <w:rPr>
                <w:i/>
                <w:sz w:val="24"/>
                <w:szCs w:val="24"/>
              </w:rPr>
              <w:t xml:space="preserve"> </w:t>
            </w:r>
            <w:proofErr w:type="spellStart"/>
            <w:r>
              <w:rPr>
                <w:i/>
                <w:sz w:val="24"/>
                <w:szCs w:val="24"/>
              </w:rPr>
              <w:t>vasorum</w:t>
            </w:r>
            <w:proofErr w:type="spellEnd"/>
            <w:r>
              <w:rPr>
                <w:sz w:val="24"/>
                <w:szCs w:val="24"/>
              </w:rPr>
              <w:t xml:space="preserve"> (67.4%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t>Infection of definitive hosts (fo</w:t>
            </w:r>
            <w:r>
              <w:rPr>
                <w:sz w:val="24"/>
                <w:szCs w:val="24"/>
              </w:rPr>
              <w:t xml:space="preserve">xes or dogs) occurs by ingesting third larval stages while feeding on infected intermediate hosts (slugs or snails) or </w:t>
            </w:r>
            <w:proofErr w:type="spellStart"/>
            <w:r>
              <w:rPr>
                <w:sz w:val="24"/>
                <w:szCs w:val="24"/>
              </w:rPr>
              <w:t>paratenic</w:t>
            </w:r>
            <w:proofErr w:type="spellEnd"/>
            <w:r>
              <w:rPr>
                <w:sz w:val="24"/>
                <w:szCs w:val="24"/>
              </w:rPr>
              <w:t xml:space="preserve"> hosts (amphibians, birds and rodents) </w:t>
            </w:r>
            <w:hyperlink r:id="rId10">
              <w:r>
                <w:rPr>
                  <w:sz w:val="24"/>
                  <w:szCs w:val="24"/>
                </w:rPr>
                <w:t>(</w:t>
              </w:r>
              <w:proofErr w:type="spellStart"/>
              <w:r>
                <w:rPr>
                  <w:sz w:val="24"/>
                  <w:szCs w:val="24"/>
                </w:rPr>
                <w:t>Mozzer</w:t>
              </w:r>
              <w:proofErr w:type="spellEnd"/>
              <w:r>
                <w:rPr>
                  <w:sz w:val="24"/>
                  <w:szCs w:val="24"/>
                </w:rPr>
                <w:t xml:space="preserve"> and Lima 2015)</w:t>
              </w:r>
            </w:hyperlink>
            <w:r>
              <w:rPr>
                <w:sz w:val="24"/>
                <w:szCs w:val="24"/>
              </w:rPr>
              <w:t>. Thi</w:t>
            </w:r>
            <w:r>
              <w:rPr>
                <w:sz w:val="24"/>
                <w:szCs w:val="24"/>
              </w:rPr>
              <w:t xml:space="preserve">s relatively complex life cycle would predict strong effects of the natural environment and increased parasite occurrence in more biodiverse areas. However, we found the opposite: this </w:t>
            </w:r>
            <w:proofErr w:type="spellStart"/>
            <w:r>
              <w:rPr>
                <w:sz w:val="24"/>
                <w:szCs w:val="24"/>
              </w:rPr>
              <w:t>trophically</w:t>
            </w:r>
            <w:proofErr w:type="spellEnd"/>
            <w:r>
              <w:rPr>
                <w:sz w:val="24"/>
                <w:szCs w:val="24"/>
              </w:rPr>
              <w:t xml:space="preserve"> transmitted parasite was more abundant and prevalent in the</w:t>
            </w:r>
            <w:r>
              <w:rPr>
                <w:sz w:val="24"/>
                <w:szCs w:val="24"/>
              </w:rPr>
              <w:t xml:space="preserve"> city. The species is indeed the main driver for the overall effect of more pronounced trophic transmission of helminths with two-host life cycles in the city than in the rural area. Given observations of increasing prevalence and distribution of the speci</w:t>
            </w:r>
            <w:r>
              <w:rPr>
                <w:sz w:val="24"/>
                <w:szCs w:val="24"/>
              </w:rPr>
              <w:t xml:space="preserve">es in recent times </w:t>
            </w:r>
            <w:hyperlink r:id="rId11">
              <w:r>
                <w:rPr>
                  <w:sz w:val="24"/>
                  <w:szCs w:val="24"/>
                </w:rPr>
                <w:t>(Gillis-</w:t>
              </w:r>
              <w:proofErr w:type="spellStart"/>
              <w:r>
                <w:rPr>
                  <w:sz w:val="24"/>
                  <w:szCs w:val="24"/>
                </w:rPr>
                <w:t>Germitsch</w:t>
              </w:r>
              <w:proofErr w:type="spellEnd"/>
              <w:r>
                <w:rPr>
                  <w:sz w:val="24"/>
                  <w:szCs w:val="24"/>
                </w:rPr>
                <w:t xml:space="preserve"> et al. 2020; Fuehrer et al. 2021)</w:t>
              </w:r>
            </w:hyperlink>
            <w:r>
              <w:rPr>
                <w:sz w:val="24"/>
                <w:szCs w:val="24"/>
              </w:rPr>
              <w:t xml:space="preserve"> and the high genetic diversity of urban populations </w:t>
            </w:r>
            <w:hyperlink r:id="rId12">
              <w:r>
                <w:rPr>
                  <w:sz w:val="24"/>
                  <w:szCs w:val="24"/>
                </w:rPr>
                <w:t>(</w:t>
              </w:r>
              <w:proofErr w:type="spellStart"/>
              <w:r>
                <w:rPr>
                  <w:sz w:val="24"/>
                  <w:szCs w:val="24"/>
                </w:rPr>
                <w:t>Tayyrov</w:t>
              </w:r>
              <w:proofErr w:type="spellEnd"/>
              <w:r>
                <w:rPr>
                  <w:sz w:val="24"/>
                  <w:szCs w:val="24"/>
                </w:rPr>
                <w:t xml:space="preserve"> </w:t>
              </w:r>
              <w:r>
                <w:rPr>
                  <w:sz w:val="24"/>
                  <w:szCs w:val="24"/>
                </w:rPr>
                <w:t>et al. 2021)</w:t>
              </w:r>
            </w:hyperlink>
            <w:r>
              <w:rPr>
                <w:sz w:val="24"/>
                <w:szCs w:val="24"/>
              </w:rPr>
              <w:t xml:space="preserve">, we can conclude that </w:t>
            </w:r>
            <w:r>
              <w:rPr>
                <w:i/>
                <w:sz w:val="24"/>
                <w:szCs w:val="24"/>
              </w:rPr>
              <w:t xml:space="preserve">A. </w:t>
            </w:r>
            <w:proofErr w:type="spellStart"/>
            <w:r>
              <w:rPr>
                <w:i/>
                <w:sz w:val="24"/>
                <w:szCs w:val="24"/>
              </w:rPr>
              <w:t>vasorum</w:t>
            </w:r>
            <w:proofErr w:type="spellEnd"/>
            <w:r>
              <w:rPr>
                <w:sz w:val="24"/>
                <w:szCs w:val="24"/>
              </w:rPr>
              <w:t xml:space="preserve"> is an </w:t>
            </w:r>
            <w:proofErr w:type="spellStart"/>
            <w:r>
              <w:rPr>
                <w:sz w:val="24"/>
                <w:szCs w:val="24"/>
              </w:rPr>
              <w:t>urbanophile</w:t>
            </w:r>
            <w:proofErr w:type="spellEnd"/>
            <w:r>
              <w:rPr>
                <w:sz w:val="24"/>
                <w:szCs w:val="24"/>
              </w:rPr>
              <w:t xml:space="preserve"> helminth with growing populations in an urbanised world.</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lastRenderedPageBreak/>
              <w:t>Eucoleus</w:t>
            </w:r>
            <w:proofErr w:type="spellEnd"/>
            <w:r>
              <w:rPr>
                <w:i/>
                <w:sz w:val="24"/>
                <w:szCs w:val="24"/>
              </w:rPr>
              <w:t xml:space="preserve"> </w:t>
            </w:r>
            <w:proofErr w:type="spellStart"/>
            <w:r>
              <w:rPr>
                <w:i/>
                <w:sz w:val="24"/>
                <w:szCs w:val="24"/>
              </w:rPr>
              <w:t>aerophilus</w:t>
            </w:r>
            <w:proofErr w:type="spellEnd"/>
            <w:r>
              <w:rPr>
                <w:i/>
                <w:sz w:val="24"/>
                <w:szCs w:val="24"/>
              </w:rPr>
              <w:t xml:space="preserve"> </w:t>
            </w:r>
            <w:r>
              <w:rPr>
                <w:sz w:val="24"/>
                <w:szCs w:val="24"/>
              </w:rPr>
              <w:t>(58.9%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noProof/>
                <w:lang w:val="en-US" w:eastAsia="en-US" w:bidi="ar-SA"/>
              </w:rPr>
              <mc:AlternateContent>
                <mc:Choice Requires="wps">
                  <w:drawing>
                    <wp:anchor distT="114300" distB="114300" distL="114300" distR="114300" simplePos="0" relativeHeight="15" behindDoc="0" locked="0" layoutInCell="0" allowOverlap="1" wp14:anchorId="3485593A">
                      <wp:simplePos x="0" y="0"/>
                      <wp:positionH relativeFrom="page">
                        <wp:posOffset>1389380</wp:posOffset>
                      </wp:positionH>
                      <wp:positionV relativeFrom="paragraph">
                        <wp:posOffset>12518390</wp:posOffset>
                      </wp:positionV>
                      <wp:extent cx="17145" cy="3175"/>
                      <wp:effectExtent l="0" t="0" r="0" b="0"/>
                      <wp:wrapTopAndBottom/>
                      <wp:docPr id="15" name="image15.png"/>
                      <wp:cNvGraphicFramePr/>
                      <a:graphic xmlns:a="http://schemas.openxmlformats.org/drawingml/2006/main">
                        <a:graphicData uri="http://schemas.openxmlformats.org/drawingml/2006/picture">
                          <pic:pic xmlns:pic="http://schemas.openxmlformats.org/drawingml/2006/picture">
                            <pic:nvPicPr>
                              <pic:cNvPr id="0" name="image15.png"/>
                              <pic:cNvPicPr/>
                            </pic:nvPicPr>
                            <pic:blipFill>
                              <a:blip r:embed="rId8"/>
                              <a:stretch/>
                            </pic:blipFill>
                            <pic:spPr>
                              <a:xfrm rot="10800000" flipH="1">
                                <a:off x="0" y="0"/>
                                <a:ext cx="16560" cy="2520"/>
                              </a:xfrm>
                              <a:prstGeom prst="rect">
                                <a:avLst/>
                              </a:prstGeom>
                              <a:ln w="0">
                                <a:noFill/>
                              </a:ln>
                            </pic:spPr>
                          </pic:pic>
                        </a:graphicData>
                      </a:graphic>
                    </wp:anchor>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15.png" stroked="f" style="position:absolute;margin-left:109.4pt;margin-top:985.7pt;width:1.25pt;height:0.15pt;mso-wrap-style:none;v-text-anchor:middle;rotation:180;mso-position-horizontal-relative:page" wp14:anchorId="3485593A" type="shapetype_75">
                      <v:imagedata r:id="rId27" o:detectmouseclick="t"/>
                      <v:stroke color="#3465a4" joinstyle="round" endcap="flat"/>
                      <w10:wrap type="topAndBottom"/>
                    </v:shape>
                  </w:pict>
                </mc:Fallback>
              </mc:AlternateContent>
            </w:r>
            <w:r>
              <w:rPr>
                <w:sz w:val="24"/>
                <w:szCs w:val="24"/>
              </w:rPr>
              <w:t xml:space="preserve">Has a direct, faecal-oral life cycle and infection with </w:t>
            </w:r>
            <w:r>
              <w:rPr>
                <w:i/>
                <w:sz w:val="24"/>
                <w:szCs w:val="24"/>
              </w:rPr>
              <w:t xml:space="preserve">E. </w:t>
            </w:r>
            <w:proofErr w:type="spellStart"/>
            <w:r>
              <w:rPr>
                <w:i/>
                <w:sz w:val="24"/>
                <w:szCs w:val="24"/>
              </w:rPr>
              <w:t>aerophilus</w:t>
            </w:r>
            <w:proofErr w:type="spellEnd"/>
            <w:r>
              <w:rPr>
                <w:sz w:val="24"/>
                <w:szCs w:val="24"/>
              </w:rPr>
              <w:t xml:space="preserve"> </w:t>
            </w:r>
            <w:r>
              <w:rPr>
                <w:sz w:val="24"/>
                <w:szCs w:val="24"/>
              </w:rPr>
              <w:lastRenderedPageBreak/>
              <w:t>occurs through ingesting</w:t>
            </w:r>
            <w:r>
              <w:rPr>
                <w:sz w:val="24"/>
                <w:szCs w:val="24"/>
              </w:rPr>
              <w:t xml:space="preserve"> food or water contaminated with eggs </w:t>
            </w:r>
            <w:hyperlink r:id="rId28">
              <w:r>
                <w:rPr>
                  <w:sz w:val="24"/>
                  <w:szCs w:val="24"/>
                </w:rPr>
                <w:t>(Anderson 1999)</w:t>
              </w:r>
            </w:hyperlink>
            <w:r>
              <w:rPr>
                <w:sz w:val="24"/>
                <w:szCs w:val="24"/>
              </w:rPr>
              <w:t>. The larvae hatch in the intestines and enter the lungs via the bloodstream. The lung hairworm causes disease symptoms, such as bronchitis w</w:t>
            </w:r>
            <w:r>
              <w:rPr>
                <w:sz w:val="24"/>
                <w:szCs w:val="24"/>
              </w:rPr>
              <w:t xml:space="preserve">ith coughing in severe infestation with accompanying bacterial infections </w:t>
            </w:r>
            <w:hyperlink r:id="rId29">
              <w:r>
                <w:rPr>
                  <w:sz w:val="24"/>
                  <w:szCs w:val="24"/>
                </w:rPr>
                <w:t>(Spratt 2002)</w:t>
              </w:r>
            </w:hyperlink>
            <w:r>
              <w:rPr>
                <w:sz w:val="24"/>
                <w:szCs w:val="24"/>
              </w:rPr>
              <w:t>. Indeed, poor body condition was not associated with this parasite. The parasite, however, showed the most</w:t>
            </w:r>
            <w:r>
              <w:rPr>
                <w:sz w:val="24"/>
                <w:szCs w:val="24"/>
              </w:rPr>
              <w:t xml:space="preserve"> substantial effects of seasonality and was significantly more prevalent in winter than in summer or spring. This is difficult to explain, as eggs need higher temperatures than usual observed in this season to develop in vitro </w:t>
            </w:r>
            <w:hyperlink r:id="rId30">
              <w:r>
                <w:rPr>
                  <w:sz w:val="24"/>
                  <w:szCs w:val="24"/>
                </w:rPr>
                <w:t>(</w:t>
              </w:r>
              <w:proofErr w:type="spellStart"/>
              <w:r>
                <w:rPr>
                  <w:sz w:val="24"/>
                  <w:szCs w:val="24"/>
                </w:rPr>
                <w:t>Perrucci</w:t>
              </w:r>
              <w:proofErr w:type="spellEnd"/>
              <w:r>
                <w:rPr>
                  <w:sz w:val="24"/>
                  <w:szCs w:val="24"/>
                </w:rPr>
                <w:t xml:space="preserve">, Di Cesare, and </w:t>
              </w:r>
              <w:proofErr w:type="spellStart"/>
              <w:r>
                <w:rPr>
                  <w:sz w:val="24"/>
                  <w:szCs w:val="24"/>
                </w:rPr>
                <w:t>Fichi</w:t>
              </w:r>
              <w:proofErr w:type="spellEnd"/>
              <w:r>
                <w:rPr>
                  <w:sz w:val="24"/>
                  <w:szCs w:val="24"/>
                </w:rPr>
                <w:t xml:space="preserve"> 2014)</w:t>
              </w:r>
            </w:hyperlink>
            <w:r>
              <w:rPr>
                <w:sz w:val="24"/>
                <w:szCs w:val="24"/>
              </w:rPr>
              <w:t xml:space="preserve">. Seasonality effects on </w:t>
            </w:r>
            <w:r>
              <w:rPr>
                <w:i/>
                <w:sz w:val="24"/>
                <w:szCs w:val="24"/>
              </w:rPr>
              <w:t xml:space="preserve">E. </w:t>
            </w:r>
            <w:proofErr w:type="spellStart"/>
            <w:r>
              <w:rPr>
                <w:i/>
                <w:sz w:val="24"/>
                <w:szCs w:val="24"/>
              </w:rPr>
              <w:t>aerophilus</w:t>
            </w:r>
            <w:proofErr w:type="spellEnd"/>
            <w:r>
              <w:rPr>
                <w:sz w:val="24"/>
                <w:szCs w:val="24"/>
              </w:rPr>
              <w:t xml:space="preserve"> are one of findings contradicting the hypothesis that directly transmitted parasites should rather </w:t>
            </w:r>
            <w:proofErr w:type="gramStart"/>
            <w:r>
              <w:rPr>
                <w:sz w:val="24"/>
                <w:szCs w:val="24"/>
              </w:rPr>
              <w:t>be impacted</w:t>
            </w:r>
            <w:proofErr w:type="gramEnd"/>
            <w:r>
              <w:rPr>
                <w:sz w:val="24"/>
                <w:szCs w:val="24"/>
              </w:rPr>
              <w:t xml:space="preserve"> by the host-intrinsic traits and be </w:t>
            </w:r>
            <w:r>
              <w:rPr>
                <w:sz w:val="24"/>
                <w:szCs w:val="24"/>
              </w:rPr>
              <w:t>less impacted by the environment.</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Uncinaria</w:t>
            </w:r>
            <w:proofErr w:type="spellEnd"/>
            <w:r>
              <w:rPr>
                <w:i/>
                <w:sz w:val="24"/>
                <w:szCs w:val="24"/>
              </w:rPr>
              <w:t xml:space="preserve"> </w:t>
            </w:r>
            <w:proofErr w:type="spellStart"/>
            <w:r>
              <w:rPr>
                <w:i/>
                <w:sz w:val="24"/>
                <w:szCs w:val="24"/>
              </w:rPr>
              <w:t>stenocephala</w:t>
            </w:r>
            <w:proofErr w:type="spellEnd"/>
            <w:r>
              <w:rPr>
                <w:sz w:val="24"/>
                <w:szCs w:val="24"/>
              </w:rPr>
              <w:t xml:space="preserve"> (51.1%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t>Has a direct lifecycle with a faecal-oral transmission route. Among all taxa, it had the strongest association with a reduced weight of the foxes. This pattern fits with the hypothesis that directly transmitted parasites might be more impacted by host-intr</w:t>
            </w:r>
            <w:r>
              <w:rPr>
                <w:sz w:val="24"/>
                <w:szCs w:val="24"/>
              </w:rPr>
              <w:t xml:space="preserve">insic variables and </w:t>
            </w:r>
            <w:proofErr w:type="gramStart"/>
            <w:r>
              <w:rPr>
                <w:sz w:val="24"/>
                <w:szCs w:val="24"/>
              </w:rPr>
              <w:t>is also</w:t>
            </w:r>
            <w:proofErr w:type="gramEnd"/>
            <w:r>
              <w:rPr>
                <w:sz w:val="24"/>
                <w:szCs w:val="24"/>
              </w:rPr>
              <w:t xml:space="preserve"> supported by previous pathology reports </w:t>
            </w:r>
            <w:hyperlink r:id="rId31">
              <w:r>
                <w:rPr>
                  <w:sz w:val="24"/>
                  <w:szCs w:val="24"/>
                </w:rPr>
                <w:t>(Bowman et al. 2010)</w:t>
              </w:r>
            </w:hyperlink>
            <w:r>
              <w:rPr>
                <w:sz w:val="24"/>
                <w:szCs w:val="24"/>
              </w:rPr>
              <w:t xml:space="preserve">. We found </w:t>
            </w:r>
            <w:r>
              <w:rPr>
                <w:i/>
                <w:sz w:val="24"/>
                <w:szCs w:val="24"/>
              </w:rPr>
              <w:t xml:space="preserve">U. </w:t>
            </w:r>
            <w:proofErr w:type="spellStart"/>
            <w:r>
              <w:rPr>
                <w:i/>
                <w:sz w:val="24"/>
                <w:szCs w:val="24"/>
              </w:rPr>
              <w:t>stenocephala</w:t>
            </w:r>
            <w:proofErr w:type="spellEnd"/>
            <w:r>
              <w:rPr>
                <w:sz w:val="24"/>
                <w:szCs w:val="24"/>
              </w:rPr>
              <w:t xml:space="preserve"> not related to urbanisation, </w:t>
            </w:r>
            <w:proofErr w:type="gramStart"/>
            <w:r>
              <w:rPr>
                <w:sz w:val="24"/>
                <w:szCs w:val="24"/>
              </w:rPr>
              <w:t>particularly not more prevalent</w:t>
            </w:r>
            <w:proofErr w:type="gramEnd"/>
            <w:r>
              <w:rPr>
                <w:sz w:val="24"/>
                <w:szCs w:val="24"/>
              </w:rPr>
              <w:t xml:space="preserve"> in the urbanised a</w:t>
            </w:r>
            <w:r>
              <w:rPr>
                <w:sz w:val="24"/>
                <w:szCs w:val="24"/>
              </w:rPr>
              <w:t xml:space="preserve">reas, as reported previously from Geneva </w:t>
            </w:r>
            <w:hyperlink r:id="rId32">
              <w:r>
                <w:rPr>
                  <w:sz w:val="24"/>
                  <w:szCs w:val="24"/>
                </w:rPr>
                <w:t>(</w:t>
              </w:r>
              <w:proofErr w:type="spellStart"/>
              <w:r>
                <w:rPr>
                  <w:sz w:val="24"/>
                  <w:szCs w:val="24"/>
                </w:rPr>
                <w:t>Reperant</w:t>
              </w:r>
              <w:proofErr w:type="spellEnd"/>
              <w:r>
                <w:rPr>
                  <w:sz w:val="24"/>
                  <w:szCs w:val="24"/>
                </w:rPr>
                <w:t xml:space="preserve"> et al. 2007)</w:t>
              </w:r>
            </w:hyperlink>
            <w:r>
              <w:rPr>
                <w:sz w:val="24"/>
                <w:szCs w:val="24"/>
              </w:rPr>
              <w:t xml:space="preserve">. </w:t>
            </w:r>
            <w:r>
              <w:rPr>
                <w:i/>
                <w:sz w:val="24"/>
                <w:szCs w:val="24"/>
              </w:rPr>
              <w:t xml:space="preserve">U. </w:t>
            </w:r>
            <w:proofErr w:type="spellStart"/>
            <w:r>
              <w:rPr>
                <w:i/>
                <w:sz w:val="24"/>
                <w:szCs w:val="24"/>
              </w:rPr>
              <w:lastRenderedPageBreak/>
              <w:t>stenocephala</w:t>
            </w:r>
            <w:proofErr w:type="spellEnd"/>
            <w:r>
              <w:rPr>
                <w:sz w:val="24"/>
                <w:szCs w:val="24"/>
              </w:rPr>
              <w:t xml:space="preserve">, similar to </w:t>
            </w:r>
            <w:r>
              <w:rPr>
                <w:i/>
                <w:sz w:val="24"/>
                <w:szCs w:val="24"/>
              </w:rPr>
              <w:t xml:space="preserve">E. </w:t>
            </w:r>
            <w:proofErr w:type="spellStart"/>
            <w:r>
              <w:rPr>
                <w:i/>
                <w:sz w:val="24"/>
                <w:szCs w:val="24"/>
              </w:rPr>
              <w:t>aerophilus</w:t>
            </w:r>
            <w:proofErr w:type="spellEnd"/>
            <w:r>
              <w:rPr>
                <w:i/>
                <w:sz w:val="24"/>
                <w:szCs w:val="24"/>
              </w:rPr>
              <w:t xml:space="preserve">, </w:t>
            </w:r>
            <w:r>
              <w:rPr>
                <w:sz w:val="24"/>
                <w:szCs w:val="24"/>
              </w:rPr>
              <w:t>also showed strong spatial effects (“random site” in Figure 6), meaning that infection</w:t>
            </w:r>
            <w:r>
              <w:rPr>
                <w:sz w:val="24"/>
                <w:szCs w:val="24"/>
              </w:rPr>
              <w:t xml:space="preserve"> might occur at geographical hotspots. The ecological or immunological drivers associated with increased occurrence of this potentially zoonotic hookworm in animals with low body weight are worth further investigation.</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Alaria</w:t>
            </w:r>
            <w:proofErr w:type="spellEnd"/>
            <w:r>
              <w:rPr>
                <w:i/>
                <w:sz w:val="24"/>
                <w:szCs w:val="24"/>
              </w:rPr>
              <w:t xml:space="preserve"> </w:t>
            </w:r>
            <w:proofErr w:type="spellStart"/>
            <w:r>
              <w:rPr>
                <w:i/>
                <w:sz w:val="24"/>
                <w:szCs w:val="24"/>
              </w:rPr>
              <w:t>alata</w:t>
            </w:r>
            <w:proofErr w:type="spellEnd"/>
            <w:r>
              <w:rPr>
                <w:sz w:val="24"/>
                <w:szCs w:val="24"/>
              </w:rPr>
              <w:t xml:space="preserve"> (16.3%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t xml:space="preserve">Was </w:t>
            </w:r>
            <w:r>
              <w:rPr>
                <w:sz w:val="24"/>
                <w:szCs w:val="24"/>
              </w:rPr>
              <w:t xml:space="preserve">strongly associated with rural Brandenburg and an increased prevalence was observed in winter and spring. This parasite is potentially zoonotic and has a complex life cycle with three hosts and additional </w:t>
            </w:r>
            <w:proofErr w:type="spellStart"/>
            <w:r>
              <w:rPr>
                <w:sz w:val="24"/>
                <w:szCs w:val="24"/>
              </w:rPr>
              <w:t>paratenic</w:t>
            </w:r>
            <w:proofErr w:type="spellEnd"/>
            <w:r>
              <w:rPr>
                <w:sz w:val="24"/>
                <w:szCs w:val="24"/>
              </w:rPr>
              <w:t xml:space="preserve"> hosts from a broad taxonomic spectrum </w:t>
            </w:r>
            <w:hyperlink r:id="rId33">
              <w:r>
                <w:rPr>
                  <w:sz w:val="24"/>
                  <w:szCs w:val="24"/>
                </w:rPr>
                <w:t>(</w:t>
              </w:r>
              <w:proofErr w:type="spellStart"/>
              <w:r>
                <w:rPr>
                  <w:sz w:val="24"/>
                  <w:szCs w:val="24"/>
                </w:rPr>
                <w:t>Korpysa-Dzirba</w:t>
              </w:r>
              <w:proofErr w:type="spellEnd"/>
              <w:r>
                <w:rPr>
                  <w:sz w:val="24"/>
                  <w:szCs w:val="24"/>
                </w:rPr>
                <w:t xml:space="preserve"> et al. 2021; Z, G, and G 2018)</w:t>
              </w:r>
            </w:hyperlink>
            <w:r>
              <w:rPr>
                <w:sz w:val="24"/>
                <w:szCs w:val="24"/>
              </w:rPr>
              <w:t xml:space="preserve">. This life cycle </w:t>
            </w:r>
            <w:proofErr w:type="gramStart"/>
            <w:r>
              <w:rPr>
                <w:sz w:val="24"/>
                <w:szCs w:val="24"/>
              </w:rPr>
              <w:t>might be better supported</w:t>
            </w:r>
            <w:proofErr w:type="gramEnd"/>
            <w:r>
              <w:rPr>
                <w:sz w:val="24"/>
                <w:szCs w:val="24"/>
              </w:rPr>
              <w:t xml:space="preserve"> by intermediate and </w:t>
            </w:r>
            <w:proofErr w:type="spellStart"/>
            <w:r>
              <w:rPr>
                <w:sz w:val="24"/>
                <w:szCs w:val="24"/>
              </w:rPr>
              <w:t>paratenic</w:t>
            </w:r>
            <w:proofErr w:type="spellEnd"/>
            <w:r>
              <w:rPr>
                <w:sz w:val="24"/>
                <w:szCs w:val="24"/>
              </w:rPr>
              <w:t xml:space="preserve"> host availability in rural Brandenburg. A predisposition for the winter month</w:t>
            </w:r>
            <w:r>
              <w:rPr>
                <w:sz w:val="24"/>
                <w:szCs w:val="24"/>
              </w:rPr>
              <w:t xml:space="preserve"> might again point to increased susceptibility of foxes in winter and is more challenging to reconcile with the low availability of especially invertebrates as intermediate hosts in this season.</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Mesocestoides</w:t>
            </w:r>
            <w:proofErr w:type="spellEnd"/>
            <w:r>
              <w:rPr>
                <w:i/>
                <w:sz w:val="24"/>
                <w:szCs w:val="24"/>
              </w:rPr>
              <w:t xml:space="preserve"> </w:t>
            </w:r>
            <w:r>
              <w:rPr>
                <w:sz w:val="24"/>
                <w:szCs w:val="24"/>
              </w:rPr>
              <w:t xml:space="preserve">spp. (29.1% prevalence) and </w:t>
            </w:r>
            <w:proofErr w:type="spellStart"/>
            <w:r>
              <w:rPr>
                <w:i/>
                <w:sz w:val="24"/>
                <w:szCs w:val="24"/>
              </w:rPr>
              <w:t>Strongyloides</w:t>
            </w:r>
            <w:proofErr w:type="spellEnd"/>
            <w:r>
              <w:rPr>
                <w:i/>
                <w:sz w:val="24"/>
                <w:szCs w:val="24"/>
              </w:rPr>
              <w:t xml:space="preserve"> </w:t>
            </w:r>
            <w:r>
              <w:rPr>
                <w:sz w:val="24"/>
                <w:szCs w:val="24"/>
              </w:rPr>
              <w:t>spp.</w:t>
            </w:r>
            <w:r>
              <w:rPr>
                <w:sz w:val="24"/>
                <w:szCs w:val="24"/>
              </w:rPr>
              <w:t xml:space="preserve"> (10.6% </w:t>
            </w:r>
            <w:r>
              <w:rPr>
                <w:sz w:val="24"/>
                <w:szCs w:val="24"/>
              </w:rPr>
              <w:lastRenderedPageBreak/>
              <w:t>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lastRenderedPageBreak/>
              <w:t xml:space="preserve">Constitute groups of two or multiple species, respectively. </w:t>
            </w:r>
            <w:proofErr w:type="gramStart"/>
            <w:r>
              <w:rPr>
                <w:sz w:val="24"/>
                <w:szCs w:val="24"/>
              </w:rPr>
              <w:t xml:space="preserve">Both groups showed increased prevalence in rural Brandenburg, pose the risk of zoonosis, but have strongly contrasting life cycles: </w:t>
            </w:r>
            <w:proofErr w:type="spellStart"/>
            <w:r>
              <w:rPr>
                <w:i/>
                <w:sz w:val="24"/>
                <w:szCs w:val="24"/>
              </w:rPr>
              <w:t>Mesocestoides</w:t>
            </w:r>
            <w:proofErr w:type="spellEnd"/>
            <w:r>
              <w:rPr>
                <w:i/>
                <w:sz w:val="24"/>
                <w:szCs w:val="24"/>
              </w:rPr>
              <w:t xml:space="preserve"> </w:t>
            </w:r>
            <w:r>
              <w:rPr>
                <w:sz w:val="24"/>
                <w:szCs w:val="24"/>
              </w:rPr>
              <w:t xml:space="preserve">spp. is transmitted </w:t>
            </w:r>
            <w:proofErr w:type="spellStart"/>
            <w:r>
              <w:rPr>
                <w:sz w:val="24"/>
                <w:szCs w:val="24"/>
              </w:rPr>
              <w:t>trophicall</w:t>
            </w:r>
            <w:r>
              <w:rPr>
                <w:sz w:val="24"/>
                <w:szCs w:val="24"/>
              </w:rPr>
              <w:t>y</w:t>
            </w:r>
            <w:proofErr w:type="spellEnd"/>
            <w:r>
              <w:rPr>
                <w:sz w:val="24"/>
                <w:szCs w:val="24"/>
              </w:rPr>
              <w:t xml:space="preserve"> in a complex cycle involving two or three hosts </w:t>
            </w:r>
            <w:hyperlink r:id="rId34">
              <w:r>
                <w:rPr>
                  <w:sz w:val="24"/>
                  <w:szCs w:val="24"/>
                </w:rPr>
                <w:t xml:space="preserve">(Fuentes, </w:t>
              </w:r>
              <w:proofErr w:type="spellStart"/>
              <w:r>
                <w:rPr>
                  <w:sz w:val="24"/>
                  <w:szCs w:val="24"/>
                </w:rPr>
                <w:t>Galán-Puchades</w:t>
              </w:r>
              <w:proofErr w:type="spellEnd"/>
              <w:r>
                <w:rPr>
                  <w:sz w:val="24"/>
                  <w:szCs w:val="24"/>
                </w:rPr>
                <w:t xml:space="preserve">, and </w:t>
              </w:r>
              <w:r>
                <w:rPr>
                  <w:sz w:val="24"/>
                  <w:szCs w:val="24"/>
                </w:rPr>
                <w:lastRenderedPageBreak/>
                <w:t>Malone 2003)</w:t>
              </w:r>
            </w:hyperlink>
            <w:r>
              <w:rPr>
                <w:sz w:val="24"/>
                <w:szCs w:val="24"/>
              </w:rPr>
              <w:t xml:space="preserve">, while  </w:t>
            </w:r>
            <w:proofErr w:type="spellStart"/>
            <w:r>
              <w:rPr>
                <w:i/>
                <w:sz w:val="24"/>
                <w:szCs w:val="24"/>
              </w:rPr>
              <w:t>Strongyloides</w:t>
            </w:r>
            <w:proofErr w:type="spellEnd"/>
            <w:r>
              <w:rPr>
                <w:sz w:val="24"/>
                <w:szCs w:val="24"/>
              </w:rPr>
              <w:t xml:space="preserve"> sp. can complete development and reproduction in a single host or in the form o</w:t>
            </w:r>
            <w:r>
              <w:rPr>
                <w:sz w:val="24"/>
                <w:szCs w:val="24"/>
              </w:rPr>
              <w:t xml:space="preserve">f female pathogenesis in the outside environment </w:t>
            </w:r>
            <w:hyperlink r:id="rId35">
              <w:r>
                <w:rPr>
                  <w:sz w:val="24"/>
                  <w:szCs w:val="24"/>
                </w:rPr>
                <w:t xml:space="preserve">(A. F. White, </w:t>
              </w:r>
              <w:proofErr w:type="spellStart"/>
              <w:r>
                <w:rPr>
                  <w:sz w:val="24"/>
                  <w:szCs w:val="24"/>
                </w:rPr>
                <w:t>Whiley</w:t>
              </w:r>
              <w:proofErr w:type="spellEnd"/>
              <w:r>
                <w:rPr>
                  <w:sz w:val="24"/>
                  <w:szCs w:val="24"/>
                </w:rPr>
                <w:t>, and E. Ross 2019)</w:t>
              </w:r>
            </w:hyperlink>
            <w:r>
              <w:rPr>
                <w:sz w:val="24"/>
                <w:szCs w:val="24"/>
              </w:rPr>
              <w:t>.</w:t>
            </w:r>
            <w:proofErr w:type="gramEnd"/>
            <w:r>
              <w:rPr>
                <w:sz w:val="24"/>
                <w:szCs w:val="24"/>
              </w:rPr>
              <w:t xml:space="preserve"> This shows that similar patterns of association with environmental drivers </w:t>
            </w:r>
            <w:proofErr w:type="gramStart"/>
            <w:r>
              <w:rPr>
                <w:sz w:val="24"/>
                <w:szCs w:val="24"/>
              </w:rPr>
              <w:t>can be observed</w:t>
            </w:r>
            <w:proofErr w:type="gramEnd"/>
            <w:r>
              <w:rPr>
                <w:sz w:val="24"/>
                <w:szCs w:val="24"/>
              </w:rPr>
              <w:t xml:space="preserve"> for parasites</w:t>
            </w:r>
            <w:r>
              <w:rPr>
                <w:sz w:val="24"/>
                <w:szCs w:val="24"/>
              </w:rPr>
              <w:t xml:space="preserve"> with very different traits.</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Crenosoma</w:t>
            </w:r>
            <w:proofErr w:type="spellEnd"/>
            <w:r>
              <w:rPr>
                <w:i/>
                <w:sz w:val="24"/>
                <w:szCs w:val="24"/>
              </w:rPr>
              <w:t xml:space="preserve"> </w:t>
            </w:r>
            <w:proofErr w:type="spellStart"/>
            <w:r>
              <w:rPr>
                <w:i/>
                <w:sz w:val="24"/>
                <w:szCs w:val="24"/>
              </w:rPr>
              <w:t>vulpis</w:t>
            </w:r>
            <w:proofErr w:type="spellEnd"/>
            <w:r>
              <w:rPr>
                <w:sz w:val="24"/>
                <w:szCs w:val="24"/>
              </w:rPr>
              <w:t xml:space="preserve"> (29.1% prevalence) and </w:t>
            </w:r>
            <w:proofErr w:type="spellStart"/>
            <w:r>
              <w:rPr>
                <w:i/>
                <w:sz w:val="24"/>
                <w:szCs w:val="24"/>
              </w:rPr>
              <w:t>Toxocara</w:t>
            </w:r>
            <w:proofErr w:type="spellEnd"/>
            <w:r>
              <w:rPr>
                <w:i/>
                <w:sz w:val="24"/>
                <w:szCs w:val="24"/>
              </w:rPr>
              <w:t xml:space="preserve"> </w:t>
            </w:r>
            <w:proofErr w:type="spellStart"/>
            <w:r>
              <w:rPr>
                <w:i/>
                <w:sz w:val="24"/>
                <w:szCs w:val="24"/>
              </w:rPr>
              <w:t>canis</w:t>
            </w:r>
            <w:proofErr w:type="spellEnd"/>
            <w:r>
              <w:rPr>
                <w:sz w:val="24"/>
                <w:szCs w:val="24"/>
              </w:rPr>
              <w:t xml:space="preserve"> (14.9%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t xml:space="preserve">Were the parasites most strongly associated with host-intrinsic factors, i.e. with the foxes’ body weight but also (quite exceptionally among all taxa) </w:t>
            </w:r>
            <w:r>
              <w:rPr>
                <w:sz w:val="24"/>
                <w:szCs w:val="24"/>
              </w:rPr>
              <w:t xml:space="preserve">with male sex. Associations of these species with environmental variables </w:t>
            </w:r>
            <w:proofErr w:type="gramStart"/>
            <w:r>
              <w:rPr>
                <w:sz w:val="24"/>
                <w:szCs w:val="24"/>
              </w:rPr>
              <w:t>were less pronounced</w:t>
            </w:r>
            <w:proofErr w:type="gramEnd"/>
            <w:r>
              <w:rPr>
                <w:sz w:val="24"/>
                <w:szCs w:val="24"/>
              </w:rPr>
              <w:t>. This is despite the fact that both species are either obligatorily (</w:t>
            </w:r>
            <w:r>
              <w:rPr>
                <w:i/>
                <w:sz w:val="24"/>
                <w:szCs w:val="24"/>
              </w:rPr>
              <w:t xml:space="preserve">C. </w:t>
            </w:r>
            <w:proofErr w:type="spellStart"/>
            <w:r>
              <w:rPr>
                <w:i/>
                <w:sz w:val="24"/>
                <w:szCs w:val="24"/>
              </w:rPr>
              <w:t>vulpis</w:t>
            </w:r>
            <w:proofErr w:type="spellEnd"/>
            <w:r>
              <w:rPr>
                <w:sz w:val="24"/>
                <w:szCs w:val="24"/>
              </w:rPr>
              <w:t xml:space="preserve">) or </w:t>
            </w:r>
            <w:proofErr w:type="spellStart"/>
            <w:r>
              <w:rPr>
                <w:sz w:val="24"/>
                <w:szCs w:val="24"/>
              </w:rPr>
              <w:t>facultatively</w:t>
            </w:r>
            <w:proofErr w:type="spellEnd"/>
            <w:r>
              <w:rPr>
                <w:sz w:val="24"/>
                <w:szCs w:val="24"/>
              </w:rPr>
              <w:t xml:space="preserve"> (</w:t>
            </w:r>
            <w:r>
              <w:rPr>
                <w:i/>
                <w:sz w:val="24"/>
                <w:szCs w:val="24"/>
              </w:rPr>
              <w:t xml:space="preserve">T. </w:t>
            </w:r>
            <w:proofErr w:type="spellStart"/>
            <w:r>
              <w:rPr>
                <w:i/>
                <w:sz w:val="24"/>
                <w:szCs w:val="24"/>
              </w:rPr>
              <w:t>canis</w:t>
            </w:r>
            <w:proofErr w:type="spellEnd"/>
            <w:r>
              <w:rPr>
                <w:sz w:val="24"/>
                <w:szCs w:val="24"/>
              </w:rPr>
              <w:t xml:space="preserve">) transmitted </w:t>
            </w:r>
            <w:proofErr w:type="spellStart"/>
            <w:r>
              <w:rPr>
                <w:sz w:val="24"/>
                <w:szCs w:val="24"/>
              </w:rPr>
              <w:t>trophically</w:t>
            </w:r>
            <w:proofErr w:type="spellEnd"/>
            <w:r>
              <w:rPr>
                <w:sz w:val="24"/>
                <w:szCs w:val="24"/>
              </w:rPr>
              <w:t xml:space="preserve"> via intermediate or </w:t>
            </w:r>
            <w:proofErr w:type="spellStart"/>
            <w:r>
              <w:rPr>
                <w:sz w:val="24"/>
                <w:szCs w:val="24"/>
              </w:rPr>
              <w:t>paratenic</w:t>
            </w:r>
            <w:proofErr w:type="spellEnd"/>
            <w:r>
              <w:rPr>
                <w:sz w:val="24"/>
                <w:szCs w:val="24"/>
              </w:rPr>
              <w:t xml:space="preserve"> hosts, and have been reported to benefit from moist environmental conditions </w:t>
            </w:r>
            <w:hyperlink r:id="rId36">
              <w:r>
                <w:rPr>
                  <w:sz w:val="24"/>
                  <w:szCs w:val="24"/>
                </w:rPr>
                <w:t>(</w:t>
              </w:r>
              <w:proofErr w:type="spellStart"/>
              <w:r>
                <w:rPr>
                  <w:sz w:val="24"/>
                  <w:szCs w:val="24"/>
                </w:rPr>
                <w:t>Arcenillas</w:t>
              </w:r>
              <w:proofErr w:type="spellEnd"/>
              <w:r>
                <w:rPr>
                  <w:sz w:val="24"/>
                  <w:szCs w:val="24"/>
                </w:rPr>
                <w:t>-Hernández et al. 2022)</w:t>
              </w:r>
            </w:hyperlink>
            <w:r>
              <w:rPr>
                <w:sz w:val="24"/>
                <w:szCs w:val="24"/>
              </w:rPr>
              <w:t>. The species cause different diseases (</w:t>
            </w:r>
            <w:r>
              <w:rPr>
                <w:i/>
                <w:sz w:val="24"/>
                <w:szCs w:val="24"/>
              </w:rPr>
              <w:t>C.</w:t>
            </w:r>
            <w:r>
              <w:rPr>
                <w:i/>
                <w:sz w:val="24"/>
                <w:szCs w:val="24"/>
              </w:rPr>
              <w:softHyphen/>
              <w:t xml:space="preserve"> </w:t>
            </w:r>
            <w:proofErr w:type="spellStart"/>
            <w:r>
              <w:rPr>
                <w:i/>
                <w:sz w:val="24"/>
                <w:szCs w:val="24"/>
              </w:rPr>
              <w:t>vulpis</w:t>
            </w:r>
            <w:proofErr w:type="spellEnd"/>
            <w:r>
              <w:rPr>
                <w:sz w:val="24"/>
                <w:szCs w:val="24"/>
              </w:rPr>
              <w:t xml:space="preserve">: eosinophilic bronchitis, </w:t>
            </w:r>
            <w:r>
              <w:rPr>
                <w:i/>
                <w:sz w:val="24"/>
                <w:szCs w:val="24"/>
              </w:rPr>
              <w:t xml:space="preserve">T. </w:t>
            </w:r>
            <w:proofErr w:type="spellStart"/>
            <w:r>
              <w:rPr>
                <w:i/>
                <w:sz w:val="24"/>
                <w:szCs w:val="24"/>
              </w:rPr>
              <w:t>ca</w:t>
            </w:r>
            <w:r>
              <w:rPr>
                <w:i/>
                <w:sz w:val="24"/>
                <w:szCs w:val="24"/>
              </w:rPr>
              <w:t>nis</w:t>
            </w:r>
            <w:proofErr w:type="spellEnd"/>
            <w:r>
              <w:rPr>
                <w:sz w:val="24"/>
                <w:szCs w:val="24"/>
              </w:rPr>
              <w:t xml:space="preserve">: </w:t>
            </w:r>
            <w:proofErr w:type="spellStart"/>
            <w:r>
              <w:rPr>
                <w:sz w:val="24"/>
                <w:szCs w:val="24"/>
              </w:rPr>
              <w:t>toxocariasis</w:t>
            </w:r>
            <w:proofErr w:type="spellEnd"/>
            <w:r>
              <w:rPr>
                <w:sz w:val="24"/>
                <w:szCs w:val="24"/>
              </w:rPr>
              <w:t xml:space="preserve"> with multiple different symptoms and sites of infections). The differences in the disease caused by these makes it remarkable that they are similarly associated with reduced weight and male sex. </w:t>
            </w:r>
            <w:r>
              <w:rPr>
                <w:i/>
                <w:sz w:val="24"/>
                <w:szCs w:val="24"/>
              </w:rPr>
              <w:t xml:space="preserve">C. </w:t>
            </w:r>
            <w:proofErr w:type="spellStart"/>
            <w:r>
              <w:rPr>
                <w:i/>
                <w:sz w:val="24"/>
                <w:szCs w:val="24"/>
              </w:rPr>
              <w:t>vulpis</w:t>
            </w:r>
            <w:proofErr w:type="spellEnd"/>
            <w:r>
              <w:rPr>
                <w:sz w:val="24"/>
                <w:szCs w:val="24"/>
              </w:rPr>
              <w:t xml:space="preserve"> has been reported to cause coughi</w:t>
            </w:r>
            <w:r>
              <w:rPr>
                <w:sz w:val="24"/>
                <w:szCs w:val="24"/>
              </w:rPr>
              <w:t xml:space="preserve">ng in dogs </w:t>
            </w:r>
            <w:hyperlink r:id="rId37">
              <w:r>
                <w:rPr>
                  <w:sz w:val="24"/>
                  <w:szCs w:val="24"/>
                </w:rPr>
                <w:t>(</w:t>
              </w:r>
              <w:proofErr w:type="spellStart"/>
              <w:r>
                <w:rPr>
                  <w:sz w:val="24"/>
                  <w:szCs w:val="24"/>
                </w:rPr>
                <w:t>McGarry</w:t>
              </w:r>
              <w:proofErr w:type="spellEnd"/>
              <w:r>
                <w:rPr>
                  <w:sz w:val="24"/>
                  <w:szCs w:val="24"/>
                </w:rPr>
                <w:t xml:space="preserve"> et al. 1995)</w:t>
              </w:r>
            </w:hyperlink>
            <w:r>
              <w:rPr>
                <w:sz w:val="24"/>
                <w:szCs w:val="24"/>
              </w:rPr>
              <w:t xml:space="preserve"> and it seems possible that foxes suffer more pathology from these species than previously known, or that individuals in a physiologically weakened state caused b</w:t>
            </w:r>
            <w:r>
              <w:rPr>
                <w:sz w:val="24"/>
                <w:szCs w:val="24"/>
              </w:rPr>
              <w:t xml:space="preserve">y other </w:t>
            </w:r>
            <w:r>
              <w:rPr>
                <w:sz w:val="24"/>
                <w:szCs w:val="24"/>
              </w:rPr>
              <w:lastRenderedPageBreak/>
              <w:t xml:space="preserve">factors (unmeasured here) are more susceptible. This is noteworthy as </w:t>
            </w:r>
            <w:r>
              <w:rPr>
                <w:i/>
                <w:sz w:val="24"/>
                <w:szCs w:val="24"/>
              </w:rPr>
              <w:t xml:space="preserve">T. </w:t>
            </w:r>
            <w:proofErr w:type="spellStart"/>
            <w:r>
              <w:rPr>
                <w:i/>
                <w:sz w:val="24"/>
                <w:szCs w:val="24"/>
              </w:rPr>
              <w:t>canis</w:t>
            </w:r>
            <w:proofErr w:type="spellEnd"/>
            <w:r>
              <w:rPr>
                <w:sz w:val="24"/>
                <w:szCs w:val="24"/>
              </w:rPr>
              <w:t xml:space="preserve"> is an important zoonotic pathogen and </w:t>
            </w:r>
            <w:r>
              <w:rPr>
                <w:i/>
                <w:sz w:val="24"/>
                <w:szCs w:val="24"/>
              </w:rPr>
              <w:t xml:space="preserve">C. </w:t>
            </w:r>
            <w:proofErr w:type="spellStart"/>
            <w:r>
              <w:rPr>
                <w:i/>
                <w:sz w:val="24"/>
                <w:szCs w:val="24"/>
              </w:rPr>
              <w:t>vulpis</w:t>
            </w:r>
            <w:proofErr w:type="spellEnd"/>
            <w:r>
              <w:rPr>
                <w:sz w:val="24"/>
                <w:szCs w:val="24"/>
              </w:rPr>
              <w:t xml:space="preserve"> is more prevalent in the city, despite having a life cycle with trophic transmission via an invertebrate intermediate hos</w:t>
            </w:r>
            <w:r>
              <w:rPr>
                <w:sz w:val="24"/>
                <w:szCs w:val="24"/>
              </w:rPr>
              <w:t>t.</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Clonorchis</w:t>
            </w:r>
            <w:proofErr w:type="spellEnd"/>
            <w:r>
              <w:rPr>
                <w:sz w:val="24"/>
                <w:szCs w:val="24"/>
              </w:rPr>
              <w:t xml:space="preserve"> (13.5% prevalence)</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gramStart"/>
            <w:r>
              <w:rPr>
                <w:sz w:val="24"/>
                <w:szCs w:val="24"/>
              </w:rPr>
              <w:t>represents</w:t>
            </w:r>
            <w:proofErr w:type="gramEnd"/>
            <w:r>
              <w:rPr>
                <w:sz w:val="24"/>
                <w:szCs w:val="24"/>
              </w:rPr>
              <w:t xml:space="preserve"> a group of </w:t>
            </w:r>
            <w:proofErr w:type="spellStart"/>
            <w:r>
              <w:rPr>
                <w:sz w:val="24"/>
                <w:szCs w:val="24"/>
              </w:rPr>
              <w:t>opisthorchiid</w:t>
            </w:r>
            <w:proofErr w:type="spellEnd"/>
            <w:r>
              <w:rPr>
                <w:sz w:val="24"/>
                <w:szCs w:val="24"/>
              </w:rPr>
              <w:t xml:space="preserve"> flukes for which limited to no sequence data of related species is available for taxonomic annotation. The particular taxon we recorded is likely </w:t>
            </w:r>
            <w:proofErr w:type="spellStart"/>
            <w:r>
              <w:rPr>
                <w:i/>
                <w:sz w:val="24"/>
                <w:szCs w:val="24"/>
              </w:rPr>
              <w:t>Metorchis</w:t>
            </w:r>
            <w:proofErr w:type="spellEnd"/>
            <w:r>
              <w:rPr>
                <w:i/>
                <w:sz w:val="24"/>
                <w:szCs w:val="24"/>
              </w:rPr>
              <w:t xml:space="preserve"> </w:t>
            </w:r>
            <w:proofErr w:type="spellStart"/>
            <w:r>
              <w:rPr>
                <w:i/>
                <w:sz w:val="24"/>
                <w:szCs w:val="24"/>
              </w:rPr>
              <w:t>bilis</w:t>
            </w:r>
            <w:proofErr w:type="spellEnd"/>
            <w:r>
              <w:rPr>
                <w:sz w:val="24"/>
                <w:szCs w:val="24"/>
              </w:rPr>
              <w:t xml:space="preserve"> and </w:t>
            </w:r>
            <w:proofErr w:type="gramStart"/>
            <w:r>
              <w:rPr>
                <w:sz w:val="24"/>
                <w:szCs w:val="24"/>
              </w:rPr>
              <w:t>we also</w:t>
            </w:r>
            <w:proofErr w:type="gramEnd"/>
            <w:r>
              <w:rPr>
                <w:sz w:val="24"/>
                <w:szCs w:val="24"/>
              </w:rPr>
              <w:t xml:space="preserve"> detected </w:t>
            </w:r>
            <w:proofErr w:type="spellStart"/>
            <w:r>
              <w:rPr>
                <w:i/>
                <w:sz w:val="24"/>
                <w:szCs w:val="24"/>
              </w:rPr>
              <w:t>Oph</w:t>
            </w:r>
            <w:r>
              <w:rPr>
                <w:i/>
                <w:sz w:val="24"/>
                <w:szCs w:val="24"/>
              </w:rPr>
              <w:t>istoris</w:t>
            </w:r>
            <w:proofErr w:type="spellEnd"/>
            <w:r>
              <w:rPr>
                <w:i/>
                <w:sz w:val="24"/>
                <w:szCs w:val="24"/>
              </w:rPr>
              <w:t xml:space="preserve"> </w:t>
            </w:r>
            <w:proofErr w:type="spellStart"/>
            <w:r>
              <w:rPr>
                <w:i/>
                <w:sz w:val="24"/>
                <w:szCs w:val="24"/>
              </w:rPr>
              <w:t>felinus</w:t>
            </w:r>
            <w:proofErr w:type="spellEnd"/>
            <w:r>
              <w:rPr>
                <w:sz w:val="24"/>
                <w:szCs w:val="24"/>
              </w:rPr>
              <w:t xml:space="preserve"> (1.4% prevalence) as a second low prevalence taxon in the group. These taxa </w:t>
            </w:r>
            <w:proofErr w:type="gramStart"/>
            <w:r>
              <w:rPr>
                <w:sz w:val="24"/>
                <w:szCs w:val="24"/>
              </w:rPr>
              <w:t>have been reported</w:t>
            </w:r>
            <w:proofErr w:type="gramEnd"/>
            <w:r>
              <w:rPr>
                <w:sz w:val="24"/>
                <w:szCs w:val="24"/>
              </w:rPr>
              <w:t xml:space="preserve"> before from our sampling area and are associated with the availability of surface water </w:t>
            </w:r>
            <w:hyperlink r:id="rId38">
              <w:r>
                <w:rPr>
                  <w:sz w:val="24"/>
                  <w:szCs w:val="24"/>
                </w:rPr>
                <w:t>(Schuster et al. 1999)</w:t>
              </w:r>
            </w:hyperlink>
            <w:r>
              <w:rPr>
                <w:sz w:val="24"/>
                <w:szCs w:val="24"/>
              </w:rPr>
              <w:t>. We, however, did not detect any effect of environmental or host-intrinsic variables on these taxa.</w:t>
            </w:r>
          </w:p>
        </w:tc>
      </w:tr>
      <w:tr w:rsidR="008F3E4F">
        <w:tc>
          <w:tcPr>
            <w:tcW w:w="2115"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proofErr w:type="spellStart"/>
            <w:r>
              <w:rPr>
                <w:i/>
                <w:sz w:val="24"/>
                <w:szCs w:val="24"/>
              </w:rPr>
              <w:t>Trichinella</w:t>
            </w:r>
            <w:proofErr w:type="spellEnd"/>
            <w:r>
              <w:rPr>
                <w:i/>
                <w:sz w:val="24"/>
                <w:szCs w:val="24"/>
              </w:rPr>
              <w:t xml:space="preserve"> </w:t>
            </w:r>
            <w:proofErr w:type="spellStart"/>
            <w:r>
              <w:rPr>
                <w:i/>
                <w:sz w:val="24"/>
                <w:szCs w:val="24"/>
              </w:rPr>
              <w:t>spiralis</w:t>
            </w:r>
            <w:proofErr w:type="spellEnd"/>
            <w:r>
              <w:rPr>
                <w:sz w:val="24"/>
                <w:szCs w:val="24"/>
              </w:rPr>
              <w:t xml:space="preserve"> and </w:t>
            </w:r>
            <w:proofErr w:type="spellStart"/>
            <w:r>
              <w:rPr>
                <w:i/>
                <w:sz w:val="24"/>
                <w:szCs w:val="24"/>
              </w:rPr>
              <w:t>Echinococcus</w:t>
            </w:r>
            <w:proofErr w:type="spellEnd"/>
            <w:r>
              <w:rPr>
                <w:i/>
                <w:sz w:val="24"/>
                <w:szCs w:val="24"/>
              </w:rPr>
              <w:t xml:space="preserve"> </w:t>
            </w:r>
            <w:proofErr w:type="spellStart"/>
            <w:r>
              <w:rPr>
                <w:i/>
                <w:sz w:val="24"/>
                <w:szCs w:val="24"/>
              </w:rPr>
              <w:t>multilocularis</w:t>
            </w:r>
            <w:proofErr w:type="spellEnd"/>
          </w:p>
          <w:p w:rsidR="008F3E4F" w:rsidRDefault="000C5CE9">
            <w:pPr>
              <w:spacing w:before="240" w:line="480" w:lineRule="auto"/>
              <w:jc w:val="both"/>
              <w:rPr>
                <w:sz w:val="24"/>
                <w:szCs w:val="24"/>
              </w:rPr>
            </w:pPr>
            <w:r>
              <w:rPr>
                <w:sz w:val="24"/>
                <w:szCs w:val="24"/>
              </w:rPr>
              <w:t>NOT DETECTED</w:t>
            </w:r>
          </w:p>
        </w:tc>
        <w:tc>
          <w:tcPr>
            <w:tcW w:w="7244" w:type="dxa"/>
            <w:tcBorders>
              <w:top w:val="single" w:sz="8" w:space="0" w:color="000000"/>
              <w:left w:val="single" w:sz="8" w:space="0" w:color="000000"/>
              <w:bottom w:val="single" w:sz="8" w:space="0" w:color="000000"/>
              <w:right w:val="single" w:sz="8" w:space="0" w:color="000000"/>
            </w:tcBorders>
          </w:tcPr>
          <w:p w:rsidR="008F3E4F" w:rsidRDefault="000C5CE9">
            <w:pPr>
              <w:spacing w:before="240" w:line="480" w:lineRule="auto"/>
              <w:jc w:val="both"/>
            </w:pPr>
            <w:r>
              <w:rPr>
                <w:sz w:val="24"/>
                <w:szCs w:val="24"/>
              </w:rPr>
              <w:t>Although common for red foxes in other studies, these species</w:t>
            </w:r>
            <w:r>
              <w:rPr>
                <w:sz w:val="24"/>
                <w:szCs w:val="24"/>
              </w:rPr>
              <w:t xml:space="preserve"> </w:t>
            </w:r>
            <w:proofErr w:type="gramStart"/>
            <w:r>
              <w:rPr>
                <w:sz w:val="24"/>
                <w:szCs w:val="24"/>
              </w:rPr>
              <w:t>were not detected</w:t>
            </w:r>
            <w:proofErr w:type="gramEnd"/>
            <w:r>
              <w:rPr>
                <w:sz w:val="24"/>
                <w:szCs w:val="24"/>
              </w:rPr>
              <w:t xml:space="preserve"> in any sample. While we cannot exclude a false negative, we know that many of our primer pairs should bind the 18S and amplify fragments of the gene in both parasites (primer sequences match those of the taxa in databases). Infestation w</w:t>
            </w:r>
            <w:r>
              <w:rPr>
                <w:sz w:val="24"/>
                <w:szCs w:val="24"/>
              </w:rPr>
              <w:t xml:space="preserve">ith </w:t>
            </w:r>
            <w:r>
              <w:rPr>
                <w:i/>
                <w:sz w:val="24"/>
                <w:szCs w:val="24"/>
              </w:rPr>
              <w:t xml:space="preserve">E. </w:t>
            </w:r>
            <w:proofErr w:type="spellStart"/>
            <w:r>
              <w:rPr>
                <w:i/>
                <w:sz w:val="24"/>
                <w:szCs w:val="24"/>
              </w:rPr>
              <w:t>mulitlocularis</w:t>
            </w:r>
            <w:proofErr w:type="spellEnd"/>
            <w:r>
              <w:rPr>
                <w:sz w:val="24"/>
                <w:szCs w:val="24"/>
              </w:rPr>
              <w:t xml:space="preserve"> varies greatly from region to region. For example, </w:t>
            </w:r>
            <w:r>
              <w:rPr>
                <w:i/>
                <w:sz w:val="24"/>
                <w:szCs w:val="24"/>
              </w:rPr>
              <w:t xml:space="preserve">E. </w:t>
            </w:r>
            <w:proofErr w:type="spellStart"/>
            <w:r>
              <w:rPr>
                <w:i/>
                <w:sz w:val="24"/>
                <w:szCs w:val="24"/>
              </w:rPr>
              <w:t>multilocularis</w:t>
            </w:r>
            <w:proofErr w:type="spellEnd"/>
            <w:r>
              <w:rPr>
                <w:sz w:val="24"/>
                <w:szCs w:val="24"/>
              </w:rPr>
              <w:t xml:space="preserve"> </w:t>
            </w:r>
            <w:proofErr w:type="gramStart"/>
            <w:r>
              <w:rPr>
                <w:sz w:val="24"/>
                <w:szCs w:val="24"/>
              </w:rPr>
              <w:t>was found</w:t>
            </w:r>
            <w:proofErr w:type="gramEnd"/>
            <w:r>
              <w:rPr>
                <w:sz w:val="24"/>
                <w:szCs w:val="24"/>
              </w:rPr>
              <w:t xml:space="preserve"> in ~20% of red fox samples tested in Belgium (</w:t>
            </w:r>
            <w:proofErr w:type="spellStart"/>
            <w:r>
              <w:rPr>
                <w:sz w:val="24"/>
                <w:szCs w:val="24"/>
              </w:rPr>
              <w:t>Losson</w:t>
            </w:r>
            <w:proofErr w:type="spellEnd"/>
            <w:r>
              <w:rPr>
                <w:sz w:val="24"/>
                <w:szCs w:val="24"/>
              </w:rPr>
              <w:t xml:space="preserve"> et al. 2003) and ~30% of foxes in the Slovak </w:t>
            </w:r>
            <w:r>
              <w:rPr>
                <w:sz w:val="24"/>
                <w:szCs w:val="24"/>
              </w:rPr>
              <w:lastRenderedPageBreak/>
              <w:t>Republic (</w:t>
            </w:r>
            <w:proofErr w:type="spellStart"/>
            <w:r>
              <w:rPr>
                <w:sz w:val="24"/>
                <w:szCs w:val="24"/>
              </w:rPr>
              <w:t>Miterpáková</w:t>
            </w:r>
            <w:proofErr w:type="spellEnd"/>
            <w:r>
              <w:rPr>
                <w:sz w:val="24"/>
                <w:szCs w:val="24"/>
              </w:rPr>
              <w:t xml:space="preserve"> et al. 2009). In its core epidemic </w:t>
            </w:r>
            <w:r>
              <w:rPr>
                <w:sz w:val="24"/>
                <w:szCs w:val="24"/>
              </w:rPr>
              <w:t>area (Switzerland)</w:t>
            </w:r>
            <w:r>
              <w:rPr>
                <w:i/>
                <w:sz w:val="24"/>
                <w:szCs w:val="24"/>
              </w:rPr>
              <w:t xml:space="preserve"> E. </w:t>
            </w:r>
            <w:proofErr w:type="spellStart"/>
            <w:r>
              <w:rPr>
                <w:i/>
                <w:sz w:val="24"/>
                <w:szCs w:val="24"/>
              </w:rPr>
              <w:t>multilocularis</w:t>
            </w:r>
            <w:proofErr w:type="spellEnd"/>
            <w:r>
              <w:rPr>
                <w:sz w:val="24"/>
                <w:szCs w:val="24"/>
              </w:rPr>
              <w:t xml:space="preserve"> is even more prevalent, commonly found in ~50% of foxes (Fischer et al. 2005; Hofer et al. 2000; </w:t>
            </w:r>
            <w:proofErr w:type="spellStart"/>
            <w:r>
              <w:rPr>
                <w:sz w:val="24"/>
                <w:szCs w:val="24"/>
              </w:rPr>
              <w:t>Deplazes</w:t>
            </w:r>
            <w:proofErr w:type="spellEnd"/>
            <w:r>
              <w:rPr>
                <w:sz w:val="24"/>
                <w:szCs w:val="24"/>
              </w:rPr>
              <w:t xml:space="preserve"> et al. 2004), but it is not found in the UK (Richards, Harris, and Lewis 1995; </w:t>
            </w:r>
            <w:proofErr w:type="spellStart"/>
            <w:r>
              <w:rPr>
                <w:sz w:val="24"/>
                <w:szCs w:val="24"/>
              </w:rPr>
              <w:t>Gecchele</w:t>
            </w:r>
            <w:proofErr w:type="spellEnd"/>
            <w:r>
              <w:rPr>
                <w:sz w:val="24"/>
                <w:szCs w:val="24"/>
              </w:rPr>
              <w:t>, Pedersen, and Bell 2020). In foxes from a region overlapping</w:t>
            </w:r>
            <w:r>
              <w:rPr>
                <w:sz w:val="24"/>
                <w:szCs w:val="24"/>
              </w:rPr>
              <w:t xml:space="preserve"> with our study area in rural Brandenburg, a prevalence of ~13% has been </w:t>
            </w:r>
            <w:proofErr w:type="gramStart"/>
            <w:r>
              <w:rPr>
                <w:sz w:val="24"/>
                <w:szCs w:val="24"/>
              </w:rPr>
              <w:t>recorded  (</w:t>
            </w:r>
            <w:proofErr w:type="spellStart"/>
            <w:proofErr w:type="gramEnd"/>
            <w:r>
              <w:rPr>
                <w:sz w:val="24"/>
                <w:szCs w:val="24"/>
              </w:rPr>
              <w:t>Herzig</w:t>
            </w:r>
            <w:proofErr w:type="spellEnd"/>
            <w:r>
              <w:rPr>
                <w:sz w:val="24"/>
                <w:szCs w:val="24"/>
              </w:rPr>
              <w:t xml:space="preserve"> et al. 2021), while only a single </w:t>
            </w:r>
            <w:r>
              <w:rPr>
                <w:i/>
                <w:sz w:val="24"/>
                <w:szCs w:val="24"/>
              </w:rPr>
              <w:t xml:space="preserve">E. </w:t>
            </w:r>
            <w:proofErr w:type="spellStart"/>
            <w:r>
              <w:rPr>
                <w:i/>
                <w:sz w:val="24"/>
                <w:szCs w:val="24"/>
              </w:rPr>
              <w:t>multilocularis</w:t>
            </w:r>
            <w:proofErr w:type="spellEnd"/>
            <w:r>
              <w:rPr>
                <w:sz w:val="24"/>
                <w:szCs w:val="24"/>
              </w:rPr>
              <w:t xml:space="preserve"> infection in 2303 foxes from Berlin was found since 2013 (unpublished C. Schulze). These results were obtained wi</w:t>
            </w:r>
            <w:r>
              <w:rPr>
                <w:sz w:val="24"/>
                <w:szCs w:val="24"/>
              </w:rPr>
              <w:t xml:space="preserve">th a specialised, highly sensitive technique for the detection of </w:t>
            </w:r>
            <w:r>
              <w:rPr>
                <w:i/>
                <w:sz w:val="24"/>
                <w:szCs w:val="24"/>
              </w:rPr>
              <w:t xml:space="preserve">E. </w:t>
            </w:r>
            <w:proofErr w:type="spellStart"/>
            <w:r>
              <w:rPr>
                <w:i/>
                <w:sz w:val="24"/>
                <w:szCs w:val="24"/>
              </w:rPr>
              <w:t>multilocularis</w:t>
            </w:r>
            <w:proofErr w:type="spellEnd"/>
            <w:r>
              <w:rPr>
                <w:sz w:val="24"/>
                <w:szCs w:val="24"/>
              </w:rPr>
              <w:t xml:space="preserve"> (</w:t>
            </w:r>
            <w:proofErr w:type="spellStart"/>
            <w:r>
              <w:rPr>
                <w:sz w:val="24"/>
                <w:szCs w:val="24"/>
              </w:rPr>
              <w:t>Tackmann</w:t>
            </w:r>
            <w:proofErr w:type="spellEnd"/>
            <w:r>
              <w:rPr>
                <w:sz w:val="24"/>
                <w:szCs w:val="24"/>
              </w:rPr>
              <w:t xml:space="preserve">, </w:t>
            </w:r>
            <w:proofErr w:type="spellStart"/>
            <w:r>
              <w:rPr>
                <w:sz w:val="24"/>
                <w:szCs w:val="24"/>
              </w:rPr>
              <w:t>Mattis</w:t>
            </w:r>
            <w:proofErr w:type="spellEnd"/>
            <w:r>
              <w:rPr>
                <w:sz w:val="24"/>
                <w:szCs w:val="24"/>
              </w:rPr>
              <w:t xml:space="preserve">, and </w:t>
            </w:r>
            <w:proofErr w:type="spellStart"/>
            <w:r>
              <w:rPr>
                <w:sz w:val="24"/>
                <w:szCs w:val="24"/>
              </w:rPr>
              <w:t>Conraths</w:t>
            </w:r>
            <w:proofErr w:type="spellEnd"/>
            <w:r>
              <w:rPr>
                <w:sz w:val="24"/>
                <w:szCs w:val="24"/>
              </w:rPr>
              <w:t xml:space="preserve"> 2006), while our sequencing assay is not specifically validated for these parasites. Because of the high variation in occurrence of the zoon</w:t>
            </w:r>
            <w:r>
              <w:rPr>
                <w:sz w:val="24"/>
                <w:szCs w:val="24"/>
              </w:rPr>
              <w:t xml:space="preserve">otic </w:t>
            </w:r>
            <w:r>
              <w:rPr>
                <w:i/>
                <w:sz w:val="24"/>
                <w:szCs w:val="24"/>
              </w:rPr>
              <w:t xml:space="preserve">E. </w:t>
            </w:r>
            <w:proofErr w:type="spellStart"/>
            <w:r>
              <w:rPr>
                <w:i/>
                <w:sz w:val="24"/>
                <w:szCs w:val="24"/>
              </w:rPr>
              <w:t>multilocularis</w:t>
            </w:r>
            <w:proofErr w:type="spellEnd"/>
            <w:r>
              <w:rPr>
                <w:sz w:val="24"/>
                <w:szCs w:val="24"/>
              </w:rPr>
              <w:t xml:space="preserve"> and our, in principle, sensitive but not specifically validated molecular detection, our findings should be interpreted with caution regarding the prevalence of the parasite in the northeast of Germany. Similarly, for </w:t>
            </w:r>
            <w:r>
              <w:rPr>
                <w:i/>
                <w:sz w:val="24"/>
                <w:szCs w:val="24"/>
              </w:rPr>
              <w:t xml:space="preserve">T. </w:t>
            </w:r>
            <w:proofErr w:type="spellStart"/>
            <w:r>
              <w:rPr>
                <w:i/>
                <w:sz w:val="24"/>
                <w:szCs w:val="24"/>
              </w:rPr>
              <w:t>spiralis</w:t>
            </w:r>
            <w:proofErr w:type="spellEnd"/>
            <w:r>
              <w:rPr>
                <w:sz w:val="24"/>
                <w:szCs w:val="24"/>
              </w:rPr>
              <w:t xml:space="preserve"> or </w:t>
            </w:r>
            <w:r>
              <w:rPr>
                <w:sz w:val="24"/>
                <w:szCs w:val="24"/>
              </w:rPr>
              <w:t>any other parasite, we empathise that failure of detection in our assay does not constitute evidence for absence.</w:t>
            </w:r>
          </w:p>
        </w:tc>
      </w:tr>
    </w:tbl>
    <w:p w:rsidR="008F3E4F" w:rsidRDefault="008F3E4F">
      <w:pPr>
        <w:spacing w:before="240" w:line="480" w:lineRule="auto"/>
        <w:jc w:val="both"/>
      </w:pPr>
    </w:p>
    <w:sectPr w:rsidR="008F3E4F" w:rsidSect="000C5CE9">
      <w:pgSz w:w="12240" w:h="15840"/>
      <w:pgMar w:top="1440" w:right="1440" w:bottom="1440" w:left="1440" w:header="0" w:footer="0" w:gutter="0"/>
      <w:pgNumType w:start="1"/>
      <w:cols w:space="720"/>
      <w:formProt w:val="0"/>
      <w:docGrid w:linePitch="299" w:charSpace="819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Liberation Sans">
    <w:altName w:val="Arial"/>
    <w:charset w:val="01"/>
    <w:family w:val="roman"/>
    <w:pitch w:val="variable"/>
  </w:font>
  <w:font w:name="Linux Libertine G">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3E4F"/>
    <w:rsid w:val="000C5CE9"/>
    <w:rsid w:val="008F3E4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F93871"/>
  <w15:docId w15:val="{2238CC3B-DB58-469F-818D-51B5622924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GB" w:eastAsia="zh-CN" w:bidi="hi-IN"/>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spacing w:line="276" w:lineRule="auto"/>
    </w:pPr>
  </w:style>
  <w:style w:type="paragraph" w:styleId="Heading1">
    <w:name w:val="heading 1"/>
    <w:basedOn w:val="LO-normal"/>
    <w:next w:val="Normal"/>
    <w:qFormat/>
    <w:pPr>
      <w:keepNext/>
      <w:keepLines/>
      <w:spacing w:before="400" w:after="120"/>
      <w:outlineLvl w:val="0"/>
    </w:pPr>
    <w:rPr>
      <w:sz w:val="40"/>
      <w:szCs w:val="40"/>
    </w:rPr>
  </w:style>
  <w:style w:type="paragraph" w:styleId="Heading2">
    <w:name w:val="heading 2"/>
    <w:basedOn w:val="LO-normal"/>
    <w:next w:val="Normal"/>
    <w:qFormat/>
    <w:pPr>
      <w:keepNext/>
      <w:keepLines/>
      <w:spacing w:before="360" w:after="120"/>
      <w:outlineLvl w:val="1"/>
    </w:pPr>
    <w:rPr>
      <w:sz w:val="32"/>
      <w:szCs w:val="32"/>
    </w:rPr>
  </w:style>
  <w:style w:type="paragraph" w:styleId="Heading3">
    <w:name w:val="heading 3"/>
    <w:basedOn w:val="LO-normal"/>
    <w:next w:val="Normal"/>
    <w:qFormat/>
    <w:pPr>
      <w:keepNext/>
      <w:keepLines/>
      <w:spacing w:before="320" w:after="80"/>
      <w:outlineLvl w:val="2"/>
    </w:pPr>
    <w:rPr>
      <w:color w:val="434343"/>
      <w:sz w:val="28"/>
      <w:szCs w:val="28"/>
    </w:rPr>
  </w:style>
  <w:style w:type="paragraph" w:styleId="Heading4">
    <w:name w:val="heading 4"/>
    <w:basedOn w:val="LO-normal"/>
    <w:next w:val="Normal"/>
    <w:qFormat/>
    <w:pPr>
      <w:keepNext/>
      <w:keepLines/>
      <w:spacing w:before="280" w:after="80"/>
      <w:outlineLvl w:val="3"/>
    </w:pPr>
    <w:rPr>
      <w:color w:val="666666"/>
      <w:sz w:val="24"/>
      <w:szCs w:val="24"/>
    </w:rPr>
  </w:style>
  <w:style w:type="paragraph" w:styleId="Heading5">
    <w:name w:val="heading 5"/>
    <w:basedOn w:val="LO-normal"/>
    <w:next w:val="Normal"/>
    <w:qFormat/>
    <w:pPr>
      <w:keepNext/>
      <w:keepLines/>
      <w:spacing w:before="240" w:after="80"/>
      <w:outlineLvl w:val="4"/>
    </w:pPr>
    <w:rPr>
      <w:color w:val="666666"/>
    </w:rPr>
  </w:style>
  <w:style w:type="paragraph" w:styleId="Heading6">
    <w:name w:val="heading 6"/>
    <w:basedOn w:val="LO-normal"/>
    <w:next w:val="Normal"/>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80"/>
      <w:u w:val="single"/>
    </w:rPr>
  </w:style>
  <w:style w:type="character" w:customStyle="1" w:styleId="LineNumbering">
    <w:name w:val="Line Numbering"/>
  </w:style>
  <w:style w:type="character" w:customStyle="1" w:styleId="BalloonTextChar">
    <w:name w:val="Balloon Text Char"/>
    <w:basedOn w:val="DefaultParagraphFont"/>
    <w:link w:val="BalloonText"/>
    <w:uiPriority w:val="99"/>
    <w:semiHidden/>
    <w:qFormat/>
    <w:rsid w:val="007A28E9"/>
    <w:rPr>
      <w:rFonts w:ascii="Segoe UI" w:hAnsi="Segoe UI" w:cs="Mangal"/>
      <w:sz w:val="18"/>
      <w:szCs w:val="16"/>
    </w:rPr>
  </w:style>
  <w:style w:type="character" w:styleId="LineNumber">
    <w:name w:val="line number"/>
    <w:basedOn w:val="DefaultParagraphFont"/>
    <w:uiPriority w:val="99"/>
    <w:semiHidden/>
    <w:unhideWhenUsed/>
    <w:qFormat/>
    <w:rsid w:val="007A28E9"/>
  </w:style>
  <w:style w:type="character" w:styleId="CommentReference">
    <w:name w:val="annotation reference"/>
    <w:basedOn w:val="DefaultParagraphFont"/>
    <w:uiPriority w:val="99"/>
    <w:semiHidden/>
    <w:unhideWhenUsed/>
    <w:qFormat/>
    <w:rsid w:val="007A28E9"/>
    <w:rPr>
      <w:sz w:val="16"/>
      <w:szCs w:val="16"/>
    </w:rPr>
  </w:style>
  <w:style w:type="character" w:customStyle="1" w:styleId="CommentTextChar">
    <w:name w:val="Comment Text Char"/>
    <w:basedOn w:val="DefaultParagraphFont"/>
    <w:link w:val="CommentText"/>
    <w:uiPriority w:val="99"/>
    <w:semiHidden/>
    <w:qFormat/>
    <w:rsid w:val="007A28E9"/>
    <w:rPr>
      <w:rFonts w:cs="Mangal"/>
      <w:sz w:val="20"/>
      <w:szCs w:val="18"/>
    </w:rPr>
  </w:style>
  <w:style w:type="character" w:customStyle="1" w:styleId="CommentSubjectChar">
    <w:name w:val="Comment Subject Char"/>
    <w:basedOn w:val="CommentTextChar"/>
    <w:link w:val="CommentSubject"/>
    <w:uiPriority w:val="99"/>
    <w:semiHidden/>
    <w:qFormat/>
    <w:rsid w:val="007A28E9"/>
    <w:rPr>
      <w:rFonts w:cs="Mangal"/>
      <w:b/>
      <w:bCs/>
      <w:sz w:val="20"/>
      <w:szCs w:val="18"/>
    </w:rPr>
  </w:style>
  <w:style w:type="paragraph" w:customStyle="1" w:styleId="Heading">
    <w:name w:val="Heading"/>
    <w:basedOn w:val="Normal"/>
    <w:next w:val="BodyText"/>
    <w:qFormat/>
    <w:pPr>
      <w:keepNext/>
      <w:spacing w:before="240" w:after="120"/>
    </w:pPr>
    <w:rPr>
      <w:rFonts w:ascii="Liberation Sans" w:eastAsia="Linux Libertine G" w:hAnsi="Liberation Sans" w:cs="Linux Libertine G"/>
      <w:sz w:val="28"/>
      <w:szCs w:val="28"/>
    </w:rPr>
  </w:style>
  <w:style w:type="paragraph" w:styleId="BodyText">
    <w:name w:val="Body Text"/>
    <w:basedOn w:val="Normal"/>
    <w:pPr>
      <w:spacing w:after="140"/>
    </w:pPr>
  </w:style>
  <w:style w:type="paragraph" w:styleId="List">
    <w:name w:val="List"/>
    <w:basedOn w:val="BodyText"/>
  </w:style>
  <w:style w:type="paragraph" w:styleId="Caption">
    <w:name w:val="caption"/>
    <w:basedOn w:val="Normal"/>
    <w:qFormat/>
    <w:pPr>
      <w:suppressLineNumbers/>
      <w:spacing w:before="120" w:after="120"/>
    </w:pPr>
    <w:rPr>
      <w:i/>
      <w:iCs/>
      <w:sz w:val="24"/>
      <w:szCs w:val="24"/>
    </w:rPr>
  </w:style>
  <w:style w:type="paragraph" w:customStyle="1" w:styleId="Index">
    <w:name w:val="Index"/>
    <w:basedOn w:val="Normal"/>
    <w:qFormat/>
    <w:pPr>
      <w:suppressLineNumbers/>
    </w:pPr>
  </w:style>
  <w:style w:type="paragraph" w:customStyle="1" w:styleId="LO-normal">
    <w:name w:val="LO-normal"/>
    <w:qFormat/>
  </w:style>
  <w:style w:type="paragraph" w:styleId="Title">
    <w:name w:val="Title"/>
    <w:basedOn w:val="LO-normal"/>
    <w:next w:val="Normal"/>
    <w:qFormat/>
    <w:pPr>
      <w:keepNext/>
      <w:keepLines/>
      <w:spacing w:after="60"/>
    </w:pPr>
    <w:rPr>
      <w:sz w:val="52"/>
      <w:szCs w:val="52"/>
    </w:rPr>
  </w:style>
  <w:style w:type="paragraph" w:styleId="Subtitle">
    <w:name w:val="Subtitle"/>
    <w:basedOn w:val="LO-normal"/>
    <w:next w:val="Normal"/>
    <w:qFormat/>
    <w:pPr>
      <w:keepNext/>
      <w:keepLines/>
      <w:spacing w:after="320"/>
    </w:pPr>
    <w:rPr>
      <w:color w:val="666666"/>
      <w:sz w:val="30"/>
      <w:szCs w:val="30"/>
    </w:rPr>
  </w:style>
  <w:style w:type="paragraph" w:customStyle="1" w:styleId="HeaderandFooter">
    <w:name w:val="Header and Footer"/>
    <w:basedOn w:val="Normal"/>
    <w:qFormat/>
    <w:pPr>
      <w:suppressLineNumbers/>
      <w:tabs>
        <w:tab w:val="center" w:pos="4819"/>
        <w:tab w:val="right" w:pos="9638"/>
      </w:tabs>
    </w:pPr>
  </w:style>
  <w:style w:type="paragraph" w:styleId="Header">
    <w:name w:val="header"/>
    <w:basedOn w:val="Normal"/>
    <w:pPr>
      <w:suppressLineNumbers/>
    </w:pPr>
  </w:style>
  <w:style w:type="paragraph" w:customStyle="1" w:styleId="TableContents">
    <w:name w:val="Table Contents"/>
    <w:basedOn w:val="Normal"/>
    <w:qFormat/>
    <w:pPr>
      <w:suppressLineNumbers/>
    </w:pPr>
  </w:style>
  <w:style w:type="paragraph" w:styleId="Footer">
    <w:name w:val="footer"/>
    <w:basedOn w:val="HeaderandFooter"/>
    <w:pPr>
      <w:tabs>
        <w:tab w:val="clear" w:pos="4819"/>
        <w:tab w:val="clear" w:pos="9638"/>
        <w:tab w:val="center" w:pos="4680"/>
        <w:tab w:val="right" w:pos="9360"/>
      </w:tabs>
    </w:pPr>
  </w:style>
  <w:style w:type="paragraph" w:customStyle="1" w:styleId="Bibliography1">
    <w:name w:val="Bibliography 1"/>
    <w:basedOn w:val="Index"/>
    <w:qFormat/>
    <w:pPr>
      <w:spacing w:line="480" w:lineRule="atLeast"/>
      <w:ind w:left="720" w:hanging="720"/>
    </w:pPr>
  </w:style>
  <w:style w:type="paragraph" w:customStyle="1" w:styleId="TableHeading">
    <w:name w:val="Table Heading"/>
    <w:basedOn w:val="TableContents"/>
    <w:qFormat/>
    <w:pPr>
      <w:jc w:val="center"/>
    </w:pPr>
    <w:rPr>
      <w:b/>
      <w:bCs/>
    </w:rPr>
  </w:style>
  <w:style w:type="paragraph" w:styleId="BalloonText">
    <w:name w:val="Balloon Text"/>
    <w:basedOn w:val="Normal"/>
    <w:link w:val="BalloonTextChar"/>
    <w:uiPriority w:val="99"/>
    <w:semiHidden/>
    <w:unhideWhenUsed/>
    <w:qFormat/>
    <w:rsid w:val="007A28E9"/>
    <w:pPr>
      <w:spacing w:line="240" w:lineRule="auto"/>
    </w:pPr>
    <w:rPr>
      <w:rFonts w:ascii="Segoe UI" w:hAnsi="Segoe UI" w:cs="Mangal"/>
      <w:sz w:val="18"/>
      <w:szCs w:val="16"/>
    </w:rPr>
  </w:style>
  <w:style w:type="paragraph" w:styleId="CommentText">
    <w:name w:val="annotation text"/>
    <w:basedOn w:val="Normal"/>
    <w:link w:val="CommentTextChar"/>
    <w:uiPriority w:val="99"/>
    <w:semiHidden/>
    <w:unhideWhenUsed/>
    <w:qFormat/>
    <w:rsid w:val="007A28E9"/>
    <w:pPr>
      <w:spacing w:line="240" w:lineRule="auto"/>
    </w:pPr>
    <w:rPr>
      <w:rFonts w:cs="Mangal"/>
      <w:sz w:val="20"/>
      <w:szCs w:val="18"/>
    </w:rPr>
  </w:style>
  <w:style w:type="paragraph" w:styleId="CommentSubject">
    <w:name w:val="annotation subject"/>
    <w:basedOn w:val="CommentText"/>
    <w:next w:val="CommentText"/>
    <w:link w:val="CommentSubjectChar"/>
    <w:uiPriority w:val="99"/>
    <w:semiHidden/>
    <w:unhideWhenUsed/>
    <w:qFormat/>
    <w:rsid w:val="007A28E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5.png"/><Relationship Id="rId39" Type="http://schemas.openxmlformats.org/officeDocument/2006/relationships/fontTable" Target="fontTable.xml"/><Relationship Id="rId3" Type="http://schemas.openxmlformats.org/officeDocument/2006/relationships/webSettings" Target="webSettings.xml"/><Relationship Id="rId34" Type="http://schemas.openxmlformats.org/officeDocument/2006/relationships/hyperlink" Target="https://www.zotero.org/google-docs/?GI0Ixi" TargetMode="External"/><Relationship Id="rId7" Type="http://schemas.openxmlformats.org/officeDocument/2006/relationships/image" Target="media/image4.png"/><Relationship Id="rId12" Type="http://schemas.openxmlformats.org/officeDocument/2006/relationships/hyperlink" Target="https://www.zotero.org/google-docs/?AhWijK" TargetMode="External"/><Relationship Id="rId33" Type="http://schemas.openxmlformats.org/officeDocument/2006/relationships/hyperlink" Target="https://www.zotero.org/google-docs/?O6798o" TargetMode="External"/><Relationship Id="rId38" Type="http://schemas.openxmlformats.org/officeDocument/2006/relationships/hyperlink" Target="https://www.zotero.org/google-docs/?2Yviv8" TargetMode="External"/><Relationship Id="rId2" Type="http://schemas.openxmlformats.org/officeDocument/2006/relationships/settings" Target="settings.xml"/><Relationship Id="rId29" Type="http://schemas.openxmlformats.org/officeDocument/2006/relationships/hyperlink" Target="https://www.zotero.org/google-docs/?iivSC9" TargetMode="Externa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hyperlink" Target="https://www.zotero.org/google-docs/?Ecq6f4" TargetMode="External"/><Relationship Id="rId32" Type="http://schemas.openxmlformats.org/officeDocument/2006/relationships/hyperlink" Target="https://www.zotero.org/google-docs/?EWS4DQ" TargetMode="External"/><Relationship Id="rId37" Type="http://schemas.openxmlformats.org/officeDocument/2006/relationships/hyperlink" Target="https://www.zotero.org/google-docs/?oZSrXT" TargetMode="External"/><Relationship Id="rId40" Type="http://schemas.openxmlformats.org/officeDocument/2006/relationships/theme" Target="theme/theme1.xml"/><Relationship Id="rId5" Type="http://schemas.openxmlformats.org/officeDocument/2006/relationships/image" Target="media/image2.png"/><Relationship Id="rId28" Type="http://schemas.openxmlformats.org/officeDocument/2006/relationships/hyperlink" Target="https://www.zotero.org/google-docs/?OPGl26" TargetMode="External"/><Relationship Id="rId36" Type="http://schemas.openxmlformats.org/officeDocument/2006/relationships/hyperlink" Target="https://www.zotero.org/google-docs/?vrxmiB" TargetMode="External"/><Relationship Id="rId10" Type="http://schemas.openxmlformats.org/officeDocument/2006/relationships/hyperlink" Target="https://www.zotero.org/google-docs/?mi28j8" TargetMode="External"/><Relationship Id="rId31" Type="http://schemas.openxmlformats.org/officeDocument/2006/relationships/hyperlink" Target="https://www.zotero.org/google-docs/?K0NdnL" TargetMode="External"/><Relationship Id="rId4" Type="http://schemas.openxmlformats.org/officeDocument/2006/relationships/image" Target="media/image1.png"/><Relationship Id="rId9" Type="http://schemas.openxmlformats.org/officeDocument/2006/relationships/image" Target="media/image6.png"/><Relationship Id="rId27" Type="http://schemas.openxmlformats.org/officeDocument/2006/relationships/image" Target="media/image16.png"/><Relationship Id="rId30" Type="http://schemas.openxmlformats.org/officeDocument/2006/relationships/hyperlink" Target="https://www.zotero.org/google-docs/?2ctC2h" TargetMode="External"/><Relationship Id="rId35" Type="http://schemas.openxmlformats.org/officeDocument/2006/relationships/hyperlink" Target="https://www.zotero.org/google-docs/?JDW8D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12</Pages>
  <Words>1657</Words>
  <Characters>9446</Characters>
  <Application>Microsoft Office Word</Application>
  <DocSecurity>0</DocSecurity>
  <Lines>78</Lines>
  <Paragraphs>22</Paragraphs>
  <ScaleCrop>false</ScaleCrop>
  <Company/>
  <LinksUpToDate>false</LinksUpToDate>
  <CharactersWithSpaces>11081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dc:creator>
  <dc:description/>
  <cp:lastModifiedBy>Melodie Carcueva</cp:lastModifiedBy>
  <cp:revision>7</cp:revision>
  <dcterms:created xsi:type="dcterms:W3CDTF">2024-04-12T07:52:00Z</dcterms:created>
  <dcterms:modified xsi:type="dcterms:W3CDTF">2024-05-23T20:38:00Z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zotero-version="6.0.27"&gt;&lt;session id="UL7CXddp"/&gt;&lt;style id="http://www.zotero.org/styles/apa" locale="en-US" hasBibliography="1" bibliographyStyleHasBeenSet="1"/&gt;&lt;prefs&gt;&lt;pref name="fieldType" value="ReferenceMark"/&gt;&lt;pref name="automa</vt:lpwstr>
  </property>
  <property fmtid="{D5CDD505-2E9C-101B-9397-08002B2CF9AE}" pid="3" name="ZOTERO_PREF_2">
    <vt:lpwstr>ticJournalAbbreviations" value="true"/&gt;&lt;/prefs&gt;&lt;/data&gt;</vt:lpwstr>
  </property>
</Properties>
</file>