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5A30FCFF" w:rsidR="00654E8F" w:rsidRDefault="00654E8F" w:rsidP="0001436A">
      <w:pPr>
        <w:pStyle w:val="SupplementaryMaterial"/>
        <w:rPr>
          <w:rFonts w:ascii="Arial" w:hAnsi="Arial" w:cs="Arial"/>
          <w:sz w:val="20"/>
          <w:szCs w:val="20"/>
        </w:rPr>
      </w:pPr>
      <w:r w:rsidRPr="00195625">
        <w:rPr>
          <w:rFonts w:ascii="Arial" w:hAnsi="Arial" w:cs="Arial"/>
          <w:sz w:val="20"/>
          <w:szCs w:val="20"/>
        </w:rPr>
        <w:t>Supplementary Material</w:t>
      </w:r>
    </w:p>
    <w:p w14:paraId="2DC05909" w14:textId="77777777" w:rsidR="005525B8" w:rsidRDefault="005525B8" w:rsidP="005525B8">
      <w:pPr>
        <w:rPr>
          <w:rFonts w:ascii="Arial" w:hAnsi="Arial" w:cs="Arial"/>
          <w:b/>
          <w:sz w:val="20"/>
          <w:szCs w:val="20"/>
        </w:rPr>
      </w:pPr>
    </w:p>
    <w:p w14:paraId="73007AE4" w14:textId="50537BC7" w:rsidR="005525B8" w:rsidRDefault="005525B8" w:rsidP="005525B8">
      <w:pPr>
        <w:rPr>
          <w:rFonts w:ascii="Arial" w:hAnsi="Arial" w:cs="Arial"/>
          <w:b/>
          <w:sz w:val="20"/>
          <w:szCs w:val="20"/>
        </w:rPr>
      </w:pPr>
      <w:r w:rsidRPr="00195625">
        <w:rPr>
          <w:rFonts w:ascii="Arial" w:hAnsi="Arial" w:cs="Arial"/>
          <w:b/>
          <w:sz w:val="20"/>
          <w:szCs w:val="20"/>
        </w:rPr>
        <w:t>Supplementary figure 1</w:t>
      </w:r>
    </w:p>
    <w:p w14:paraId="25AB7D2D" w14:textId="47216BE7" w:rsidR="005525B8" w:rsidRDefault="005525B8" w:rsidP="00195625">
      <w:pPr>
        <w:spacing w:before="240"/>
        <w:rPr>
          <w:rFonts w:ascii="Arial" w:hAnsi="Arial" w:cs="Arial"/>
          <w:b/>
          <w:sz w:val="20"/>
          <w:szCs w:val="20"/>
        </w:rPr>
      </w:pPr>
      <w:r w:rsidRPr="005525B8">
        <w:rPr>
          <w:rFonts w:ascii="Arial" w:hAnsi="Arial" w:cs="Arial"/>
          <w:b/>
          <w:noProof/>
          <w:sz w:val="20"/>
          <w:szCs w:val="20"/>
          <w:lang w:val="de-DE" w:eastAsia="de-DE"/>
        </w:rPr>
        <w:drawing>
          <wp:inline distT="0" distB="0" distL="0" distR="0" wp14:anchorId="68354BAA" wp14:editId="3E0BAE78">
            <wp:extent cx="6208395" cy="41192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DD27" w14:textId="22155716" w:rsidR="00195625" w:rsidRDefault="00195625" w:rsidP="00195625">
      <w:pPr>
        <w:spacing w:before="240"/>
        <w:rPr>
          <w:rFonts w:ascii="Arial" w:hAnsi="Arial" w:cs="Arial"/>
          <w:sz w:val="20"/>
          <w:szCs w:val="20"/>
        </w:rPr>
      </w:pPr>
      <w:r w:rsidRPr="00195625">
        <w:rPr>
          <w:rFonts w:ascii="Arial" w:hAnsi="Arial" w:cs="Arial"/>
          <w:b/>
          <w:sz w:val="20"/>
          <w:szCs w:val="20"/>
        </w:rPr>
        <w:t xml:space="preserve">Supplementary figure 1 </w:t>
      </w:r>
      <w:proofErr w:type="spellStart"/>
      <w:r w:rsidRPr="00195625">
        <w:rPr>
          <w:rFonts w:ascii="Arial" w:hAnsi="Arial" w:cs="Arial"/>
          <w:b/>
          <w:sz w:val="20"/>
          <w:szCs w:val="20"/>
        </w:rPr>
        <w:t>Sortilin</w:t>
      </w:r>
      <w:proofErr w:type="spellEnd"/>
      <w:r w:rsidRPr="00195625">
        <w:rPr>
          <w:rFonts w:ascii="Arial" w:hAnsi="Arial" w:cs="Arial"/>
          <w:b/>
          <w:sz w:val="20"/>
          <w:szCs w:val="20"/>
        </w:rPr>
        <w:t xml:space="preserve"> expression in correlation to the tumor site, sex, Ki67 index, and patient age.</w:t>
      </w:r>
      <w:r w:rsidRPr="001956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5625">
        <w:rPr>
          <w:rFonts w:ascii="Arial" w:hAnsi="Arial" w:cs="Arial"/>
          <w:sz w:val="20"/>
          <w:szCs w:val="20"/>
        </w:rPr>
        <w:t>Immunoreactivity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scores for </w:t>
      </w:r>
      <w:proofErr w:type="spellStart"/>
      <w:r w:rsidRPr="00195625">
        <w:rPr>
          <w:rFonts w:ascii="Arial" w:hAnsi="Arial" w:cs="Arial"/>
          <w:sz w:val="20"/>
          <w:szCs w:val="20"/>
        </w:rPr>
        <w:t>sortilin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in dependence of primary tumor or metastasis (A), pancreatic or small intestinal primary tumor (B), origin of liver metastasis (C), s</w:t>
      </w:r>
      <w:r w:rsidR="000B22BF">
        <w:rPr>
          <w:rFonts w:ascii="Arial" w:hAnsi="Arial" w:cs="Arial"/>
          <w:sz w:val="20"/>
          <w:szCs w:val="20"/>
        </w:rPr>
        <w:t>ex (D), or Ki67 index (E). (F) P</w:t>
      </w:r>
      <w:r w:rsidRPr="00195625">
        <w:rPr>
          <w:rFonts w:ascii="Arial" w:hAnsi="Arial" w:cs="Arial"/>
          <w:sz w:val="20"/>
          <w:szCs w:val="20"/>
        </w:rPr>
        <w:t>atient</w:t>
      </w:r>
      <w:r w:rsidR="000B22BF">
        <w:rPr>
          <w:rFonts w:ascii="Arial" w:hAnsi="Arial" w:cs="Arial"/>
          <w:sz w:val="20"/>
          <w:szCs w:val="20"/>
        </w:rPr>
        <w:t xml:space="preserve"> age in dependence of functionality. Due to the </w:t>
      </w:r>
      <w:r w:rsidRPr="00195625">
        <w:rPr>
          <w:rFonts w:ascii="Arial" w:hAnsi="Arial" w:cs="Arial"/>
          <w:sz w:val="20"/>
          <w:szCs w:val="20"/>
        </w:rPr>
        <w:t xml:space="preserve">significantly lower age of patients with functional syndrome in our cohort, the </w:t>
      </w:r>
      <w:proofErr w:type="spellStart"/>
      <w:r w:rsidRPr="00195625">
        <w:rPr>
          <w:rFonts w:ascii="Arial" w:hAnsi="Arial" w:cs="Arial"/>
          <w:sz w:val="20"/>
          <w:szCs w:val="20"/>
        </w:rPr>
        <w:t>sortilin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95625">
        <w:rPr>
          <w:rFonts w:ascii="Arial" w:hAnsi="Arial" w:cs="Arial"/>
          <w:sz w:val="20"/>
          <w:szCs w:val="20"/>
        </w:rPr>
        <w:t>immunoreactivity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is</w:t>
      </w:r>
      <w:r w:rsidR="000B22BF">
        <w:rPr>
          <w:rFonts w:ascii="Arial" w:hAnsi="Arial" w:cs="Arial"/>
          <w:sz w:val="20"/>
          <w:szCs w:val="20"/>
        </w:rPr>
        <w:t xml:space="preserve"> negatively correlated with </w:t>
      </w:r>
      <w:r w:rsidRPr="00195625">
        <w:rPr>
          <w:rFonts w:ascii="Arial" w:hAnsi="Arial" w:cs="Arial"/>
          <w:sz w:val="20"/>
          <w:szCs w:val="20"/>
        </w:rPr>
        <w:t>patient age (G, Spearman r= -0.4485, p=0.0012). When analyzing</w:t>
      </w:r>
      <w:r w:rsidR="000B22BF">
        <w:rPr>
          <w:rFonts w:ascii="Arial" w:hAnsi="Arial" w:cs="Arial"/>
          <w:sz w:val="20"/>
          <w:szCs w:val="20"/>
        </w:rPr>
        <w:t xml:space="preserve"> only</w:t>
      </w:r>
      <w:r w:rsidRPr="00195625">
        <w:rPr>
          <w:rFonts w:ascii="Arial" w:hAnsi="Arial" w:cs="Arial"/>
          <w:sz w:val="20"/>
          <w:szCs w:val="20"/>
        </w:rPr>
        <w:t xml:space="preserve"> functional tumors, this correlation no longer exists (H).  </w:t>
      </w:r>
      <w:proofErr w:type="gramStart"/>
      <w:r w:rsidRPr="00195625">
        <w:rPr>
          <w:rFonts w:ascii="Arial" w:hAnsi="Arial" w:cs="Arial"/>
          <w:sz w:val="20"/>
          <w:szCs w:val="20"/>
        </w:rPr>
        <w:t>f</w:t>
      </w:r>
      <w:proofErr w:type="gramEnd"/>
      <w:r w:rsidRPr="00195625">
        <w:rPr>
          <w:rFonts w:ascii="Arial" w:hAnsi="Arial" w:cs="Arial"/>
          <w:sz w:val="20"/>
          <w:szCs w:val="20"/>
        </w:rPr>
        <w:t xml:space="preserve">: functional. </w:t>
      </w:r>
      <w:proofErr w:type="spellStart"/>
      <w:proofErr w:type="gramStart"/>
      <w:r w:rsidRPr="00195625">
        <w:rPr>
          <w:rFonts w:ascii="Arial" w:hAnsi="Arial" w:cs="Arial"/>
          <w:sz w:val="20"/>
          <w:szCs w:val="20"/>
        </w:rPr>
        <w:t>nf</w:t>
      </w:r>
      <w:proofErr w:type="spellEnd"/>
      <w:proofErr w:type="gramEnd"/>
      <w:r w:rsidRPr="00195625">
        <w:rPr>
          <w:rFonts w:ascii="Arial" w:hAnsi="Arial" w:cs="Arial"/>
          <w:sz w:val="20"/>
          <w:szCs w:val="20"/>
        </w:rPr>
        <w:t xml:space="preserve">: non-functional. </w:t>
      </w:r>
      <w:proofErr w:type="spellStart"/>
      <w:r w:rsidRPr="00195625">
        <w:rPr>
          <w:rFonts w:ascii="Arial" w:hAnsi="Arial" w:cs="Arial"/>
          <w:sz w:val="20"/>
          <w:szCs w:val="20"/>
        </w:rPr>
        <w:t>n.s</w:t>
      </w:r>
      <w:proofErr w:type="spellEnd"/>
      <w:r w:rsidRPr="00195625">
        <w:rPr>
          <w:rFonts w:ascii="Arial" w:hAnsi="Arial" w:cs="Arial"/>
          <w:sz w:val="20"/>
          <w:szCs w:val="20"/>
        </w:rPr>
        <w:t>.: not significant, **p&lt;0.01.</w:t>
      </w:r>
    </w:p>
    <w:p w14:paraId="27BAA256" w14:textId="3DF291B0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DCBDB9D" w14:textId="30B4E53C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26CB086A" w14:textId="560E8746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06686E30" w14:textId="6F57CE2C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68D6AAB" w14:textId="4A41DF30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E5B971F" w14:textId="0F49E29A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2086D536" w14:textId="5B021BD9" w:rsidR="008C3F0A" w:rsidRDefault="008C3F0A" w:rsidP="00195625">
      <w:pPr>
        <w:spacing w:before="240"/>
        <w:rPr>
          <w:rFonts w:ascii="Arial" w:hAnsi="Arial" w:cs="Arial"/>
          <w:b/>
          <w:sz w:val="20"/>
          <w:szCs w:val="20"/>
        </w:rPr>
      </w:pPr>
      <w:r w:rsidRPr="008C3F0A">
        <w:rPr>
          <w:rFonts w:ascii="Arial" w:hAnsi="Arial" w:cs="Arial"/>
          <w:b/>
          <w:sz w:val="20"/>
          <w:szCs w:val="20"/>
        </w:rPr>
        <w:lastRenderedPageBreak/>
        <w:t>Supplementary figure 2</w:t>
      </w:r>
    </w:p>
    <w:p w14:paraId="7AF33323" w14:textId="3CF5949D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34531464" w14:textId="474DCE31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  <w:r w:rsidRPr="003A22DC">
        <w:rPr>
          <w:rFonts w:ascii="Arial" w:hAnsi="Arial" w:cs="Arial"/>
          <w:b/>
          <w:noProof/>
          <w:sz w:val="20"/>
          <w:szCs w:val="20"/>
          <w:lang w:val="de-DE" w:eastAsia="de-DE"/>
        </w:rPr>
        <w:drawing>
          <wp:inline distT="0" distB="0" distL="0" distR="0" wp14:anchorId="0EEC09F7" wp14:editId="10470C3E">
            <wp:extent cx="2124371" cy="274358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01AC" w14:textId="0E4E27A3" w:rsidR="003A22DC" w:rsidRPr="00095E0D" w:rsidRDefault="003A22DC" w:rsidP="00195625">
      <w:pPr>
        <w:spacing w:before="240"/>
        <w:rPr>
          <w:rFonts w:ascii="Arial" w:hAnsi="Arial" w:cs="Arial"/>
          <w:sz w:val="20"/>
          <w:szCs w:val="20"/>
        </w:rPr>
      </w:pPr>
      <w:r w:rsidRPr="00195625">
        <w:rPr>
          <w:rFonts w:ascii="Arial" w:hAnsi="Arial" w:cs="Arial"/>
          <w:b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sz w:val="20"/>
          <w:szCs w:val="20"/>
        </w:rPr>
        <w:t>2</w:t>
      </w:r>
      <w:r w:rsidRPr="00195625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Impact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b/>
          <w:sz w:val="20"/>
          <w:szCs w:val="20"/>
        </w:rPr>
        <w:t>sortilin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inhibition on </w:t>
      </w:r>
      <w:r w:rsidRPr="003A22DC">
        <w:rPr>
          <w:rFonts w:ascii="Arial" w:hAnsi="Arial" w:cs="Arial"/>
          <w:b/>
          <w:sz w:val="20"/>
          <w:szCs w:val="20"/>
        </w:rPr>
        <w:t>5-hydroxyindoleacetic acid (5-HIAA)</w:t>
      </w:r>
      <w:r w:rsidR="00095E0D">
        <w:rPr>
          <w:rFonts w:ascii="Arial" w:hAnsi="Arial" w:cs="Arial"/>
          <w:b/>
          <w:sz w:val="20"/>
          <w:szCs w:val="20"/>
        </w:rPr>
        <w:t xml:space="preserve"> concentration in cell culture supernatant. </w:t>
      </w:r>
      <w:r w:rsidR="00095E0D" w:rsidRPr="00095E0D">
        <w:rPr>
          <w:rFonts w:ascii="Arial" w:hAnsi="Arial" w:cs="Arial"/>
          <w:sz w:val="20"/>
          <w:szCs w:val="20"/>
        </w:rPr>
        <w:t xml:space="preserve">BON cells </w:t>
      </w:r>
      <w:proofErr w:type="gramStart"/>
      <w:r w:rsidR="00095E0D" w:rsidRPr="00095E0D">
        <w:rPr>
          <w:rFonts w:ascii="Arial" w:hAnsi="Arial" w:cs="Arial"/>
          <w:sz w:val="20"/>
          <w:szCs w:val="20"/>
        </w:rPr>
        <w:t xml:space="preserve">were cultured in control conditions or treated for 24 h with the </w:t>
      </w:r>
      <w:proofErr w:type="spellStart"/>
      <w:r w:rsidR="00095E0D" w:rsidRPr="00095E0D">
        <w:rPr>
          <w:rFonts w:ascii="Arial" w:hAnsi="Arial" w:cs="Arial"/>
          <w:sz w:val="20"/>
          <w:szCs w:val="20"/>
        </w:rPr>
        <w:t>sortilin</w:t>
      </w:r>
      <w:proofErr w:type="spellEnd"/>
      <w:r w:rsidR="00095E0D" w:rsidRPr="00095E0D">
        <w:rPr>
          <w:rFonts w:ascii="Arial" w:hAnsi="Arial" w:cs="Arial"/>
          <w:sz w:val="20"/>
          <w:szCs w:val="20"/>
        </w:rPr>
        <w:t xml:space="preserve"> inhibitor AF38469</w:t>
      </w:r>
      <w:proofErr w:type="gramEnd"/>
      <w:r w:rsidR="00095E0D" w:rsidRPr="00095E0D">
        <w:rPr>
          <w:rFonts w:ascii="Arial" w:hAnsi="Arial" w:cs="Arial"/>
          <w:sz w:val="20"/>
          <w:szCs w:val="20"/>
        </w:rPr>
        <w:t>.</w:t>
      </w:r>
      <w:r w:rsidR="00095E0D">
        <w:rPr>
          <w:rFonts w:ascii="Arial" w:hAnsi="Arial" w:cs="Arial"/>
          <w:sz w:val="20"/>
          <w:szCs w:val="20"/>
        </w:rPr>
        <w:t xml:space="preserve"> Afterwards the concentration of the main serotonin metabolite 5-HIAA was estimated in the supernatant by HPLC</w:t>
      </w:r>
      <w:r w:rsidR="0014132F">
        <w:rPr>
          <w:rFonts w:ascii="Arial" w:hAnsi="Arial" w:cs="Arial"/>
          <w:sz w:val="20"/>
          <w:szCs w:val="20"/>
        </w:rPr>
        <w:t xml:space="preserve"> (n=12 for each)</w:t>
      </w:r>
      <w:r w:rsidR="00095E0D">
        <w:rPr>
          <w:rFonts w:ascii="Arial" w:hAnsi="Arial" w:cs="Arial"/>
          <w:sz w:val="20"/>
          <w:szCs w:val="20"/>
        </w:rPr>
        <w:t>.</w:t>
      </w:r>
      <w:r w:rsidR="006D01EB">
        <w:rPr>
          <w:rFonts w:ascii="Arial" w:hAnsi="Arial" w:cs="Arial"/>
          <w:sz w:val="20"/>
          <w:szCs w:val="20"/>
        </w:rPr>
        <w:t xml:space="preserve"> </w:t>
      </w:r>
      <w:r w:rsidR="006D01EB" w:rsidRPr="006D01EB">
        <w:rPr>
          <w:rFonts w:ascii="Arial" w:hAnsi="Arial" w:cs="Arial"/>
          <w:sz w:val="20"/>
          <w:szCs w:val="20"/>
        </w:rPr>
        <w:t>*** p&lt;0.001</w:t>
      </w:r>
      <w:r w:rsidR="006D01EB">
        <w:rPr>
          <w:rFonts w:ascii="Arial" w:hAnsi="Arial" w:cs="Arial"/>
          <w:sz w:val="20"/>
          <w:szCs w:val="20"/>
        </w:rPr>
        <w:t>.</w:t>
      </w:r>
    </w:p>
    <w:p w14:paraId="33FEC72B" w14:textId="034FAA70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24A419D" w14:textId="3A890D73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36D5C9AC" w14:textId="1F249512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59778F68" w14:textId="1BE0FF4E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1AF1367" w14:textId="2A5007BB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5B45581D" w14:textId="1584DCC0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5156753" w14:textId="33430564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D329436" w14:textId="6171C745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64F68A4A" w14:textId="4C4864FA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1056B7FE" w14:textId="192E9969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BC01448" w14:textId="497317DE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5F6771D8" w14:textId="7871D49E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41F6A46A" w14:textId="25680994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3443ED2" w14:textId="4639B8DB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F7573BD" w14:textId="2409B84E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1434BE43" w14:textId="77777777" w:rsidR="003A22DC" w:rsidRDefault="003A22DC" w:rsidP="003A22DC">
      <w:pPr>
        <w:spacing w:before="240"/>
        <w:rPr>
          <w:rFonts w:ascii="Arial" w:hAnsi="Arial" w:cs="Arial"/>
          <w:b/>
          <w:sz w:val="20"/>
          <w:szCs w:val="20"/>
        </w:rPr>
      </w:pPr>
      <w:r w:rsidRPr="008C3F0A">
        <w:rPr>
          <w:rFonts w:ascii="Arial" w:hAnsi="Arial" w:cs="Arial"/>
          <w:b/>
          <w:sz w:val="20"/>
          <w:szCs w:val="20"/>
        </w:rPr>
        <w:t>Supplementary figure 3</w:t>
      </w:r>
    </w:p>
    <w:p w14:paraId="73B09A5B" w14:textId="77777777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EC18062" w14:textId="3020C2A0" w:rsidR="005525B8" w:rsidRPr="00195625" w:rsidRDefault="005971A3" w:rsidP="00195625">
      <w:pPr>
        <w:spacing w:before="240"/>
        <w:rPr>
          <w:rFonts w:ascii="Arial" w:hAnsi="Arial" w:cs="Arial"/>
          <w:sz w:val="20"/>
          <w:szCs w:val="20"/>
        </w:rPr>
      </w:pPr>
      <w:r w:rsidRPr="005971A3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73D7335D" wp14:editId="25C1FB6E">
            <wp:extent cx="4293818" cy="20478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2594" cy="206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1228" w14:textId="0F21D0E8" w:rsidR="00195625" w:rsidRDefault="00195625" w:rsidP="00195625">
      <w:pPr>
        <w:spacing w:before="240"/>
        <w:rPr>
          <w:rFonts w:ascii="Arial" w:hAnsi="Arial" w:cs="Arial"/>
          <w:sz w:val="20"/>
          <w:szCs w:val="20"/>
        </w:rPr>
      </w:pPr>
      <w:r w:rsidRPr="00195625">
        <w:rPr>
          <w:rFonts w:ascii="Arial" w:hAnsi="Arial" w:cs="Arial"/>
          <w:b/>
          <w:sz w:val="20"/>
          <w:szCs w:val="20"/>
        </w:rPr>
        <w:t xml:space="preserve">Supplementary figure </w:t>
      </w:r>
      <w:r w:rsidR="003A22DC">
        <w:rPr>
          <w:rFonts w:ascii="Arial" w:hAnsi="Arial" w:cs="Arial"/>
          <w:b/>
          <w:sz w:val="20"/>
          <w:szCs w:val="20"/>
        </w:rPr>
        <w:t>3</w:t>
      </w:r>
      <w:r w:rsidRPr="0019562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95625">
        <w:rPr>
          <w:rFonts w:ascii="Arial" w:hAnsi="Arial" w:cs="Arial"/>
          <w:b/>
          <w:sz w:val="20"/>
          <w:szCs w:val="20"/>
        </w:rPr>
        <w:t>Sortilin</w:t>
      </w:r>
      <w:proofErr w:type="spellEnd"/>
      <w:r w:rsidRPr="00195625">
        <w:rPr>
          <w:rFonts w:ascii="Arial" w:hAnsi="Arial" w:cs="Arial"/>
          <w:b/>
          <w:sz w:val="20"/>
          <w:szCs w:val="20"/>
        </w:rPr>
        <w:t xml:space="preserve"> inhibition has no impact on BON cell number or proliferation.</w:t>
      </w:r>
      <w:r w:rsidRPr="00195625">
        <w:rPr>
          <w:rFonts w:ascii="Arial" w:hAnsi="Arial" w:cs="Arial"/>
          <w:sz w:val="20"/>
          <w:szCs w:val="20"/>
        </w:rPr>
        <w:t xml:space="preserve"> BON cells were </w:t>
      </w:r>
      <w:r w:rsidR="000B22BF">
        <w:rPr>
          <w:rFonts w:ascii="Arial" w:hAnsi="Arial" w:cs="Arial"/>
          <w:sz w:val="20"/>
          <w:szCs w:val="20"/>
        </w:rPr>
        <w:t>cultured</w:t>
      </w:r>
      <w:r w:rsidRPr="00195625">
        <w:rPr>
          <w:rFonts w:ascii="Arial" w:hAnsi="Arial" w:cs="Arial"/>
          <w:sz w:val="20"/>
          <w:szCs w:val="20"/>
        </w:rPr>
        <w:t xml:space="preserve"> in control conditions or treated for 24</w:t>
      </w:r>
      <w:r w:rsidR="000B22BF">
        <w:rPr>
          <w:rFonts w:ascii="Arial" w:hAnsi="Arial" w:cs="Arial"/>
          <w:sz w:val="20"/>
          <w:szCs w:val="20"/>
        </w:rPr>
        <w:t xml:space="preserve"> </w:t>
      </w:r>
      <w:r w:rsidRPr="00195625">
        <w:rPr>
          <w:rFonts w:ascii="Arial" w:hAnsi="Arial" w:cs="Arial"/>
          <w:sz w:val="20"/>
          <w:szCs w:val="20"/>
        </w:rPr>
        <w:t xml:space="preserve">h with the </w:t>
      </w:r>
      <w:proofErr w:type="spellStart"/>
      <w:r w:rsidRPr="00195625">
        <w:rPr>
          <w:rFonts w:ascii="Arial" w:hAnsi="Arial" w:cs="Arial"/>
          <w:sz w:val="20"/>
          <w:szCs w:val="20"/>
        </w:rPr>
        <w:t>sortilin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inhibitor AF38469. (A) Total cell numbe</w:t>
      </w:r>
      <w:r w:rsidR="000B22BF">
        <w:rPr>
          <w:rFonts w:ascii="Arial" w:hAnsi="Arial" w:cs="Arial"/>
          <w:sz w:val="20"/>
          <w:szCs w:val="20"/>
        </w:rPr>
        <w:t>r and (B) total number of live</w:t>
      </w:r>
      <w:r w:rsidRPr="00195625">
        <w:rPr>
          <w:rFonts w:ascii="Arial" w:hAnsi="Arial" w:cs="Arial"/>
          <w:sz w:val="20"/>
          <w:szCs w:val="20"/>
        </w:rPr>
        <w:t xml:space="preserve"> cells. (C) Proliferation of BON cells treated with different concentrations of </w:t>
      </w:r>
      <w:r w:rsidR="000B22BF" w:rsidRPr="000B22BF">
        <w:rPr>
          <w:rFonts w:ascii="Arial" w:hAnsi="Arial" w:cs="Arial"/>
          <w:sz w:val="20"/>
          <w:szCs w:val="20"/>
        </w:rPr>
        <w:t>AF38469</w:t>
      </w:r>
      <w:r w:rsidR="000B22BF">
        <w:rPr>
          <w:rFonts w:ascii="Arial" w:hAnsi="Arial" w:cs="Arial"/>
          <w:sz w:val="20"/>
          <w:szCs w:val="20"/>
        </w:rPr>
        <w:t xml:space="preserve"> </w:t>
      </w:r>
      <w:r w:rsidRPr="00195625">
        <w:rPr>
          <w:rFonts w:ascii="Arial" w:hAnsi="Arial" w:cs="Arial"/>
          <w:sz w:val="20"/>
          <w:szCs w:val="20"/>
        </w:rPr>
        <w:t>compar</w:t>
      </w:r>
      <w:r w:rsidR="000B22BF">
        <w:rPr>
          <w:rFonts w:ascii="Arial" w:hAnsi="Arial" w:cs="Arial"/>
          <w:sz w:val="20"/>
          <w:szCs w:val="20"/>
        </w:rPr>
        <w:t>ed</w:t>
      </w:r>
      <w:r w:rsidRPr="00195625">
        <w:rPr>
          <w:rFonts w:ascii="Arial" w:hAnsi="Arial" w:cs="Arial"/>
          <w:sz w:val="20"/>
          <w:szCs w:val="20"/>
        </w:rPr>
        <w:t xml:space="preserve"> to untreated cells.</w:t>
      </w:r>
      <w:r w:rsidR="001B628F">
        <w:rPr>
          <w:rFonts w:ascii="Arial" w:hAnsi="Arial" w:cs="Arial"/>
          <w:sz w:val="20"/>
          <w:szCs w:val="20"/>
        </w:rPr>
        <w:t xml:space="preserve"> n=4 for each experiment and group.</w:t>
      </w:r>
      <w:bookmarkStart w:id="0" w:name="_GoBack"/>
      <w:bookmarkEnd w:id="0"/>
    </w:p>
    <w:p w14:paraId="46400D67" w14:textId="1324270E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6CFAF071" w14:textId="3E6D21C6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7BB57A13" w14:textId="049CDCA1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0C8D0C0" w14:textId="7CF3BEEB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2DF036D5" w14:textId="4CA69056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2CFC0118" w14:textId="703C63DD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57CFF677" w14:textId="18CE93E5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480C7568" w14:textId="65535096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484783BA" w14:textId="09B37588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44B08E04" w14:textId="0864D61D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1F76C8E4" w14:textId="5490C502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50E2C7F9" w14:textId="5D178933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6AF74C5B" w14:textId="08818D71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6D1BE411" w14:textId="1E19B90F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5BDD3AF5" w14:textId="433FC06E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7FC60430" w14:textId="250E08EB" w:rsidR="008C3F0A" w:rsidRDefault="008C3F0A" w:rsidP="00195625">
      <w:pPr>
        <w:spacing w:before="240"/>
        <w:rPr>
          <w:rFonts w:ascii="Arial" w:hAnsi="Arial" w:cs="Arial"/>
          <w:sz w:val="20"/>
          <w:szCs w:val="20"/>
        </w:rPr>
      </w:pPr>
    </w:p>
    <w:p w14:paraId="7F459259" w14:textId="77777777" w:rsidR="003A22DC" w:rsidRDefault="003A22DC" w:rsidP="00195625">
      <w:pPr>
        <w:spacing w:before="240"/>
        <w:rPr>
          <w:rFonts w:ascii="Arial" w:hAnsi="Arial" w:cs="Arial"/>
          <w:b/>
          <w:sz w:val="20"/>
          <w:szCs w:val="20"/>
        </w:rPr>
      </w:pPr>
    </w:p>
    <w:p w14:paraId="2678D70B" w14:textId="2D06F72F" w:rsidR="008C3F0A" w:rsidRDefault="008C3F0A" w:rsidP="00195625">
      <w:pPr>
        <w:spacing w:before="240"/>
        <w:rPr>
          <w:rFonts w:ascii="Arial" w:hAnsi="Arial" w:cs="Arial"/>
          <w:b/>
          <w:sz w:val="20"/>
          <w:szCs w:val="20"/>
        </w:rPr>
      </w:pPr>
      <w:r w:rsidRPr="008C3F0A">
        <w:rPr>
          <w:rFonts w:ascii="Arial" w:hAnsi="Arial" w:cs="Arial"/>
          <w:b/>
          <w:sz w:val="20"/>
          <w:szCs w:val="20"/>
        </w:rPr>
        <w:t xml:space="preserve">Supplementary figure </w:t>
      </w:r>
      <w:r w:rsidR="003A22DC">
        <w:rPr>
          <w:rFonts w:ascii="Arial" w:hAnsi="Arial" w:cs="Arial"/>
          <w:b/>
          <w:sz w:val="20"/>
          <w:szCs w:val="20"/>
        </w:rPr>
        <w:t>4</w:t>
      </w:r>
    </w:p>
    <w:p w14:paraId="1039F821" w14:textId="4371187E" w:rsidR="008C3F0A" w:rsidRPr="008C3F0A" w:rsidRDefault="008C3F0A" w:rsidP="00195625">
      <w:pPr>
        <w:spacing w:before="240"/>
        <w:rPr>
          <w:rFonts w:ascii="Arial" w:hAnsi="Arial" w:cs="Arial"/>
          <w:b/>
          <w:sz w:val="20"/>
          <w:szCs w:val="20"/>
        </w:rPr>
      </w:pPr>
      <w:r w:rsidRPr="008C3F0A">
        <w:rPr>
          <w:rFonts w:ascii="Arial" w:hAnsi="Arial" w:cs="Arial"/>
          <w:b/>
          <w:noProof/>
          <w:sz w:val="20"/>
          <w:szCs w:val="20"/>
          <w:lang w:val="de-DE" w:eastAsia="de-DE"/>
        </w:rPr>
        <w:drawing>
          <wp:inline distT="0" distB="0" distL="0" distR="0" wp14:anchorId="64C57B41" wp14:editId="7541ACA8">
            <wp:extent cx="6208395" cy="2281555"/>
            <wp:effectExtent l="0" t="0" r="190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7D81565D" w:rsidR="00DE23E8" w:rsidRPr="00195625" w:rsidRDefault="00195625" w:rsidP="00195625">
      <w:pPr>
        <w:spacing w:before="240"/>
        <w:rPr>
          <w:rFonts w:ascii="Arial" w:hAnsi="Arial" w:cs="Arial"/>
          <w:sz w:val="20"/>
          <w:szCs w:val="20"/>
        </w:rPr>
      </w:pPr>
      <w:r w:rsidRPr="00195625">
        <w:rPr>
          <w:rFonts w:ascii="Arial" w:hAnsi="Arial" w:cs="Arial"/>
          <w:b/>
          <w:sz w:val="20"/>
          <w:szCs w:val="20"/>
        </w:rPr>
        <w:t xml:space="preserve">Supplementary figure </w:t>
      </w:r>
      <w:r w:rsidR="003A22DC">
        <w:rPr>
          <w:rFonts w:ascii="Arial" w:hAnsi="Arial" w:cs="Arial"/>
          <w:b/>
          <w:sz w:val="20"/>
          <w:szCs w:val="20"/>
        </w:rPr>
        <w:t>4</w:t>
      </w:r>
      <w:r w:rsidRPr="00195625">
        <w:rPr>
          <w:rFonts w:ascii="Arial" w:hAnsi="Arial" w:cs="Arial"/>
          <w:b/>
          <w:sz w:val="20"/>
          <w:szCs w:val="20"/>
        </w:rPr>
        <w:t xml:space="preserve"> Generatio</w:t>
      </w:r>
      <w:r w:rsidR="000B22BF">
        <w:rPr>
          <w:rFonts w:ascii="Arial" w:hAnsi="Arial" w:cs="Arial"/>
          <w:b/>
          <w:sz w:val="20"/>
          <w:szCs w:val="20"/>
        </w:rPr>
        <w:t xml:space="preserve">n of </w:t>
      </w:r>
      <w:proofErr w:type="spellStart"/>
      <w:r w:rsidR="000B22BF">
        <w:rPr>
          <w:rFonts w:ascii="Arial" w:hAnsi="Arial" w:cs="Arial"/>
          <w:b/>
          <w:sz w:val="20"/>
          <w:szCs w:val="20"/>
        </w:rPr>
        <w:t>enteroendocrine</w:t>
      </w:r>
      <w:proofErr w:type="spellEnd"/>
      <w:r w:rsidR="000B22BF">
        <w:rPr>
          <w:rFonts w:ascii="Arial" w:hAnsi="Arial" w:cs="Arial"/>
          <w:b/>
          <w:sz w:val="20"/>
          <w:szCs w:val="20"/>
        </w:rPr>
        <w:t>-</w:t>
      </w:r>
      <w:r w:rsidRPr="00195625">
        <w:rPr>
          <w:rFonts w:ascii="Arial" w:hAnsi="Arial" w:cs="Arial"/>
          <w:b/>
          <w:sz w:val="20"/>
          <w:szCs w:val="20"/>
        </w:rPr>
        <w:t>differentiated organoids.</w:t>
      </w:r>
      <w:r w:rsidRPr="00195625">
        <w:rPr>
          <w:rFonts w:ascii="Arial" w:hAnsi="Arial" w:cs="Arial"/>
          <w:sz w:val="20"/>
          <w:szCs w:val="20"/>
        </w:rPr>
        <w:t xml:space="preserve"> Murine </w:t>
      </w:r>
      <w:proofErr w:type="spellStart"/>
      <w:r w:rsidRPr="00195625">
        <w:rPr>
          <w:rFonts w:ascii="Arial" w:hAnsi="Arial" w:cs="Arial"/>
          <w:sz w:val="20"/>
          <w:szCs w:val="20"/>
        </w:rPr>
        <w:t>ileal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organoids co</w:t>
      </w:r>
      <w:r w:rsidR="000B22BF">
        <w:rPr>
          <w:rFonts w:ascii="Arial" w:hAnsi="Arial" w:cs="Arial"/>
          <w:sz w:val="20"/>
          <w:szCs w:val="20"/>
        </w:rPr>
        <w:t>ntain only a very limited number</w:t>
      </w:r>
      <w:r w:rsidRPr="00195625">
        <w:rPr>
          <w:rFonts w:ascii="Arial" w:hAnsi="Arial" w:cs="Arial"/>
          <w:sz w:val="20"/>
          <w:szCs w:val="20"/>
        </w:rPr>
        <w:t xml:space="preserve"> (0.1-1%) of </w:t>
      </w:r>
      <w:proofErr w:type="spellStart"/>
      <w:r w:rsidRPr="00195625">
        <w:rPr>
          <w:rFonts w:ascii="Arial" w:hAnsi="Arial" w:cs="Arial"/>
          <w:sz w:val="20"/>
          <w:szCs w:val="20"/>
        </w:rPr>
        <w:t>enteroendocrine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cells (EECs), which were defined by expression of the marker protein </w:t>
      </w:r>
      <w:proofErr w:type="spellStart"/>
      <w:r w:rsidRPr="00195625">
        <w:rPr>
          <w:rFonts w:ascii="Arial" w:hAnsi="Arial" w:cs="Arial"/>
          <w:sz w:val="20"/>
          <w:szCs w:val="20"/>
        </w:rPr>
        <w:t>synaptophysin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(A, left image). 3 days after passaging, </w:t>
      </w:r>
      <w:proofErr w:type="spellStart"/>
      <w:r w:rsidRPr="00195625">
        <w:rPr>
          <w:rFonts w:ascii="Arial" w:hAnsi="Arial" w:cs="Arial"/>
          <w:sz w:val="20"/>
          <w:szCs w:val="20"/>
        </w:rPr>
        <w:t>ileal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organoids were treated</w:t>
      </w:r>
      <w:r w:rsidR="000B22BF">
        <w:rPr>
          <w:rFonts w:ascii="Arial" w:hAnsi="Arial" w:cs="Arial"/>
          <w:sz w:val="20"/>
          <w:szCs w:val="20"/>
        </w:rPr>
        <w:t xml:space="preserve"> for</w:t>
      </w:r>
      <w:r w:rsidRPr="00195625">
        <w:rPr>
          <w:rFonts w:ascii="Arial" w:hAnsi="Arial" w:cs="Arial"/>
          <w:sz w:val="20"/>
          <w:szCs w:val="20"/>
        </w:rPr>
        <w:t xml:space="preserve"> 4 days with DAPT (10</w:t>
      </w:r>
      <w:r w:rsidR="000B22BF">
        <w:rPr>
          <w:rFonts w:ascii="Arial" w:hAnsi="Arial" w:cs="Arial"/>
          <w:sz w:val="20"/>
          <w:szCs w:val="20"/>
        </w:rPr>
        <w:t xml:space="preserve"> </w:t>
      </w:r>
      <w:r w:rsidRPr="00195625">
        <w:rPr>
          <w:rFonts w:ascii="Arial" w:hAnsi="Arial" w:cs="Arial"/>
          <w:sz w:val="20"/>
          <w:szCs w:val="20"/>
        </w:rPr>
        <w:t>µM) to inhibit the NOTCH signaling pathway and with PD0325901 (1µM) to inhibit the EGF signaling pathway by MEK inhibi</w:t>
      </w:r>
      <w:r w:rsidR="00626ECA">
        <w:rPr>
          <w:rFonts w:ascii="Arial" w:hAnsi="Arial" w:cs="Arial"/>
          <w:sz w:val="20"/>
          <w:szCs w:val="20"/>
        </w:rPr>
        <w:t>tion as previously described (23</w:t>
      </w:r>
      <w:r w:rsidRPr="00195625">
        <w:rPr>
          <w:rFonts w:ascii="Arial" w:hAnsi="Arial" w:cs="Arial"/>
          <w:sz w:val="20"/>
          <w:szCs w:val="20"/>
        </w:rPr>
        <w:t xml:space="preserve">). After treatment, organoids were drastically enriched with EECs (A, right image). (B) </w:t>
      </w:r>
      <w:proofErr w:type="gramStart"/>
      <w:r w:rsidRPr="00195625">
        <w:rPr>
          <w:rFonts w:ascii="Arial" w:hAnsi="Arial" w:cs="Arial"/>
          <w:sz w:val="20"/>
          <w:szCs w:val="20"/>
        </w:rPr>
        <w:t>qPCR</w:t>
      </w:r>
      <w:proofErr w:type="gramEnd"/>
      <w:r w:rsidRPr="00195625">
        <w:rPr>
          <w:rFonts w:ascii="Arial" w:hAnsi="Arial" w:cs="Arial"/>
          <w:sz w:val="20"/>
          <w:szCs w:val="20"/>
        </w:rPr>
        <w:t xml:space="preserve"> demonstrates a strong increase in transcription of the EEC marker genes </w:t>
      </w:r>
      <w:proofErr w:type="spellStart"/>
      <w:r w:rsidRPr="00195625">
        <w:rPr>
          <w:rFonts w:ascii="Arial" w:hAnsi="Arial" w:cs="Arial"/>
          <w:sz w:val="20"/>
          <w:szCs w:val="20"/>
        </w:rPr>
        <w:t>synaptophysin</w:t>
      </w:r>
      <w:proofErr w:type="spellEnd"/>
      <w:r w:rsidRPr="00195625">
        <w:rPr>
          <w:rFonts w:ascii="Arial" w:hAnsi="Arial" w:cs="Arial"/>
          <w:sz w:val="20"/>
          <w:szCs w:val="20"/>
        </w:rPr>
        <w:t xml:space="preserve"> and chromogranin A (</w:t>
      </w:r>
      <w:proofErr w:type="spellStart"/>
      <w:r w:rsidRPr="00195625">
        <w:rPr>
          <w:rFonts w:ascii="Arial" w:hAnsi="Arial" w:cs="Arial"/>
          <w:sz w:val="20"/>
          <w:szCs w:val="20"/>
        </w:rPr>
        <w:t>ChgA</w:t>
      </w:r>
      <w:proofErr w:type="spellEnd"/>
      <w:r w:rsidRPr="00195625">
        <w:rPr>
          <w:rFonts w:ascii="Arial" w:hAnsi="Arial" w:cs="Arial"/>
          <w:sz w:val="20"/>
          <w:szCs w:val="20"/>
        </w:rPr>
        <w:t>).</w:t>
      </w:r>
    </w:p>
    <w:sectPr w:rsidR="00DE23E8" w:rsidRPr="00195625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D6D45" w14:textId="77777777" w:rsidR="00563C09" w:rsidRDefault="00563C09" w:rsidP="00117666">
      <w:pPr>
        <w:spacing w:after="0"/>
      </w:pPr>
      <w:r>
        <w:separator/>
      </w:r>
    </w:p>
  </w:endnote>
  <w:endnote w:type="continuationSeparator" w:id="0">
    <w:p w14:paraId="482D2D0F" w14:textId="77777777" w:rsidR="00563C09" w:rsidRDefault="00563C0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65CB07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B628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65CB07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B628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3CE9A7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B628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3CE9A7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B628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7D694" w14:textId="77777777" w:rsidR="00563C09" w:rsidRDefault="00563C09" w:rsidP="00117666">
      <w:pPr>
        <w:spacing w:after="0"/>
      </w:pPr>
      <w:r>
        <w:separator/>
      </w:r>
    </w:p>
  </w:footnote>
  <w:footnote w:type="continuationSeparator" w:id="0">
    <w:p w14:paraId="0DD675AB" w14:textId="77777777" w:rsidR="00563C09" w:rsidRDefault="00563C0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95E0D"/>
    <w:rsid w:val="000B22BF"/>
    <w:rsid w:val="00105FD9"/>
    <w:rsid w:val="00117666"/>
    <w:rsid w:val="0014132F"/>
    <w:rsid w:val="001549D3"/>
    <w:rsid w:val="00160065"/>
    <w:rsid w:val="00177D84"/>
    <w:rsid w:val="00195625"/>
    <w:rsid w:val="001B628F"/>
    <w:rsid w:val="00267D18"/>
    <w:rsid w:val="002868E2"/>
    <w:rsid w:val="002869C3"/>
    <w:rsid w:val="002936E4"/>
    <w:rsid w:val="002B4A57"/>
    <w:rsid w:val="002C74CA"/>
    <w:rsid w:val="002E514D"/>
    <w:rsid w:val="003544FB"/>
    <w:rsid w:val="003A22DC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525B8"/>
    <w:rsid w:val="00563C09"/>
    <w:rsid w:val="00593EEA"/>
    <w:rsid w:val="005971A3"/>
    <w:rsid w:val="005A5EEE"/>
    <w:rsid w:val="00626ECA"/>
    <w:rsid w:val="006375C7"/>
    <w:rsid w:val="00654E8F"/>
    <w:rsid w:val="00660D05"/>
    <w:rsid w:val="006820B1"/>
    <w:rsid w:val="006B7D14"/>
    <w:rsid w:val="006D01EB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C3F0A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B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970c08f3-bdc0-46be-888b-e62464d9f78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6005759-6815-4540-b8ea-913958d74f2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D7C00DE-53F9-4689-8E5A-58280FF73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320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Bolduan, Felix</cp:lastModifiedBy>
  <cp:revision>5</cp:revision>
  <cp:lastPrinted>2013-10-03T12:51:00Z</cp:lastPrinted>
  <dcterms:created xsi:type="dcterms:W3CDTF">2024-02-01T11:42:00Z</dcterms:created>
  <dcterms:modified xsi:type="dcterms:W3CDTF">2024-02-02T16:31:00Z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e8119ccf99d04c9e943a612bd0bab53cd2dcdb35dd2e45cc581dec4ae9096c02</vt:lpwstr>
  </property>
</Properties>
</file>