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6490B1D" w14:textId="77777777" w:rsidR="00126461" w:rsidRPr="00376CC5" w:rsidRDefault="00126461" w:rsidP="00126461">
      <w:pPr>
        <w:pStyle w:val="Titel"/>
      </w:pPr>
      <w:r w:rsidRPr="003E0401">
        <w:t xml:space="preserve">Trajectories of functional and structural myocardial parameters in </w:t>
      </w:r>
      <w:proofErr w:type="gramStart"/>
      <w:r w:rsidRPr="003E0401">
        <w:t>Post-COVID</w:t>
      </w:r>
      <w:proofErr w:type="gramEnd"/>
      <w:r w:rsidRPr="003E0401">
        <w:t>-19 Syndrome – insights from long-term follow-up by cardiovascular magnetic resonance</w:t>
      </w:r>
      <w:r w:rsidRPr="00376CC5">
        <w:t xml:space="preserve"> </w:t>
      </w:r>
    </w:p>
    <w:p w14:paraId="7ECE228B" w14:textId="77777777" w:rsidR="00126461" w:rsidRPr="00376CC5" w:rsidRDefault="00126461" w:rsidP="00126461">
      <w:pPr>
        <w:pStyle w:val="AuthorList"/>
      </w:pPr>
      <w:r w:rsidRPr="00F80E13">
        <w:t>Jan Gröschel</w:t>
      </w:r>
      <w:r w:rsidRPr="00F80E13">
        <w:rPr>
          <w:vertAlign w:val="superscript"/>
        </w:rPr>
        <w:t>1,2,3,4</w:t>
      </w:r>
      <w:r w:rsidRPr="00F80E13">
        <w:t>, Leonhard Grassow</w:t>
      </w:r>
      <w:r w:rsidRPr="00F80E13">
        <w:rPr>
          <w:vertAlign w:val="superscript"/>
        </w:rPr>
        <w:t>1,2,3</w:t>
      </w:r>
      <w:r w:rsidRPr="00F80E13">
        <w:t>, Phillip van Dijck</w:t>
      </w:r>
      <w:r w:rsidRPr="00F80E13">
        <w:rPr>
          <w:vertAlign w:val="superscript"/>
        </w:rPr>
        <w:t>1,4</w:t>
      </w:r>
      <w:r w:rsidRPr="00F80E13">
        <w:t>, Yashraj Bhoyroo</w:t>
      </w:r>
      <w:r w:rsidRPr="00F80E13">
        <w:rPr>
          <w:vertAlign w:val="superscript"/>
        </w:rPr>
        <w:t>1</w:t>
      </w:r>
      <w:r w:rsidRPr="00F80E13">
        <w:t>, Edyta Blaszczyk</w:t>
      </w:r>
      <w:r w:rsidRPr="00F80E13">
        <w:rPr>
          <w:vertAlign w:val="superscript"/>
        </w:rPr>
        <w:t>1,2,3</w:t>
      </w:r>
      <w:r w:rsidRPr="00F80E13">
        <w:t>, Jeanette Schulz-Menger</w:t>
      </w:r>
      <w:r w:rsidRPr="00F80E13">
        <w:rPr>
          <w:vertAlign w:val="superscript"/>
        </w:rPr>
        <w:t>1,2,</w:t>
      </w:r>
      <w:proofErr w:type="gramStart"/>
      <w:r w:rsidRPr="00F80E13">
        <w:rPr>
          <w:vertAlign w:val="superscript"/>
        </w:rPr>
        <w:t>3,*</w:t>
      </w:r>
      <w:proofErr w:type="gramEnd"/>
      <w:r w:rsidRPr="00F80E13">
        <w:rPr>
          <w:vertAlign w:val="superscript"/>
        </w:rPr>
        <w:t xml:space="preserve"> </w:t>
      </w:r>
    </w:p>
    <w:p w14:paraId="217F3AE0" w14:textId="07F4A7CE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126461">
        <w:rPr>
          <w:rFonts w:cs="Times New Roman"/>
          <w:szCs w:val="24"/>
        </w:rPr>
        <w:t>Jeanette Schulz-Menger</w:t>
      </w:r>
      <w:r w:rsidR="00126461">
        <w:rPr>
          <w:rFonts w:cs="Times New Roman"/>
          <w:szCs w:val="24"/>
        </w:rPr>
        <w:t xml:space="preserve">, </w:t>
      </w:r>
      <w:r w:rsidR="00126461" w:rsidRPr="00A203F3">
        <w:rPr>
          <w:rFonts w:cs="Times New Roman"/>
          <w:szCs w:val="24"/>
        </w:rPr>
        <w:t>jeanette.schulz-menger@charite.de</w:t>
      </w:r>
    </w:p>
    <w:p w14:paraId="3772C2DE" w14:textId="7225F383" w:rsidR="00BE28B0" w:rsidRPr="00BE28B0" w:rsidRDefault="00BE28B0" w:rsidP="00BE28B0">
      <w:pPr>
        <w:pStyle w:val="berschrift1"/>
      </w:pPr>
      <w:bookmarkStart w:id="0" w:name="_Hlk152170193"/>
      <w:r w:rsidRPr="00BE28B0">
        <w:t xml:space="preserve">Supplementary data </w:t>
      </w:r>
      <w:r w:rsidRPr="00BE28B0">
        <w:t>E1. CMR image acquisition parameters</w:t>
      </w:r>
    </w:p>
    <w:p w14:paraId="48AA8F0C" w14:textId="77777777" w:rsidR="00BE28B0" w:rsidRPr="00BE28B0" w:rsidRDefault="00BE28B0" w:rsidP="00BE28B0">
      <w:pPr>
        <w:jc w:val="both"/>
        <w:rPr>
          <w:rFonts w:cs="Times New Roman"/>
          <w:b/>
          <w:bCs/>
          <w:szCs w:val="24"/>
        </w:rPr>
      </w:pPr>
      <w:r w:rsidRPr="00BE28B0">
        <w:rPr>
          <w:rFonts w:cs="Times New Roman"/>
          <w:b/>
          <w:bCs/>
          <w:szCs w:val="24"/>
        </w:rPr>
        <w:t>Balanced steady-state free precession cine imaging:</w:t>
      </w:r>
    </w:p>
    <w:p w14:paraId="523E9560" w14:textId="77777777" w:rsidR="00BE28B0" w:rsidRPr="00BE28B0" w:rsidRDefault="00BE28B0" w:rsidP="00BE28B0">
      <w:pPr>
        <w:jc w:val="both"/>
        <w:rPr>
          <w:rFonts w:cs="Times New Roman"/>
          <w:szCs w:val="24"/>
        </w:rPr>
      </w:pPr>
      <w:r w:rsidRPr="00BE28B0">
        <w:rPr>
          <w:rFonts w:cs="Times New Roman"/>
          <w:szCs w:val="24"/>
        </w:rPr>
        <w:t xml:space="preserve">Long axis: ECG triggered with </w:t>
      </w:r>
      <w:proofErr w:type="spellStart"/>
      <w:r w:rsidRPr="00BE28B0">
        <w:rPr>
          <w:rFonts w:cs="Times New Roman"/>
          <w:szCs w:val="24"/>
        </w:rPr>
        <w:t>retrogating</w:t>
      </w:r>
      <w:proofErr w:type="spellEnd"/>
      <w:r w:rsidRPr="00BE28B0">
        <w:rPr>
          <w:rFonts w:cs="Times New Roman"/>
          <w:szCs w:val="24"/>
        </w:rPr>
        <w:t>, repetition time (TR) 2.78 ms, 30 reconstructed phases, echo time (TE) 1.19ms, field of view (FOV) 340x276mm2, matrix 192x156, voxel size 1.8x1.8mm2, slice thickness (ST) 6mm, flip angle (FA) 74°, GRAPPA acceleration factor 2.</w:t>
      </w:r>
    </w:p>
    <w:p w14:paraId="45F571CB" w14:textId="77777777" w:rsidR="00BE28B0" w:rsidRPr="00BE28B0" w:rsidRDefault="00BE28B0" w:rsidP="00BE28B0">
      <w:pPr>
        <w:jc w:val="both"/>
        <w:rPr>
          <w:rFonts w:cs="Times New Roman"/>
          <w:szCs w:val="24"/>
        </w:rPr>
      </w:pPr>
      <w:r w:rsidRPr="00BE28B0">
        <w:rPr>
          <w:rFonts w:cs="Times New Roman"/>
          <w:szCs w:val="24"/>
        </w:rPr>
        <w:t xml:space="preserve">Short axis: ECG triggered with </w:t>
      </w:r>
      <w:proofErr w:type="spellStart"/>
      <w:r w:rsidRPr="00BE28B0">
        <w:rPr>
          <w:rFonts w:cs="Times New Roman"/>
          <w:szCs w:val="24"/>
        </w:rPr>
        <w:t>retrogating</w:t>
      </w:r>
      <w:proofErr w:type="spellEnd"/>
      <w:r w:rsidRPr="00BE28B0">
        <w:rPr>
          <w:rFonts w:cs="Times New Roman"/>
          <w:szCs w:val="24"/>
        </w:rPr>
        <w:t>, TR 3.31ms, 30 reconstructed phases, TE 1.44ms, FOV 380x308.75mm2, matrix 192x156, voxel size 2.0x2.0mm2, ST 7mm, gap between slice: 0mm, FA 80°, GRAPPA acceleration factor 2.</w:t>
      </w:r>
    </w:p>
    <w:p w14:paraId="741B647D" w14:textId="77777777" w:rsidR="00BE28B0" w:rsidRPr="00BE28B0" w:rsidRDefault="00BE28B0" w:rsidP="00BE28B0">
      <w:pPr>
        <w:jc w:val="both"/>
        <w:rPr>
          <w:rFonts w:cs="Times New Roman"/>
          <w:b/>
          <w:bCs/>
          <w:szCs w:val="24"/>
        </w:rPr>
      </w:pPr>
      <w:r w:rsidRPr="00BE28B0">
        <w:rPr>
          <w:rFonts w:cs="Times New Roman"/>
          <w:b/>
          <w:bCs/>
          <w:szCs w:val="24"/>
        </w:rPr>
        <w:t xml:space="preserve">T2 mapping: </w:t>
      </w:r>
    </w:p>
    <w:p w14:paraId="59EB1741" w14:textId="77777777" w:rsidR="00BE28B0" w:rsidRPr="00BE28B0" w:rsidRDefault="00BE28B0" w:rsidP="00BE28B0">
      <w:pPr>
        <w:jc w:val="both"/>
        <w:rPr>
          <w:rFonts w:cs="Times New Roman"/>
          <w:szCs w:val="24"/>
        </w:rPr>
      </w:pPr>
      <w:r w:rsidRPr="00BE28B0">
        <w:rPr>
          <w:rFonts w:cs="Times New Roman"/>
          <w:szCs w:val="24"/>
        </w:rPr>
        <w:t>Balanced steady-state free precession sequence, T2prep times 0, 25 and 55 ms, 3 recovery heartbeats, TR 2.98ms, TE 1.12ms, FA 70°, FOV 380×288mm2, matrix 224x170, voxel size 1.7x1.7mm2, ST 8mm, gap between slices 0mm, GRAPPA acceleration factor 2, motion corrected.</w:t>
      </w:r>
    </w:p>
    <w:p w14:paraId="2AE7FE98" w14:textId="77777777" w:rsidR="00BE28B0" w:rsidRPr="00BE28B0" w:rsidRDefault="00BE28B0" w:rsidP="00BE28B0">
      <w:pPr>
        <w:jc w:val="both"/>
        <w:rPr>
          <w:rFonts w:cs="Times New Roman"/>
          <w:b/>
          <w:bCs/>
          <w:szCs w:val="24"/>
        </w:rPr>
      </w:pPr>
      <w:r w:rsidRPr="00BE28B0">
        <w:rPr>
          <w:rFonts w:cs="Times New Roman"/>
          <w:b/>
          <w:bCs/>
          <w:szCs w:val="24"/>
        </w:rPr>
        <w:t>T1 Mapping:</w:t>
      </w:r>
    </w:p>
    <w:p w14:paraId="211EC8DD" w14:textId="77777777" w:rsidR="00BE28B0" w:rsidRPr="00BE28B0" w:rsidRDefault="00BE28B0" w:rsidP="00BE28B0">
      <w:pPr>
        <w:jc w:val="both"/>
        <w:rPr>
          <w:rFonts w:cs="Times New Roman"/>
          <w:szCs w:val="24"/>
        </w:rPr>
      </w:pPr>
      <w:r w:rsidRPr="00BE28B0">
        <w:rPr>
          <w:rFonts w:cs="Times New Roman"/>
          <w:szCs w:val="24"/>
        </w:rPr>
        <w:t>5(3)3 MOLLI acquisition scheme, TR 3.9ms, TE 1.13ms, FA 35°, TI 180ms, FOV 360×270mm2, matrix 256x144, voxel size 1.4x1.4mm2, ST 8 mm, gap between slices 0mm, GRAPPA acceleration factor 2, motion corrected.</w:t>
      </w:r>
    </w:p>
    <w:p w14:paraId="350C903E" w14:textId="77777777" w:rsidR="00BE28B0" w:rsidRPr="00BE28B0" w:rsidRDefault="00BE28B0" w:rsidP="00BE28B0">
      <w:pPr>
        <w:jc w:val="both"/>
        <w:rPr>
          <w:rFonts w:cs="Times New Roman"/>
          <w:b/>
          <w:bCs/>
          <w:szCs w:val="24"/>
        </w:rPr>
      </w:pPr>
      <w:r w:rsidRPr="00BE28B0">
        <w:rPr>
          <w:rFonts w:cs="Times New Roman"/>
          <w:b/>
          <w:bCs/>
          <w:szCs w:val="24"/>
        </w:rPr>
        <w:t>Late gadolinium enhancement:</w:t>
      </w:r>
    </w:p>
    <w:p w14:paraId="3E0658B7" w14:textId="77777777" w:rsidR="00BE28B0" w:rsidRPr="00BE28B0" w:rsidRDefault="00BE28B0" w:rsidP="00BE28B0">
      <w:pPr>
        <w:jc w:val="both"/>
        <w:rPr>
          <w:rFonts w:cs="Times New Roman"/>
          <w:szCs w:val="24"/>
        </w:rPr>
      </w:pPr>
      <w:r w:rsidRPr="00BE28B0">
        <w:rPr>
          <w:rFonts w:cs="Times New Roman"/>
          <w:szCs w:val="24"/>
        </w:rPr>
        <w:t>PSIR reconstruction, gradient echo sequences, TI 240ms, TR 29.76ms, TE 5.17ms, FA 30°, FOV 350x263mm2, matrix 256x166, voxel size 1.4x1.4mm2, ST 7mm, gap between slices 0mm.</w:t>
      </w:r>
    </w:p>
    <w:p w14:paraId="1486352E" w14:textId="77777777" w:rsidR="00BE28B0" w:rsidRPr="00BE28B0" w:rsidRDefault="00BE28B0" w:rsidP="00BE28B0">
      <w:pPr>
        <w:jc w:val="both"/>
        <w:rPr>
          <w:rFonts w:cs="Times New Roman"/>
          <w:b/>
          <w:bCs/>
          <w:szCs w:val="24"/>
        </w:rPr>
      </w:pPr>
      <w:r w:rsidRPr="00BE28B0">
        <w:rPr>
          <w:rFonts w:cs="Times New Roman"/>
          <w:b/>
          <w:bCs/>
          <w:szCs w:val="24"/>
        </w:rPr>
        <w:t>Synthetic Extracellular volume:</w:t>
      </w:r>
    </w:p>
    <w:p w14:paraId="7BB2F13C" w14:textId="77777777" w:rsidR="00BE28B0" w:rsidRPr="00BE28B0" w:rsidRDefault="00BE28B0" w:rsidP="00BE28B0">
      <w:pPr>
        <w:jc w:val="both"/>
        <w:rPr>
          <w:rFonts w:cs="Times New Roman"/>
          <w:szCs w:val="24"/>
        </w:rPr>
      </w:pPr>
      <w:r w:rsidRPr="00BE28B0">
        <w:rPr>
          <w:rFonts w:cs="Times New Roman"/>
          <w:szCs w:val="24"/>
        </w:rPr>
        <w:t>Prototype-sequence,</w:t>
      </w:r>
    </w:p>
    <w:p w14:paraId="1ADD8E99" w14:textId="77777777" w:rsidR="00BE28B0" w:rsidRPr="00BE28B0" w:rsidRDefault="00BE28B0" w:rsidP="00BE28B0">
      <w:pPr>
        <w:jc w:val="both"/>
        <w:rPr>
          <w:rFonts w:cs="Times New Roman"/>
          <w:szCs w:val="24"/>
        </w:rPr>
      </w:pPr>
      <w:r w:rsidRPr="00BE28B0">
        <w:rPr>
          <w:rFonts w:cs="Times New Roman"/>
          <w:szCs w:val="24"/>
        </w:rPr>
        <w:lastRenderedPageBreak/>
        <w:t>Pre-contrast: 5(3)3 MOLLI acquisition scheme, TR 3.9ms, TE 1.13ms, FA 35°, TI 180ms, FOV 360×270mm2, matrix 256x144, voxel size 1.4x1.4mm2, ST 6 mm, GRAPPA acceleration factor 2, motion corrected.</w:t>
      </w:r>
    </w:p>
    <w:p w14:paraId="40B44A8A" w14:textId="77777777" w:rsidR="00BE28B0" w:rsidRPr="00BE28B0" w:rsidRDefault="00BE28B0" w:rsidP="00BE28B0">
      <w:pPr>
        <w:jc w:val="both"/>
        <w:rPr>
          <w:rFonts w:cs="Times New Roman"/>
          <w:szCs w:val="24"/>
        </w:rPr>
      </w:pPr>
      <w:r w:rsidRPr="00BE28B0">
        <w:rPr>
          <w:rFonts w:cs="Times New Roman"/>
          <w:szCs w:val="24"/>
        </w:rPr>
        <w:t>Post-contrast: 4(1)3(1)2 MOLLI acquisition scheme, TR 5ms, TE 1.13ms, FA 35°, TI 260ms, FOV 360×270mm2, matrix 256x144, voxel size 1.4x1.4mm2, ST 6 mm, GRAPPA acceleration factor 2, motion corrected.</w:t>
      </w:r>
    </w:p>
    <w:p w14:paraId="5F9C6A7F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0EAE663A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53947B9D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025706E3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58BBE424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17B771A5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5C07C822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54E428FA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6893538D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51850FFD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750F6A4C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70A63EDC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3D6E688C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4F509401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0E249BBF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5FC62142" w14:textId="77777777" w:rsidR="00C77041" w:rsidRDefault="00C77041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0F049129" w14:textId="3A88B808" w:rsidR="00BE28B0" w:rsidRDefault="00BE28B0" w:rsidP="00BE28B0">
      <w:pPr>
        <w:pStyle w:val="berschrift1"/>
      </w:pPr>
      <w:r w:rsidRPr="00BE28B0">
        <w:lastRenderedPageBreak/>
        <w:t xml:space="preserve">Supplementary data </w:t>
      </w:r>
      <w:r w:rsidRPr="00BE28B0">
        <w:t>E2. Baseline and follow-up comparisons of symptomatic and asymptomatic patients</w:t>
      </w:r>
    </w:p>
    <w:p w14:paraId="42E4F2BC" w14:textId="77777777" w:rsidR="00BE28B0" w:rsidRPr="00BE28B0" w:rsidRDefault="00BE28B0" w:rsidP="00BE28B0"/>
    <w:tbl>
      <w:tblPr>
        <w:tblStyle w:val="Gitternetztabelle6farbig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2694"/>
        <w:gridCol w:w="1275"/>
      </w:tblGrid>
      <w:tr w:rsidR="00BE28B0" w:rsidRPr="00BE28B0" w14:paraId="354CE536" w14:textId="77777777" w:rsidTr="00B80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3D419807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Parameter</w:t>
            </w:r>
          </w:p>
        </w:tc>
        <w:tc>
          <w:tcPr>
            <w:tcW w:w="2551" w:type="dxa"/>
            <w:noWrap/>
            <w:vAlign w:val="center"/>
          </w:tcPr>
          <w:p w14:paraId="18721EFC" w14:textId="77777777" w:rsidR="00BE28B0" w:rsidRPr="00BE28B0" w:rsidRDefault="00BE28B0" w:rsidP="00B80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Asymptomatic at FU (N=22)</w:t>
            </w:r>
          </w:p>
        </w:tc>
        <w:tc>
          <w:tcPr>
            <w:tcW w:w="2694" w:type="dxa"/>
            <w:noWrap/>
            <w:vAlign w:val="center"/>
          </w:tcPr>
          <w:p w14:paraId="6D1B663D" w14:textId="77777777" w:rsidR="00BE28B0" w:rsidRPr="00BE28B0" w:rsidRDefault="00BE28B0" w:rsidP="00B80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Symptomatic at FU (N=21)</w:t>
            </w:r>
          </w:p>
        </w:tc>
        <w:tc>
          <w:tcPr>
            <w:tcW w:w="1275" w:type="dxa"/>
            <w:vAlign w:val="center"/>
          </w:tcPr>
          <w:p w14:paraId="4F2E10F2" w14:textId="77777777" w:rsidR="00BE28B0" w:rsidRPr="00BE28B0" w:rsidRDefault="00BE28B0" w:rsidP="00B80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p-value</w:t>
            </w:r>
          </w:p>
        </w:tc>
      </w:tr>
      <w:tr w:rsidR="00BE28B0" w:rsidRPr="00BE28B0" w14:paraId="10D20159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2022587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LA (cm</w:t>
            </w:r>
            <w:r w:rsidRPr="00BE28B0">
              <w:rPr>
                <w:rFonts w:cs="Times New Roman"/>
                <w:b w:val="0"/>
                <w:bCs w:val="0"/>
                <w:szCs w:val="24"/>
                <w:vertAlign w:val="superscript"/>
              </w:rPr>
              <w:t>2</w:t>
            </w:r>
            <w:r w:rsidRPr="00BE28B0">
              <w:rPr>
                <w:rFonts w:cs="Times New Roman"/>
                <w:b w:val="0"/>
                <w:bCs w:val="0"/>
                <w:szCs w:val="24"/>
              </w:rPr>
              <w:t>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07668EE1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19.9 (16.7-26.6)</w:t>
            </w:r>
          </w:p>
        </w:tc>
        <w:tc>
          <w:tcPr>
            <w:tcW w:w="2694" w:type="dxa"/>
            <w:noWrap/>
            <w:vAlign w:val="center"/>
            <w:hideMark/>
          </w:tcPr>
          <w:p w14:paraId="0483F142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18.0 (15.9-20.2)</w:t>
            </w:r>
          </w:p>
        </w:tc>
        <w:tc>
          <w:tcPr>
            <w:tcW w:w="1275" w:type="dxa"/>
            <w:vAlign w:val="center"/>
          </w:tcPr>
          <w:p w14:paraId="54CB2833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b/>
                <w:bCs/>
                <w:szCs w:val="24"/>
              </w:rPr>
              <w:t>.049*</w:t>
            </w:r>
          </w:p>
        </w:tc>
      </w:tr>
      <w:tr w:rsidR="00BE28B0" w:rsidRPr="00BE28B0" w14:paraId="6B995F4B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38A7E7C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LA -EDV/BSA (ml/m</w:t>
            </w:r>
            <w:r w:rsidRPr="00BE28B0">
              <w:rPr>
                <w:rFonts w:cs="Times New Roman"/>
                <w:b w:val="0"/>
                <w:bCs w:val="0"/>
                <w:szCs w:val="24"/>
                <w:vertAlign w:val="superscript"/>
              </w:rPr>
              <w:t>2</w:t>
            </w:r>
            <w:r w:rsidRPr="00BE28B0">
              <w:rPr>
                <w:rFonts w:cs="Times New Roman"/>
                <w:b w:val="0"/>
                <w:bCs w:val="0"/>
                <w:szCs w:val="24"/>
              </w:rPr>
              <w:t>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53233C01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33.7 (29.1-41.4)</w:t>
            </w:r>
          </w:p>
        </w:tc>
        <w:tc>
          <w:tcPr>
            <w:tcW w:w="2694" w:type="dxa"/>
            <w:noWrap/>
            <w:vAlign w:val="center"/>
            <w:hideMark/>
          </w:tcPr>
          <w:p w14:paraId="09C1CDDB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29.6 (23.6-32.1)</w:t>
            </w:r>
          </w:p>
        </w:tc>
        <w:tc>
          <w:tcPr>
            <w:tcW w:w="1275" w:type="dxa"/>
            <w:vAlign w:val="center"/>
          </w:tcPr>
          <w:p w14:paraId="6B02F5B7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b/>
                <w:bCs/>
                <w:szCs w:val="24"/>
              </w:rPr>
              <w:t>.011*</w:t>
            </w:r>
          </w:p>
        </w:tc>
      </w:tr>
      <w:tr w:rsidR="00BE28B0" w:rsidRPr="00BE28B0" w14:paraId="4E666771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75E9BD26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LA-EF (%)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230A5337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63.1 (56.2-70,0)</w:t>
            </w:r>
          </w:p>
        </w:tc>
        <w:tc>
          <w:tcPr>
            <w:tcW w:w="2694" w:type="dxa"/>
            <w:noWrap/>
            <w:vAlign w:val="center"/>
            <w:hideMark/>
          </w:tcPr>
          <w:p w14:paraId="5E273AEC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67.2 (64.7-69.3)</w:t>
            </w:r>
          </w:p>
        </w:tc>
        <w:tc>
          <w:tcPr>
            <w:tcW w:w="1275" w:type="dxa"/>
            <w:vAlign w:val="center"/>
          </w:tcPr>
          <w:p w14:paraId="220C56B0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.06*</w:t>
            </w:r>
          </w:p>
        </w:tc>
      </w:tr>
      <w:tr w:rsidR="00BE28B0" w:rsidRPr="00BE28B0" w14:paraId="7B5C02A1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499B3B28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RA (cm</w:t>
            </w:r>
            <w:r w:rsidRPr="00BE28B0">
              <w:rPr>
                <w:rFonts w:cs="Times New Roman"/>
                <w:b w:val="0"/>
                <w:bCs w:val="0"/>
                <w:szCs w:val="24"/>
                <w:vertAlign w:val="superscript"/>
              </w:rPr>
              <w:t>2</w:t>
            </w:r>
            <w:r w:rsidRPr="00BE28B0">
              <w:rPr>
                <w:rFonts w:cs="Times New Roman"/>
                <w:b w:val="0"/>
                <w:bCs w:val="0"/>
                <w:szCs w:val="24"/>
              </w:rPr>
              <w:t>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633956F4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20.5 (16.6-23.8)</w:t>
            </w:r>
          </w:p>
        </w:tc>
        <w:tc>
          <w:tcPr>
            <w:tcW w:w="2694" w:type="dxa"/>
            <w:noWrap/>
            <w:vAlign w:val="center"/>
            <w:hideMark/>
          </w:tcPr>
          <w:p w14:paraId="29C9BE49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19.0 (17.8-21.4)</w:t>
            </w:r>
          </w:p>
        </w:tc>
        <w:tc>
          <w:tcPr>
            <w:tcW w:w="1275" w:type="dxa"/>
            <w:vAlign w:val="center"/>
          </w:tcPr>
          <w:p w14:paraId="3B95C2B9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.50*</w:t>
            </w:r>
          </w:p>
        </w:tc>
      </w:tr>
      <w:tr w:rsidR="00BE28B0" w:rsidRPr="00BE28B0" w14:paraId="4916D552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13DDC903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RA-EF (%)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3E752892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45.8 (34.9-58.5)</w:t>
            </w:r>
          </w:p>
        </w:tc>
        <w:tc>
          <w:tcPr>
            <w:tcW w:w="2694" w:type="dxa"/>
            <w:noWrap/>
            <w:vAlign w:val="center"/>
            <w:hideMark/>
          </w:tcPr>
          <w:p w14:paraId="2FA23086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47.6 (42.5-61.3)</w:t>
            </w:r>
          </w:p>
        </w:tc>
        <w:tc>
          <w:tcPr>
            <w:tcW w:w="1275" w:type="dxa"/>
            <w:vAlign w:val="center"/>
          </w:tcPr>
          <w:p w14:paraId="7C2C4317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vertAlign w:val="superscript"/>
              </w:rPr>
            </w:pPr>
            <w:r w:rsidRPr="00BE28B0">
              <w:rPr>
                <w:rFonts w:cs="Times New Roman"/>
                <w:szCs w:val="24"/>
              </w:rPr>
              <w:t>.28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78629AB3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0C029052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LV-EDV (ml)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596751FC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140.1 (123.8-174.0)</w:t>
            </w:r>
          </w:p>
        </w:tc>
        <w:tc>
          <w:tcPr>
            <w:tcW w:w="2694" w:type="dxa"/>
            <w:noWrap/>
            <w:vAlign w:val="center"/>
            <w:hideMark/>
          </w:tcPr>
          <w:p w14:paraId="6BC1133A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131.2 (111.6-143.8)</w:t>
            </w:r>
          </w:p>
        </w:tc>
        <w:tc>
          <w:tcPr>
            <w:tcW w:w="1275" w:type="dxa"/>
            <w:vAlign w:val="center"/>
          </w:tcPr>
          <w:p w14:paraId="690B7A60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.09*</w:t>
            </w:r>
          </w:p>
        </w:tc>
      </w:tr>
      <w:tr w:rsidR="00BE28B0" w:rsidRPr="00BE28B0" w14:paraId="5D9353E6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79D5BF75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LV-ESV (ml)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181EE437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52.0 (45.5-72.8)</w:t>
            </w:r>
          </w:p>
        </w:tc>
        <w:tc>
          <w:tcPr>
            <w:tcW w:w="2694" w:type="dxa"/>
            <w:noWrap/>
            <w:vAlign w:val="center"/>
            <w:hideMark/>
          </w:tcPr>
          <w:p w14:paraId="7425DD6E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49.0 (39.2-56.1)</w:t>
            </w:r>
          </w:p>
        </w:tc>
        <w:tc>
          <w:tcPr>
            <w:tcW w:w="1275" w:type="dxa"/>
            <w:vAlign w:val="center"/>
          </w:tcPr>
          <w:p w14:paraId="6BACC1CA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.12*</w:t>
            </w:r>
          </w:p>
        </w:tc>
      </w:tr>
      <w:tr w:rsidR="00BE28B0" w:rsidRPr="00BE28B0" w14:paraId="480AD35C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78067F95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LV-SV (ml)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2C597FF3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90.7 (76.6-110.5)</w:t>
            </w:r>
          </w:p>
        </w:tc>
        <w:tc>
          <w:tcPr>
            <w:tcW w:w="2694" w:type="dxa"/>
            <w:noWrap/>
            <w:vAlign w:val="center"/>
            <w:hideMark/>
          </w:tcPr>
          <w:p w14:paraId="008E5AD5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79.6 (69.6-90.4)</w:t>
            </w:r>
          </w:p>
        </w:tc>
        <w:tc>
          <w:tcPr>
            <w:tcW w:w="1275" w:type="dxa"/>
            <w:vAlign w:val="center"/>
          </w:tcPr>
          <w:p w14:paraId="703F50C7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.09*</w:t>
            </w:r>
          </w:p>
        </w:tc>
      </w:tr>
      <w:tr w:rsidR="00BE28B0" w:rsidRPr="00BE28B0" w14:paraId="21C883AD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25B598B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LV-EF (%)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658723A1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63.5 (57.7-65.8)</w:t>
            </w:r>
          </w:p>
        </w:tc>
        <w:tc>
          <w:tcPr>
            <w:tcW w:w="2694" w:type="dxa"/>
            <w:noWrap/>
            <w:vAlign w:val="center"/>
            <w:hideMark/>
          </w:tcPr>
          <w:p w14:paraId="0C6EB42E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62.6 (59.5-65.1)</w:t>
            </w:r>
          </w:p>
        </w:tc>
        <w:tc>
          <w:tcPr>
            <w:tcW w:w="1275" w:type="dxa"/>
            <w:vAlign w:val="center"/>
          </w:tcPr>
          <w:p w14:paraId="0E02F047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.87*</w:t>
            </w:r>
          </w:p>
        </w:tc>
      </w:tr>
      <w:tr w:rsidR="00BE28B0" w:rsidRPr="00BE28B0" w14:paraId="4A115BD7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247039F3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LV-M (g)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006BD84D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77.0 (69.5-123.3)</w:t>
            </w:r>
          </w:p>
        </w:tc>
        <w:tc>
          <w:tcPr>
            <w:tcW w:w="2694" w:type="dxa"/>
            <w:noWrap/>
            <w:vAlign w:val="center"/>
            <w:hideMark/>
          </w:tcPr>
          <w:p w14:paraId="4455BE37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75.1 (58.6-81.2)</w:t>
            </w:r>
          </w:p>
        </w:tc>
        <w:tc>
          <w:tcPr>
            <w:tcW w:w="1275" w:type="dxa"/>
            <w:vAlign w:val="center"/>
          </w:tcPr>
          <w:p w14:paraId="286F1F52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.12*</w:t>
            </w:r>
          </w:p>
        </w:tc>
      </w:tr>
      <w:tr w:rsidR="00BE28B0" w:rsidRPr="00BE28B0" w14:paraId="1FBE9188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16FD12C9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RV-EF (</w:t>
            </w:r>
            <w:proofErr w:type="gramStart"/>
            <w:r w:rsidRPr="00BE28B0">
              <w:rPr>
                <w:rFonts w:cs="Times New Roman"/>
                <w:b w:val="0"/>
                <w:bCs w:val="0"/>
                <w:szCs w:val="24"/>
              </w:rPr>
              <w:t>%)at</w:t>
            </w:r>
            <w:proofErr w:type="gramEnd"/>
            <w:r w:rsidRPr="00BE28B0">
              <w:rPr>
                <w:rFonts w:cs="Times New Roman"/>
                <w:b w:val="0"/>
                <w:bCs w:val="0"/>
                <w:szCs w:val="24"/>
              </w:rPr>
              <w:t xml:space="preserve">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05C66E08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53.6 (49.6-57.3)</w:t>
            </w:r>
          </w:p>
        </w:tc>
        <w:tc>
          <w:tcPr>
            <w:tcW w:w="2694" w:type="dxa"/>
            <w:noWrap/>
            <w:vAlign w:val="center"/>
            <w:hideMark/>
          </w:tcPr>
          <w:p w14:paraId="2877E78C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54.0 (51.6-58.2)</w:t>
            </w:r>
          </w:p>
        </w:tc>
        <w:tc>
          <w:tcPr>
            <w:tcW w:w="1275" w:type="dxa"/>
            <w:vAlign w:val="center"/>
          </w:tcPr>
          <w:p w14:paraId="1AFABA02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.40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3BE724FD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CE1C7B9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RV-EDV (ml)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2CB802B0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154.6 (125.7-203.3)</w:t>
            </w:r>
          </w:p>
        </w:tc>
        <w:tc>
          <w:tcPr>
            <w:tcW w:w="2694" w:type="dxa"/>
            <w:noWrap/>
            <w:vAlign w:val="center"/>
            <w:hideMark/>
          </w:tcPr>
          <w:p w14:paraId="2A4BE4CB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144.1 (122.0-159.9)</w:t>
            </w:r>
          </w:p>
        </w:tc>
        <w:tc>
          <w:tcPr>
            <w:tcW w:w="1275" w:type="dxa"/>
            <w:vAlign w:val="center"/>
          </w:tcPr>
          <w:p w14:paraId="3C9504D5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b/>
                <w:bCs/>
                <w:szCs w:val="24"/>
              </w:rPr>
              <w:t>.049</w:t>
            </w:r>
            <w:r w:rsidRPr="00BE28B0">
              <w:rPr>
                <w:rFonts w:cs="Times New Roman"/>
                <w:b/>
                <w:bCs/>
                <w:szCs w:val="24"/>
                <w:vertAlign w:val="superscript"/>
              </w:rPr>
              <w:t>†</w:t>
            </w:r>
          </w:p>
        </w:tc>
      </w:tr>
      <w:tr w:rsidR="00BE28B0" w:rsidRPr="00BE28B0" w14:paraId="60A67D2F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2D82CDEF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RV-SV (ml)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0E23235E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84.7 (74.4-104.7)</w:t>
            </w:r>
          </w:p>
        </w:tc>
        <w:tc>
          <w:tcPr>
            <w:tcW w:w="2694" w:type="dxa"/>
            <w:noWrap/>
            <w:vAlign w:val="center"/>
            <w:hideMark/>
          </w:tcPr>
          <w:p w14:paraId="751082F2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77.0 (71.8-81.5)</w:t>
            </w:r>
          </w:p>
        </w:tc>
        <w:tc>
          <w:tcPr>
            <w:tcW w:w="1275" w:type="dxa"/>
            <w:vAlign w:val="center"/>
          </w:tcPr>
          <w:p w14:paraId="157C67CA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.07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499197D1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E1D54E1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native T1 (ms)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764E2FA6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1009.5 (980.8-1038.7)</w:t>
            </w:r>
          </w:p>
        </w:tc>
        <w:tc>
          <w:tcPr>
            <w:tcW w:w="2694" w:type="dxa"/>
            <w:noWrap/>
            <w:vAlign w:val="center"/>
            <w:hideMark/>
          </w:tcPr>
          <w:p w14:paraId="3086F382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(1016.9 (1001.2-1043.0)</w:t>
            </w:r>
          </w:p>
        </w:tc>
        <w:tc>
          <w:tcPr>
            <w:tcW w:w="1275" w:type="dxa"/>
            <w:vAlign w:val="center"/>
          </w:tcPr>
          <w:p w14:paraId="443893F9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.27*</w:t>
            </w:r>
          </w:p>
        </w:tc>
      </w:tr>
      <w:tr w:rsidR="00BE28B0" w:rsidRPr="00BE28B0" w14:paraId="083EE52C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7179F707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T2 (ms)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6F06BA08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50.5 (48.8-52.3)</w:t>
            </w:r>
          </w:p>
        </w:tc>
        <w:tc>
          <w:tcPr>
            <w:tcW w:w="2694" w:type="dxa"/>
            <w:noWrap/>
            <w:vAlign w:val="center"/>
            <w:hideMark/>
          </w:tcPr>
          <w:p w14:paraId="701BB3B9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49.3 (48.8-51.2)</w:t>
            </w:r>
          </w:p>
        </w:tc>
        <w:tc>
          <w:tcPr>
            <w:tcW w:w="1275" w:type="dxa"/>
            <w:vAlign w:val="center"/>
          </w:tcPr>
          <w:p w14:paraId="71CAB2EB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.40*</w:t>
            </w:r>
          </w:p>
        </w:tc>
      </w:tr>
      <w:tr w:rsidR="00BE28B0" w:rsidRPr="00BE28B0" w14:paraId="487EF4E7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FEA8FF0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ECV (%)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14A0EAEB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23.6 (22.2-26.5)</w:t>
            </w:r>
          </w:p>
        </w:tc>
        <w:tc>
          <w:tcPr>
            <w:tcW w:w="2694" w:type="dxa"/>
            <w:noWrap/>
            <w:vAlign w:val="center"/>
            <w:hideMark/>
          </w:tcPr>
          <w:p w14:paraId="7C60EF3E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24.5 (23.1-26.7)</w:t>
            </w:r>
          </w:p>
        </w:tc>
        <w:tc>
          <w:tcPr>
            <w:tcW w:w="1275" w:type="dxa"/>
            <w:vAlign w:val="center"/>
          </w:tcPr>
          <w:p w14:paraId="2DC70E5E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.63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173CB590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49862A11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lastRenderedPageBreak/>
              <w:t>Global longitudinal strain (%)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3B08BA73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-183 (-19.0- (-16.7)</w:t>
            </w:r>
          </w:p>
        </w:tc>
        <w:tc>
          <w:tcPr>
            <w:tcW w:w="2694" w:type="dxa"/>
            <w:noWrap/>
            <w:vAlign w:val="center"/>
            <w:hideMark/>
          </w:tcPr>
          <w:p w14:paraId="58E5934F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-19.1(-20.2-(-17.3)</w:t>
            </w:r>
          </w:p>
        </w:tc>
        <w:tc>
          <w:tcPr>
            <w:tcW w:w="1275" w:type="dxa"/>
            <w:vAlign w:val="center"/>
          </w:tcPr>
          <w:p w14:paraId="7A512D1D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.11*</w:t>
            </w:r>
          </w:p>
        </w:tc>
      </w:tr>
      <w:tr w:rsidR="00BE28B0" w:rsidRPr="00BE28B0" w14:paraId="382A4FF2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0F0E0AE4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radial strain (%)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28C47B6F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25.6 (22.6-28.6)</w:t>
            </w:r>
          </w:p>
        </w:tc>
        <w:tc>
          <w:tcPr>
            <w:tcW w:w="2694" w:type="dxa"/>
            <w:noWrap/>
            <w:vAlign w:val="center"/>
            <w:hideMark/>
          </w:tcPr>
          <w:p w14:paraId="14C02A6B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24.7 (23.4-28.1)</w:t>
            </w:r>
          </w:p>
        </w:tc>
        <w:tc>
          <w:tcPr>
            <w:tcW w:w="1275" w:type="dxa"/>
            <w:vAlign w:val="center"/>
          </w:tcPr>
          <w:p w14:paraId="2B27FD39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.73*</w:t>
            </w:r>
          </w:p>
        </w:tc>
      </w:tr>
      <w:tr w:rsidR="00BE28B0" w:rsidRPr="00BE28B0" w14:paraId="3B68EC9F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4A49C164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circumferential strain (%)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0A8D084D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-16.7 (-17.8 -(-15,3)</w:t>
            </w:r>
          </w:p>
        </w:tc>
        <w:tc>
          <w:tcPr>
            <w:tcW w:w="2694" w:type="dxa"/>
            <w:noWrap/>
            <w:vAlign w:val="center"/>
            <w:hideMark/>
          </w:tcPr>
          <w:p w14:paraId="5F8425D2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-16.2(-17.6-(-15.7)</w:t>
            </w:r>
          </w:p>
        </w:tc>
        <w:tc>
          <w:tcPr>
            <w:tcW w:w="1275" w:type="dxa"/>
            <w:vAlign w:val="center"/>
          </w:tcPr>
          <w:p w14:paraId="6BABDDCD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.69*</w:t>
            </w:r>
          </w:p>
        </w:tc>
      </w:tr>
      <w:tr w:rsidR="00BE28B0" w:rsidRPr="00BE28B0" w14:paraId="2065CC32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434A6003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LA (cm</w:t>
            </w:r>
            <w:r w:rsidRPr="00BE28B0">
              <w:rPr>
                <w:rFonts w:cs="Times New Roman"/>
                <w:b w:val="0"/>
                <w:bCs w:val="0"/>
                <w:szCs w:val="24"/>
                <w:vertAlign w:val="superscript"/>
              </w:rPr>
              <w:t>2</w:t>
            </w:r>
            <w:r w:rsidRPr="00BE28B0">
              <w:rPr>
                <w:rFonts w:cs="Times New Roman"/>
                <w:b w:val="0"/>
                <w:bCs w:val="0"/>
                <w:szCs w:val="24"/>
              </w:rPr>
              <w:t>) at FU</w:t>
            </w:r>
          </w:p>
        </w:tc>
        <w:tc>
          <w:tcPr>
            <w:tcW w:w="2551" w:type="dxa"/>
            <w:noWrap/>
            <w:vAlign w:val="center"/>
          </w:tcPr>
          <w:p w14:paraId="17521B2C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21.5 (18.0-25.3)</w:t>
            </w:r>
          </w:p>
        </w:tc>
        <w:tc>
          <w:tcPr>
            <w:tcW w:w="2694" w:type="dxa"/>
            <w:noWrap/>
            <w:vAlign w:val="center"/>
          </w:tcPr>
          <w:p w14:paraId="43E936C8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18.1 (16.8-21.9)</w:t>
            </w:r>
          </w:p>
        </w:tc>
        <w:tc>
          <w:tcPr>
            <w:tcW w:w="1275" w:type="dxa"/>
            <w:vAlign w:val="center"/>
          </w:tcPr>
          <w:p w14:paraId="64E781A7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.05*</w:t>
            </w:r>
          </w:p>
        </w:tc>
      </w:tr>
      <w:tr w:rsidR="00BE28B0" w:rsidRPr="00BE28B0" w14:paraId="3FA581E9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7C575C8C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LA -EDV/BSA (ml/m</w:t>
            </w:r>
            <w:r w:rsidRPr="00BE28B0">
              <w:rPr>
                <w:rFonts w:cs="Times New Roman"/>
                <w:b w:val="0"/>
                <w:bCs w:val="0"/>
                <w:szCs w:val="24"/>
                <w:vertAlign w:val="superscript"/>
              </w:rPr>
              <w:t>2</w:t>
            </w:r>
            <w:r w:rsidRPr="00BE28B0">
              <w:rPr>
                <w:rFonts w:cs="Times New Roman"/>
                <w:b w:val="0"/>
                <w:bCs w:val="0"/>
                <w:szCs w:val="24"/>
              </w:rPr>
              <w:t>) at FU</w:t>
            </w:r>
          </w:p>
        </w:tc>
        <w:tc>
          <w:tcPr>
            <w:tcW w:w="2551" w:type="dxa"/>
            <w:noWrap/>
            <w:vAlign w:val="center"/>
          </w:tcPr>
          <w:p w14:paraId="3E866484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35.4 (31.5-40.9)</w:t>
            </w:r>
          </w:p>
        </w:tc>
        <w:tc>
          <w:tcPr>
            <w:tcW w:w="2694" w:type="dxa"/>
            <w:noWrap/>
            <w:vAlign w:val="center"/>
          </w:tcPr>
          <w:p w14:paraId="44CAE6F5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32.1 (25.4-37.9)</w:t>
            </w:r>
          </w:p>
        </w:tc>
        <w:tc>
          <w:tcPr>
            <w:tcW w:w="1275" w:type="dxa"/>
            <w:vAlign w:val="center"/>
          </w:tcPr>
          <w:p w14:paraId="370B1806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.09*</w:t>
            </w:r>
          </w:p>
        </w:tc>
      </w:tr>
      <w:tr w:rsidR="00BE28B0" w:rsidRPr="00BE28B0" w14:paraId="7AD03D48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4B75986B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LA-EF (%) at FU</w:t>
            </w:r>
          </w:p>
        </w:tc>
        <w:tc>
          <w:tcPr>
            <w:tcW w:w="2551" w:type="dxa"/>
            <w:noWrap/>
            <w:vAlign w:val="center"/>
          </w:tcPr>
          <w:p w14:paraId="7965135D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63.2 (58.9-65.5)</w:t>
            </w:r>
          </w:p>
        </w:tc>
        <w:tc>
          <w:tcPr>
            <w:tcW w:w="2694" w:type="dxa"/>
            <w:noWrap/>
            <w:vAlign w:val="center"/>
          </w:tcPr>
          <w:p w14:paraId="35A4D677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67.7 (60.7-72.6)</w:t>
            </w:r>
          </w:p>
        </w:tc>
        <w:tc>
          <w:tcPr>
            <w:tcW w:w="1275" w:type="dxa"/>
            <w:vAlign w:val="center"/>
          </w:tcPr>
          <w:p w14:paraId="0FC45A7E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b/>
                <w:bCs/>
                <w:szCs w:val="24"/>
              </w:rPr>
              <w:t>.01*</w:t>
            </w:r>
          </w:p>
        </w:tc>
      </w:tr>
      <w:tr w:rsidR="00BE28B0" w:rsidRPr="00BE28B0" w14:paraId="182C78FA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21CBE520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RA (cm</w:t>
            </w:r>
            <w:r w:rsidRPr="00BE28B0">
              <w:rPr>
                <w:rFonts w:cs="Times New Roman"/>
                <w:b w:val="0"/>
                <w:bCs w:val="0"/>
                <w:szCs w:val="24"/>
                <w:vertAlign w:val="superscript"/>
              </w:rPr>
              <w:t>2</w:t>
            </w:r>
            <w:r w:rsidRPr="00BE28B0">
              <w:rPr>
                <w:rFonts w:cs="Times New Roman"/>
                <w:b w:val="0"/>
                <w:bCs w:val="0"/>
                <w:szCs w:val="24"/>
              </w:rPr>
              <w:t>) at FU</w:t>
            </w:r>
          </w:p>
        </w:tc>
        <w:tc>
          <w:tcPr>
            <w:tcW w:w="2551" w:type="dxa"/>
            <w:noWrap/>
            <w:vAlign w:val="center"/>
          </w:tcPr>
          <w:p w14:paraId="2621BABE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20.4 (17.7-23.4)</w:t>
            </w:r>
          </w:p>
        </w:tc>
        <w:tc>
          <w:tcPr>
            <w:tcW w:w="2694" w:type="dxa"/>
            <w:noWrap/>
            <w:vAlign w:val="center"/>
          </w:tcPr>
          <w:p w14:paraId="7705D4C0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19.4 (16.4-22.4)</w:t>
            </w:r>
          </w:p>
        </w:tc>
        <w:tc>
          <w:tcPr>
            <w:tcW w:w="1275" w:type="dxa"/>
            <w:vAlign w:val="center"/>
          </w:tcPr>
          <w:p w14:paraId="35BFBFC3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.36*</w:t>
            </w:r>
          </w:p>
        </w:tc>
      </w:tr>
      <w:tr w:rsidR="00BE28B0" w:rsidRPr="00BE28B0" w14:paraId="6F0E98DD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7D29E030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RA-EF (%) at FU</w:t>
            </w:r>
          </w:p>
        </w:tc>
        <w:tc>
          <w:tcPr>
            <w:tcW w:w="2551" w:type="dxa"/>
            <w:noWrap/>
            <w:vAlign w:val="center"/>
          </w:tcPr>
          <w:p w14:paraId="4A8A9BAE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44.0 (33.2-55.1)</w:t>
            </w:r>
          </w:p>
        </w:tc>
        <w:tc>
          <w:tcPr>
            <w:tcW w:w="2694" w:type="dxa"/>
            <w:noWrap/>
            <w:vAlign w:val="center"/>
          </w:tcPr>
          <w:p w14:paraId="428340FF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48.9 (40.6-55.6)</w:t>
            </w:r>
          </w:p>
        </w:tc>
        <w:tc>
          <w:tcPr>
            <w:tcW w:w="1275" w:type="dxa"/>
            <w:vAlign w:val="center"/>
          </w:tcPr>
          <w:p w14:paraId="406147DC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.26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4A5F52CD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1E0B3D3D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LV-EDV (ml) at FU</w:t>
            </w:r>
          </w:p>
        </w:tc>
        <w:tc>
          <w:tcPr>
            <w:tcW w:w="2551" w:type="dxa"/>
            <w:noWrap/>
            <w:vAlign w:val="center"/>
          </w:tcPr>
          <w:p w14:paraId="303916D1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135.0 (126.2-183.1)</w:t>
            </w:r>
          </w:p>
        </w:tc>
        <w:tc>
          <w:tcPr>
            <w:tcW w:w="2694" w:type="dxa"/>
            <w:noWrap/>
            <w:vAlign w:val="center"/>
          </w:tcPr>
          <w:p w14:paraId="192D189C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137.3 (113.3-153.2)</w:t>
            </w:r>
          </w:p>
        </w:tc>
        <w:tc>
          <w:tcPr>
            <w:tcW w:w="1275" w:type="dxa"/>
            <w:vAlign w:val="center"/>
          </w:tcPr>
          <w:p w14:paraId="7215D37D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.14*</w:t>
            </w:r>
          </w:p>
        </w:tc>
      </w:tr>
      <w:tr w:rsidR="00BE28B0" w:rsidRPr="00BE28B0" w14:paraId="7B826717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45F86DFF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LV-ESV (ml) at FU</w:t>
            </w:r>
          </w:p>
        </w:tc>
        <w:tc>
          <w:tcPr>
            <w:tcW w:w="2551" w:type="dxa"/>
            <w:noWrap/>
            <w:vAlign w:val="center"/>
          </w:tcPr>
          <w:p w14:paraId="66A09C36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51.9 (42.8-74.2)</w:t>
            </w:r>
          </w:p>
        </w:tc>
        <w:tc>
          <w:tcPr>
            <w:tcW w:w="2694" w:type="dxa"/>
            <w:noWrap/>
            <w:vAlign w:val="center"/>
          </w:tcPr>
          <w:p w14:paraId="3A95B5E2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47.8 (34.7-60.4)</w:t>
            </w:r>
          </w:p>
        </w:tc>
        <w:tc>
          <w:tcPr>
            <w:tcW w:w="1275" w:type="dxa"/>
            <w:vAlign w:val="center"/>
          </w:tcPr>
          <w:p w14:paraId="1C6F7905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.23*</w:t>
            </w:r>
          </w:p>
        </w:tc>
      </w:tr>
      <w:tr w:rsidR="00BE28B0" w:rsidRPr="00BE28B0" w14:paraId="67E1C814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54B9D8FC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LV-SV (ml) at FU</w:t>
            </w:r>
          </w:p>
        </w:tc>
        <w:tc>
          <w:tcPr>
            <w:tcW w:w="2551" w:type="dxa"/>
            <w:noWrap/>
            <w:vAlign w:val="center"/>
          </w:tcPr>
          <w:p w14:paraId="78C630A8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84.4 (78.3-111.6)</w:t>
            </w:r>
          </w:p>
        </w:tc>
        <w:tc>
          <w:tcPr>
            <w:tcW w:w="2694" w:type="dxa"/>
            <w:noWrap/>
            <w:vAlign w:val="center"/>
          </w:tcPr>
          <w:p w14:paraId="6645998F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84.0 (71.7-97.7)</w:t>
            </w:r>
          </w:p>
        </w:tc>
        <w:tc>
          <w:tcPr>
            <w:tcW w:w="1275" w:type="dxa"/>
            <w:vAlign w:val="center"/>
          </w:tcPr>
          <w:p w14:paraId="1720FEF5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.22*</w:t>
            </w:r>
          </w:p>
        </w:tc>
      </w:tr>
      <w:tr w:rsidR="00BE28B0" w:rsidRPr="00BE28B0" w14:paraId="0B54FE8F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5BC5A79E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LV-EF (%) at FU</w:t>
            </w:r>
          </w:p>
        </w:tc>
        <w:tc>
          <w:tcPr>
            <w:tcW w:w="2551" w:type="dxa"/>
            <w:noWrap/>
            <w:vAlign w:val="center"/>
          </w:tcPr>
          <w:p w14:paraId="48BC3802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64.1 (59.2-66.3)</w:t>
            </w:r>
          </w:p>
        </w:tc>
        <w:tc>
          <w:tcPr>
            <w:tcW w:w="2694" w:type="dxa"/>
            <w:noWrap/>
            <w:vAlign w:val="center"/>
          </w:tcPr>
          <w:p w14:paraId="77BD75DF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64.7 (60.3-69.6)</w:t>
            </w:r>
          </w:p>
        </w:tc>
        <w:tc>
          <w:tcPr>
            <w:tcW w:w="1275" w:type="dxa"/>
            <w:vAlign w:val="center"/>
          </w:tcPr>
          <w:p w14:paraId="3A5FE15A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.31*</w:t>
            </w:r>
          </w:p>
        </w:tc>
      </w:tr>
      <w:tr w:rsidR="00BE28B0" w:rsidRPr="00BE28B0" w14:paraId="35BC791C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56B664A7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LV-M (g) at FU</w:t>
            </w:r>
          </w:p>
        </w:tc>
        <w:tc>
          <w:tcPr>
            <w:tcW w:w="2551" w:type="dxa"/>
            <w:noWrap/>
            <w:vAlign w:val="center"/>
          </w:tcPr>
          <w:p w14:paraId="2E40370E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75.1 (68.3-108.8)</w:t>
            </w:r>
          </w:p>
        </w:tc>
        <w:tc>
          <w:tcPr>
            <w:tcW w:w="2694" w:type="dxa"/>
            <w:noWrap/>
            <w:vAlign w:val="center"/>
          </w:tcPr>
          <w:p w14:paraId="708CEC80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74.7 (58.5-88.5)</w:t>
            </w:r>
          </w:p>
        </w:tc>
        <w:tc>
          <w:tcPr>
            <w:tcW w:w="1275" w:type="dxa"/>
            <w:vAlign w:val="center"/>
          </w:tcPr>
          <w:p w14:paraId="6959D139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.42*</w:t>
            </w:r>
          </w:p>
        </w:tc>
      </w:tr>
      <w:tr w:rsidR="00BE28B0" w:rsidRPr="00BE28B0" w14:paraId="34A84237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1A7EF540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RV-EF (%) at FU</w:t>
            </w:r>
          </w:p>
        </w:tc>
        <w:tc>
          <w:tcPr>
            <w:tcW w:w="2551" w:type="dxa"/>
            <w:noWrap/>
            <w:vAlign w:val="center"/>
          </w:tcPr>
          <w:p w14:paraId="13935612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53.7 (50.7-55.2)</w:t>
            </w:r>
          </w:p>
        </w:tc>
        <w:tc>
          <w:tcPr>
            <w:tcW w:w="2694" w:type="dxa"/>
            <w:noWrap/>
            <w:vAlign w:val="center"/>
          </w:tcPr>
          <w:p w14:paraId="16599E66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55.8 (54.0-59.2)</w:t>
            </w:r>
          </w:p>
        </w:tc>
        <w:tc>
          <w:tcPr>
            <w:tcW w:w="1275" w:type="dxa"/>
            <w:vAlign w:val="center"/>
          </w:tcPr>
          <w:p w14:paraId="071E68D4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.16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01503481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36011079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RV-EDV (ml) at FU</w:t>
            </w:r>
          </w:p>
        </w:tc>
        <w:tc>
          <w:tcPr>
            <w:tcW w:w="2551" w:type="dxa"/>
            <w:noWrap/>
            <w:vAlign w:val="center"/>
          </w:tcPr>
          <w:p w14:paraId="61E1B949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143.5 (132.4-198.0)</w:t>
            </w:r>
          </w:p>
        </w:tc>
        <w:tc>
          <w:tcPr>
            <w:tcW w:w="2694" w:type="dxa"/>
            <w:noWrap/>
            <w:vAlign w:val="center"/>
          </w:tcPr>
          <w:p w14:paraId="2B8E22BA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148.8 (126.4-172.4)</w:t>
            </w:r>
          </w:p>
        </w:tc>
        <w:tc>
          <w:tcPr>
            <w:tcW w:w="1275" w:type="dxa"/>
            <w:vAlign w:val="center"/>
          </w:tcPr>
          <w:p w14:paraId="06D7010E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.45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51EC74B6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7CFAF819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RV-SV (ml) at FU</w:t>
            </w:r>
          </w:p>
        </w:tc>
        <w:tc>
          <w:tcPr>
            <w:tcW w:w="2551" w:type="dxa"/>
            <w:noWrap/>
            <w:vAlign w:val="center"/>
          </w:tcPr>
          <w:p w14:paraId="430CE2F9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79.3 (70.5-99.2)</w:t>
            </w:r>
          </w:p>
        </w:tc>
        <w:tc>
          <w:tcPr>
            <w:tcW w:w="2694" w:type="dxa"/>
            <w:noWrap/>
            <w:vAlign w:val="center"/>
          </w:tcPr>
          <w:p w14:paraId="606C54A1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76.2 (65.9-97.4)</w:t>
            </w:r>
          </w:p>
        </w:tc>
        <w:tc>
          <w:tcPr>
            <w:tcW w:w="1275" w:type="dxa"/>
            <w:vAlign w:val="center"/>
          </w:tcPr>
          <w:p w14:paraId="36F78D17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.40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5784E6C5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77463D49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native T1 (ms) at FU</w:t>
            </w:r>
          </w:p>
        </w:tc>
        <w:tc>
          <w:tcPr>
            <w:tcW w:w="2551" w:type="dxa"/>
            <w:noWrap/>
            <w:vAlign w:val="center"/>
          </w:tcPr>
          <w:p w14:paraId="5CAA0B2F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1008.1 (987.3-1028.3)</w:t>
            </w:r>
          </w:p>
        </w:tc>
        <w:tc>
          <w:tcPr>
            <w:tcW w:w="2694" w:type="dxa"/>
            <w:noWrap/>
            <w:vAlign w:val="center"/>
          </w:tcPr>
          <w:p w14:paraId="027BF90C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1021.3 (1003.6-1033.9)</w:t>
            </w:r>
          </w:p>
        </w:tc>
        <w:tc>
          <w:tcPr>
            <w:tcW w:w="1275" w:type="dxa"/>
            <w:vAlign w:val="center"/>
          </w:tcPr>
          <w:p w14:paraId="690DF535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.16*</w:t>
            </w:r>
          </w:p>
        </w:tc>
      </w:tr>
      <w:tr w:rsidR="00BE28B0" w:rsidRPr="00BE28B0" w14:paraId="5A95D859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2095EF5B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T2 (ms) at FU</w:t>
            </w:r>
          </w:p>
        </w:tc>
        <w:tc>
          <w:tcPr>
            <w:tcW w:w="2551" w:type="dxa"/>
            <w:noWrap/>
            <w:vAlign w:val="center"/>
          </w:tcPr>
          <w:p w14:paraId="330C3D17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50.5 (49.2-51.6)</w:t>
            </w:r>
          </w:p>
        </w:tc>
        <w:tc>
          <w:tcPr>
            <w:tcW w:w="2694" w:type="dxa"/>
            <w:noWrap/>
            <w:vAlign w:val="center"/>
          </w:tcPr>
          <w:p w14:paraId="77907CAF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49.2 (48.4-50.8)</w:t>
            </w:r>
          </w:p>
        </w:tc>
        <w:tc>
          <w:tcPr>
            <w:tcW w:w="1275" w:type="dxa"/>
            <w:vAlign w:val="center"/>
          </w:tcPr>
          <w:p w14:paraId="7D0C43E6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b/>
                <w:bCs/>
                <w:szCs w:val="24"/>
              </w:rPr>
              <w:t>.04*</w:t>
            </w:r>
          </w:p>
        </w:tc>
      </w:tr>
      <w:tr w:rsidR="00BE28B0" w:rsidRPr="00BE28B0" w14:paraId="41812200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4199A9AB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ECV (%) at FU</w:t>
            </w:r>
          </w:p>
        </w:tc>
        <w:tc>
          <w:tcPr>
            <w:tcW w:w="2551" w:type="dxa"/>
            <w:noWrap/>
            <w:vAlign w:val="center"/>
          </w:tcPr>
          <w:p w14:paraId="3F0EEF12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23.1 (21.1-24.8)</w:t>
            </w:r>
          </w:p>
        </w:tc>
        <w:tc>
          <w:tcPr>
            <w:tcW w:w="2694" w:type="dxa"/>
            <w:noWrap/>
            <w:vAlign w:val="center"/>
          </w:tcPr>
          <w:p w14:paraId="3AF6593C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23.1 (22.5-25.8)</w:t>
            </w:r>
          </w:p>
        </w:tc>
        <w:tc>
          <w:tcPr>
            <w:tcW w:w="1275" w:type="dxa"/>
            <w:vAlign w:val="center"/>
          </w:tcPr>
          <w:p w14:paraId="17CA2885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.47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660F8BAB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12022FDF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lastRenderedPageBreak/>
              <w:t>Global longitudinal strain (%) at FU</w:t>
            </w:r>
          </w:p>
        </w:tc>
        <w:tc>
          <w:tcPr>
            <w:tcW w:w="2551" w:type="dxa"/>
            <w:noWrap/>
            <w:vAlign w:val="center"/>
          </w:tcPr>
          <w:p w14:paraId="78F337A1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-17.8 (-18.9-(-16.5)</w:t>
            </w:r>
          </w:p>
        </w:tc>
        <w:tc>
          <w:tcPr>
            <w:tcW w:w="2694" w:type="dxa"/>
            <w:noWrap/>
            <w:vAlign w:val="center"/>
          </w:tcPr>
          <w:p w14:paraId="25AA0F7B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-18.5 (-19.6- (-16.9)</w:t>
            </w:r>
          </w:p>
        </w:tc>
        <w:tc>
          <w:tcPr>
            <w:tcW w:w="1275" w:type="dxa"/>
            <w:vAlign w:val="center"/>
          </w:tcPr>
          <w:p w14:paraId="08209C0E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.22*</w:t>
            </w:r>
          </w:p>
        </w:tc>
      </w:tr>
      <w:tr w:rsidR="00BE28B0" w:rsidRPr="00BE28B0" w14:paraId="55F7D754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7D6DFD01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radial strain (%) at FU</w:t>
            </w:r>
          </w:p>
        </w:tc>
        <w:tc>
          <w:tcPr>
            <w:tcW w:w="2551" w:type="dxa"/>
            <w:noWrap/>
            <w:vAlign w:val="center"/>
          </w:tcPr>
          <w:p w14:paraId="7F90000D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28.2 (25.4-34.0)</w:t>
            </w:r>
          </w:p>
        </w:tc>
        <w:tc>
          <w:tcPr>
            <w:tcW w:w="2694" w:type="dxa"/>
            <w:noWrap/>
            <w:vAlign w:val="center"/>
          </w:tcPr>
          <w:p w14:paraId="525EFA1E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27.1 (23.6-29.4)</w:t>
            </w:r>
          </w:p>
        </w:tc>
        <w:tc>
          <w:tcPr>
            <w:tcW w:w="1275" w:type="dxa"/>
            <w:vAlign w:val="center"/>
          </w:tcPr>
          <w:p w14:paraId="20AE336E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.42*</w:t>
            </w:r>
          </w:p>
        </w:tc>
      </w:tr>
      <w:tr w:rsidR="00BE28B0" w:rsidRPr="00BE28B0" w14:paraId="7526D69E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200C9F96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circumferential strain (%) at FU</w:t>
            </w:r>
          </w:p>
        </w:tc>
        <w:tc>
          <w:tcPr>
            <w:tcW w:w="2551" w:type="dxa"/>
            <w:noWrap/>
            <w:vAlign w:val="center"/>
          </w:tcPr>
          <w:p w14:paraId="1F5310D1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-17.6(-19.8 -(-16.6)</w:t>
            </w:r>
          </w:p>
        </w:tc>
        <w:tc>
          <w:tcPr>
            <w:tcW w:w="2694" w:type="dxa"/>
            <w:noWrap/>
            <w:vAlign w:val="center"/>
          </w:tcPr>
          <w:p w14:paraId="50B8D4CD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-17.0(-18.1-(-15.7)</w:t>
            </w:r>
          </w:p>
        </w:tc>
        <w:tc>
          <w:tcPr>
            <w:tcW w:w="1275" w:type="dxa"/>
            <w:vAlign w:val="center"/>
          </w:tcPr>
          <w:p w14:paraId="5DC8A31F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szCs w:val="24"/>
              </w:rPr>
              <w:t>.33*</w:t>
            </w:r>
          </w:p>
        </w:tc>
      </w:tr>
    </w:tbl>
    <w:p w14:paraId="4FA9CD45" w14:textId="77777777" w:rsidR="00BE28B0" w:rsidRDefault="00BE28B0" w:rsidP="00BE28B0">
      <w:pPr>
        <w:rPr>
          <w:rFonts w:ascii="Arial" w:hAnsi="Arial" w:cs="Arial"/>
        </w:rPr>
      </w:pPr>
    </w:p>
    <w:p w14:paraId="6E045CFD" w14:textId="03DED406" w:rsidR="00BE28B0" w:rsidRPr="00BE28B0" w:rsidRDefault="00BE28B0" w:rsidP="00BE28B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Note: </w:t>
      </w:r>
      <w:r w:rsidRPr="00BE28B0">
        <w:rPr>
          <w:rFonts w:cs="Times New Roman"/>
          <w:szCs w:val="24"/>
        </w:rPr>
        <w:t>FU= follow-up; LA=left atrium; LA-EDV=left atrial end diastolic volume; BSA=body surface area; LA-EF=left atrial ejection fraction; RA=right atrium; RA-EF=right atrial ejection fraction; LV-EDV=left ventricular end-diastolic volume; LV-ESV=left ventricular end-systolic volume; LV-SV=left ventricular stroke volume; LVEF=left ventricular ejection fraction; LV-M=left ventricular mass; RVEF=right ventricular ejection fraction; RV-EDV=right ventricular end-diastolic volume; RV-SV=right ventricular stroke volume. Values presented as median and IQR. *Kruskal-</w:t>
      </w:r>
      <w:proofErr w:type="gramStart"/>
      <w:r w:rsidRPr="00BE28B0">
        <w:rPr>
          <w:rFonts w:cs="Times New Roman"/>
          <w:szCs w:val="24"/>
        </w:rPr>
        <w:t>Wallis</w:t>
      </w:r>
      <w:proofErr w:type="gramEnd"/>
      <w:r w:rsidRPr="00BE28B0">
        <w:rPr>
          <w:rFonts w:cs="Times New Roman"/>
          <w:szCs w:val="24"/>
        </w:rPr>
        <w:t xml:space="preserve"> test; †ANOVA; a p-value &lt;.05 was considered significant, p-values in bold represent significant findings.</w:t>
      </w:r>
    </w:p>
    <w:p w14:paraId="38703DD6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4501122F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55236DF0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4B3D7A5C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108C0406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66832388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4FF711F0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547815DA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1DEB3B17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6446B499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078B4A38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05AB0AC2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</w:rPr>
      </w:pPr>
    </w:p>
    <w:p w14:paraId="65777F23" w14:textId="1728AFBB" w:rsidR="00BE28B0" w:rsidRDefault="00BE28B0" w:rsidP="00BE28B0">
      <w:pPr>
        <w:pStyle w:val="berschrift1"/>
      </w:pPr>
      <w:r w:rsidRPr="00BE28B0">
        <w:lastRenderedPageBreak/>
        <w:t xml:space="preserve">Supplementary material </w:t>
      </w:r>
      <w:r w:rsidRPr="00BE28B0">
        <w:t>E3. Baseline and follow-up comparison of symptomatic patients</w:t>
      </w:r>
    </w:p>
    <w:p w14:paraId="395FD138" w14:textId="77777777" w:rsidR="002B5388" w:rsidRPr="002B5388" w:rsidRDefault="002B5388" w:rsidP="002B5388"/>
    <w:tbl>
      <w:tblPr>
        <w:tblStyle w:val="Gitternetztabelle6farbig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2694"/>
        <w:gridCol w:w="1275"/>
      </w:tblGrid>
      <w:tr w:rsidR="00BE28B0" w:rsidRPr="00BE28B0" w14:paraId="5BB91CD4" w14:textId="77777777" w:rsidTr="00B80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34554EE3" w14:textId="77777777" w:rsidR="00BE28B0" w:rsidRPr="00BE28B0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Parameter</w:t>
            </w:r>
          </w:p>
        </w:tc>
        <w:tc>
          <w:tcPr>
            <w:tcW w:w="2551" w:type="dxa"/>
            <w:noWrap/>
            <w:vAlign w:val="center"/>
          </w:tcPr>
          <w:p w14:paraId="47C026E4" w14:textId="77777777" w:rsidR="00BE28B0" w:rsidRPr="00BE28B0" w:rsidRDefault="00BE28B0" w:rsidP="00B80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Symptomatic at FU - baseline (N=21)</w:t>
            </w:r>
          </w:p>
        </w:tc>
        <w:tc>
          <w:tcPr>
            <w:tcW w:w="2694" w:type="dxa"/>
            <w:noWrap/>
            <w:vAlign w:val="center"/>
          </w:tcPr>
          <w:p w14:paraId="31A0DD29" w14:textId="77777777" w:rsidR="00BE28B0" w:rsidRPr="00BE28B0" w:rsidRDefault="00BE28B0" w:rsidP="00B80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Symptomatic at FU – FU (N=21)</w:t>
            </w:r>
          </w:p>
        </w:tc>
        <w:tc>
          <w:tcPr>
            <w:tcW w:w="1275" w:type="dxa"/>
            <w:vAlign w:val="center"/>
          </w:tcPr>
          <w:p w14:paraId="035129B1" w14:textId="77777777" w:rsidR="00BE28B0" w:rsidRPr="00BE28B0" w:rsidRDefault="00BE28B0" w:rsidP="00B80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p-value</w:t>
            </w:r>
          </w:p>
        </w:tc>
      </w:tr>
      <w:tr w:rsidR="00BE28B0" w:rsidRPr="00BE28B0" w14:paraId="46BAF9EB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793CD54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LA (cm</w:t>
            </w:r>
            <w:r w:rsidRPr="00BE28B0">
              <w:rPr>
                <w:rFonts w:cs="Times New Roman"/>
                <w:b w:val="0"/>
                <w:bCs w:val="0"/>
                <w:szCs w:val="24"/>
                <w:vertAlign w:val="superscript"/>
              </w:rPr>
              <w:t>2</w:t>
            </w:r>
            <w:r w:rsidRPr="00BE28B0">
              <w:rPr>
                <w:rFonts w:cs="Times New Roman"/>
                <w:b w:val="0"/>
                <w:bCs w:val="0"/>
                <w:szCs w:val="24"/>
              </w:rPr>
              <w:t>)</w:t>
            </w:r>
          </w:p>
        </w:tc>
        <w:tc>
          <w:tcPr>
            <w:tcW w:w="2551" w:type="dxa"/>
            <w:noWrap/>
            <w:vAlign w:val="center"/>
            <w:hideMark/>
          </w:tcPr>
          <w:p w14:paraId="2C38F7F8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18.0 (15.9-20.2)</w:t>
            </w:r>
          </w:p>
        </w:tc>
        <w:tc>
          <w:tcPr>
            <w:tcW w:w="2694" w:type="dxa"/>
            <w:noWrap/>
            <w:vAlign w:val="center"/>
            <w:hideMark/>
          </w:tcPr>
          <w:p w14:paraId="208DA084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18.1 (16.8-21.9)</w:t>
            </w:r>
          </w:p>
        </w:tc>
        <w:tc>
          <w:tcPr>
            <w:tcW w:w="1275" w:type="dxa"/>
            <w:vAlign w:val="center"/>
          </w:tcPr>
          <w:p w14:paraId="74539D00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.15*</w:t>
            </w:r>
          </w:p>
        </w:tc>
      </w:tr>
      <w:tr w:rsidR="00BE28B0" w:rsidRPr="00BE28B0" w14:paraId="7DC41078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0E127C06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  <w:lang w:val="de-DE"/>
              </w:rPr>
            </w:pPr>
            <w:r w:rsidRPr="00BE28B0">
              <w:rPr>
                <w:rFonts w:cs="Times New Roman"/>
                <w:b w:val="0"/>
                <w:bCs w:val="0"/>
                <w:szCs w:val="24"/>
                <w:lang w:val="de-DE"/>
              </w:rPr>
              <w:t>LA -EDV/BSA (ml/m</w:t>
            </w:r>
            <w:r w:rsidRPr="00BE28B0">
              <w:rPr>
                <w:rFonts w:cs="Times New Roman"/>
                <w:b w:val="0"/>
                <w:bCs w:val="0"/>
                <w:szCs w:val="24"/>
                <w:vertAlign w:val="superscript"/>
                <w:lang w:val="de-DE"/>
              </w:rPr>
              <w:t>2</w:t>
            </w:r>
            <w:r w:rsidRPr="00BE28B0">
              <w:rPr>
                <w:rFonts w:cs="Times New Roman"/>
                <w:b w:val="0"/>
                <w:bCs w:val="0"/>
                <w:szCs w:val="24"/>
                <w:lang w:val="de-DE"/>
              </w:rPr>
              <w:t>)</w:t>
            </w:r>
          </w:p>
        </w:tc>
        <w:tc>
          <w:tcPr>
            <w:tcW w:w="2551" w:type="dxa"/>
            <w:noWrap/>
            <w:vAlign w:val="center"/>
            <w:hideMark/>
          </w:tcPr>
          <w:p w14:paraId="762CA8E0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29.6 (23.6-32.1)</w:t>
            </w:r>
          </w:p>
        </w:tc>
        <w:tc>
          <w:tcPr>
            <w:tcW w:w="2694" w:type="dxa"/>
            <w:noWrap/>
            <w:vAlign w:val="center"/>
            <w:hideMark/>
          </w:tcPr>
          <w:p w14:paraId="2A578A25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32.1 (25.4-37.9)</w:t>
            </w:r>
          </w:p>
        </w:tc>
        <w:tc>
          <w:tcPr>
            <w:tcW w:w="1275" w:type="dxa"/>
            <w:vAlign w:val="center"/>
          </w:tcPr>
          <w:p w14:paraId="7B5B6F26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.16*</w:t>
            </w:r>
          </w:p>
        </w:tc>
      </w:tr>
      <w:tr w:rsidR="00BE28B0" w:rsidRPr="00BE28B0" w14:paraId="714E1C7C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5B8BB9C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LAEF (%)</w:t>
            </w:r>
          </w:p>
        </w:tc>
        <w:tc>
          <w:tcPr>
            <w:tcW w:w="2551" w:type="dxa"/>
            <w:noWrap/>
            <w:vAlign w:val="center"/>
            <w:hideMark/>
          </w:tcPr>
          <w:p w14:paraId="7B023ECA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67.2 (64.7-69.3)</w:t>
            </w:r>
          </w:p>
        </w:tc>
        <w:tc>
          <w:tcPr>
            <w:tcW w:w="2694" w:type="dxa"/>
            <w:noWrap/>
            <w:vAlign w:val="center"/>
            <w:hideMark/>
          </w:tcPr>
          <w:p w14:paraId="202FB389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67.7 (60.7-72.6)</w:t>
            </w:r>
          </w:p>
        </w:tc>
        <w:tc>
          <w:tcPr>
            <w:tcW w:w="1275" w:type="dxa"/>
            <w:vAlign w:val="center"/>
          </w:tcPr>
          <w:p w14:paraId="610754D3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.93*</w:t>
            </w:r>
          </w:p>
        </w:tc>
      </w:tr>
      <w:tr w:rsidR="00BE28B0" w:rsidRPr="00BE28B0" w14:paraId="697D26FB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5CA7A839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RA (cm</w:t>
            </w:r>
            <w:r w:rsidRPr="00BE28B0">
              <w:rPr>
                <w:rFonts w:cs="Times New Roman"/>
                <w:b w:val="0"/>
                <w:bCs w:val="0"/>
                <w:szCs w:val="24"/>
                <w:vertAlign w:val="superscript"/>
              </w:rPr>
              <w:t>2</w:t>
            </w:r>
            <w:r w:rsidRPr="00BE28B0">
              <w:rPr>
                <w:rFonts w:cs="Times New Roman"/>
                <w:b w:val="0"/>
                <w:bCs w:val="0"/>
                <w:szCs w:val="24"/>
              </w:rPr>
              <w:t>)</w:t>
            </w:r>
          </w:p>
        </w:tc>
        <w:tc>
          <w:tcPr>
            <w:tcW w:w="2551" w:type="dxa"/>
            <w:noWrap/>
            <w:vAlign w:val="center"/>
            <w:hideMark/>
          </w:tcPr>
          <w:p w14:paraId="26ED7132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19.0 (17.8-21.4)</w:t>
            </w:r>
          </w:p>
        </w:tc>
        <w:tc>
          <w:tcPr>
            <w:tcW w:w="2694" w:type="dxa"/>
            <w:noWrap/>
            <w:vAlign w:val="center"/>
            <w:hideMark/>
          </w:tcPr>
          <w:p w14:paraId="7E1C4082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19.4 (16.4-22.4)</w:t>
            </w:r>
          </w:p>
        </w:tc>
        <w:tc>
          <w:tcPr>
            <w:tcW w:w="1275" w:type="dxa"/>
            <w:vAlign w:val="center"/>
          </w:tcPr>
          <w:p w14:paraId="1CE3C805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.82*</w:t>
            </w:r>
          </w:p>
        </w:tc>
      </w:tr>
      <w:tr w:rsidR="00BE28B0" w:rsidRPr="00BE28B0" w14:paraId="1E3D4EFE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014D49BF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RA-EF (%)</w:t>
            </w:r>
          </w:p>
        </w:tc>
        <w:tc>
          <w:tcPr>
            <w:tcW w:w="2551" w:type="dxa"/>
            <w:noWrap/>
            <w:vAlign w:val="center"/>
            <w:hideMark/>
          </w:tcPr>
          <w:p w14:paraId="0D12E0B5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47.6 (42.5-61.3)</w:t>
            </w:r>
          </w:p>
        </w:tc>
        <w:tc>
          <w:tcPr>
            <w:tcW w:w="2694" w:type="dxa"/>
            <w:noWrap/>
            <w:vAlign w:val="center"/>
            <w:hideMark/>
          </w:tcPr>
          <w:p w14:paraId="28433BB3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48.9 (40.6-55.6)</w:t>
            </w:r>
          </w:p>
        </w:tc>
        <w:tc>
          <w:tcPr>
            <w:tcW w:w="1275" w:type="dxa"/>
            <w:vAlign w:val="center"/>
          </w:tcPr>
          <w:p w14:paraId="36560CFE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vertAlign w:val="superscript"/>
              </w:rPr>
            </w:pPr>
            <w:r w:rsidRPr="00BE28B0">
              <w:rPr>
                <w:rFonts w:cs="Times New Roman"/>
                <w:szCs w:val="24"/>
              </w:rPr>
              <w:t>.63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604EB695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310C38D8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LV-EDV (ml)</w:t>
            </w:r>
          </w:p>
        </w:tc>
        <w:tc>
          <w:tcPr>
            <w:tcW w:w="2551" w:type="dxa"/>
            <w:noWrap/>
            <w:vAlign w:val="center"/>
            <w:hideMark/>
          </w:tcPr>
          <w:p w14:paraId="3CED96C1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131.2 (111.6-143.8)</w:t>
            </w:r>
          </w:p>
        </w:tc>
        <w:tc>
          <w:tcPr>
            <w:tcW w:w="2694" w:type="dxa"/>
            <w:noWrap/>
            <w:vAlign w:val="center"/>
            <w:hideMark/>
          </w:tcPr>
          <w:p w14:paraId="01BD2D41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137.3 (113.3-153.2)</w:t>
            </w:r>
          </w:p>
        </w:tc>
        <w:tc>
          <w:tcPr>
            <w:tcW w:w="1275" w:type="dxa"/>
            <w:vAlign w:val="center"/>
          </w:tcPr>
          <w:p w14:paraId="517DC07F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.16*</w:t>
            </w:r>
          </w:p>
        </w:tc>
      </w:tr>
      <w:tr w:rsidR="00BE28B0" w:rsidRPr="00BE28B0" w14:paraId="0FC3A702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46BF58EE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LV-ESV (ml)</w:t>
            </w:r>
          </w:p>
        </w:tc>
        <w:tc>
          <w:tcPr>
            <w:tcW w:w="2551" w:type="dxa"/>
            <w:noWrap/>
            <w:vAlign w:val="center"/>
            <w:hideMark/>
          </w:tcPr>
          <w:p w14:paraId="35C38465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49.0 (39.2-56.1)</w:t>
            </w:r>
          </w:p>
        </w:tc>
        <w:tc>
          <w:tcPr>
            <w:tcW w:w="2694" w:type="dxa"/>
            <w:noWrap/>
            <w:vAlign w:val="center"/>
            <w:hideMark/>
          </w:tcPr>
          <w:p w14:paraId="28BAD9AE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47.8 (34.7-60.4)</w:t>
            </w:r>
          </w:p>
        </w:tc>
        <w:tc>
          <w:tcPr>
            <w:tcW w:w="1275" w:type="dxa"/>
            <w:vAlign w:val="center"/>
          </w:tcPr>
          <w:p w14:paraId="233DAA86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.49*</w:t>
            </w:r>
          </w:p>
        </w:tc>
      </w:tr>
      <w:tr w:rsidR="00BE28B0" w:rsidRPr="00BE28B0" w14:paraId="7FD2DB03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5FEAA069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LV-SV (ml)</w:t>
            </w:r>
          </w:p>
        </w:tc>
        <w:tc>
          <w:tcPr>
            <w:tcW w:w="2551" w:type="dxa"/>
            <w:noWrap/>
            <w:vAlign w:val="center"/>
            <w:hideMark/>
          </w:tcPr>
          <w:p w14:paraId="4718CE2F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79.6 (69.6-90.4)</w:t>
            </w:r>
          </w:p>
        </w:tc>
        <w:tc>
          <w:tcPr>
            <w:tcW w:w="2694" w:type="dxa"/>
            <w:noWrap/>
            <w:vAlign w:val="center"/>
            <w:hideMark/>
          </w:tcPr>
          <w:p w14:paraId="1DAACC73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84.0 (71.7-97.7)</w:t>
            </w:r>
          </w:p>
        </w:tc>
        <w:tc>
          <w:tcPr>
            <w:tcW w:w="1275" w:type="dxa"/>
            <w:vAlign w:val="center"/>
          </w:tcPr>
          <w:p w14:paraId="3C72166B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b/>
                <w:bCs/>
                <w:szCs w:val="24"/>
              </w:rPr>
              <w:t>.03*</w:t>
            </w:r>
          </w:p>
        </w:tc>
      </w:tr>
      <w:tr w:rsidR="00BE28B0" w:rsidRPr="00BE28B0" w14:paraId="0A8C6904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5729019E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LV-EF (%)</w:t>
            </w:r>
          </w:p>
        </w:tc>
        <w:tc>
          <w:tcPr>
            <w:tcW w:w="2551" w:type="dxa"/>
            <w:noWrap/>
            <w:vAlign w:val="center"/>
            <w:hideMark/>
          </w:tcPr>
          <w:p w14:paraId="5B2FEA3B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62.6 (59.5-65.1)</w:t>
            </w:r>
          </w:p>
        </w:tc>
        <w:tc>
          <w:tcPr>
            <w:tcW w:w="2694" w:type="dxa"/>
            <w:noWrap/>
            <w:vAlign w:val="center"/>
            <w:hideMark/>
          </w:tcPr>
          <w:p w14:paraId="5839BF7C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64.7 (60.3-69.6)</w:t>
            </w:r>
          </w:p>
        </w:tc>
        <w:tc>
          <w:tcPr>
            <w:tcW w:w="1275" w:type="dxa"/>
            <w:vAlign w:val="center"/>
          </w:tcPr>
          <w:p w14:paraId="3A73E106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.08*</w:t>
            </w:r>
          </w:p>
        </w:tc>
      </w:tr>
      <w:tr w:rsidR="00BE28B0" w:rsidRPr="00BE28B0" w14:paraId="08F9969E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47A57D05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LV-M (g)</w:t>
            </w:r>
          </w:p>
        </w:tc>
        <w:tc>
          <w:tcPr>
            <w:tcW w:w="2551" w:type="dxa"/>
            <w:noWrap/>
            <w:vAlign w:val="center"/>
            <w:hideMark/>
          </w:tcPr>
          <w:p w14:paraId="32B9F5FE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75.1 (58.6-81.2)</w:t>
            </w:r>
          </w:p>
        </w:tc>
        <w:tc>
          <w:tcPr>
            <w:tcW w:w="2694" w:type="dxa"/>
            <w:noWrap/>
            <w:vAlign w:val="center"/>
            <w:hideMark/>
          </w:tcPr>
          <w:p w14:paraId="231EEE90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74.7 (58.5-88.5)</w:t>
            </w:r>
          </w:p>
        </w:tc>
        <w:tc>
          <w:tcPr>
            <w:tcW w:w="1275" w:type="dxa"/>
            <w:vAlign w:val="center"/>
          </w:tcPr>
          <w:p w14:paraId="74B2C341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.10*</w:t>
            </w:r>
          </w:p>
        </w:tc>
      </w:tr>
      <w:tr w:rsidR="00BE28B0" w:rsidRPr="00BE28B0" w14:paraId="7CF9539D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A13E491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RV-EF (%)</w:t>
            </w:r>
          </w:p>
        </w:tc>
        <w:tc>
          <w:tcPr>
            <w:tcW w:w="2551" w:type="dxa"/>
            <w:noWrap/>
            <w:vAlign w:val="center"/>
            <w:hideMark/>
          </w:tcPr>
          <w:p w14:paraId="18347F39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54.0 (51.6-58.2)</w:t>
            </w:r>
          </w:p>
        </w:tc>
        <w:tc>
          <w:tcPr>
            <w:tcW w:w="2694" w:type="dxa"/>
            <w:noWrap/>
            <w:vAlign w:val="center"/>
            <w:hideMark/>
          </w:tcPr>
          <w:p w14:paraId="31015A71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55.8 (54.0-59.2)</w:t>
            </w:r>
          </w:p>
        </w:tc>
        <w:tc>
          <w:tcPr>
            <w:tcW w:w="1275" w:type="dxa"/>
            <w:vAlign w:val="center"/>
          </w:tcPr>
          <w:p w14:paraId="1BF76563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.46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0DA0880E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0409A746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RV-EDV (ml)</w:t>
            </w:r>
          </w:p>
        </w:tc>
        <w:tc>
          <w:tcPr>
            <w:tcW w:w="2551" w:type="dxa"/>
            <w:noWrap/>
            <w:vAlign w:val="center"/>
            <w:hideMark/>
          </w:tcPr>
          <w:p w14:paraId="0162D803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144.1 (122.0-159.9)</w:t>
            </w:r>
          </w:p>
        </w:tc>
        <w:tc>
          <w:tcPr>
            <w:tcW w:w="2694" w:type="dxa"/>
            <w:noWrap/>
            <w:vAlign w:val="center"/>
            <w:hideMark/>
          </w:tcPr>
          <w:p w14:paraId="4805ABAE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148.8 (126.4-172.4)</w:t>
            </w:r>
          </w:p>
        </w:tc>
        <w:tc>
          <w:tcPr>
            <w:tcW w:w="1275" w:type="dxa"/>
            <w:vAlign w:val="center"/>
          </w:tcPr>
          <w:p w14:paraId="1C97FBB8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.11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14AA2088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2903C21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RV-SV (ml)</w:t>
            </w:r>
          </w:p>
        </w:tc>
        <w:tc>
          <w:tcPr>
            <w:tcW w:w="2551" w:type="dxa"/>
            <w:noWrap/>
            <w:vAlign w:val="center"/>
            <w:hideMark/>
          </w:tcPr>
          <w:p w14:paraId="525F9CEC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77.0 (71.8-81.5)</w:t>
            </w:r>
          </w:p>
        </w:tc>
        <w:tc>
          <w:tcPr>
            <w:tcW w:w="2694" w:type="dxa"/>
            <w:noWrap/>
            <w:vAlign w:val="center"/>
            <w:hideMark/>
          </w:tcPr>
          <w:p w14:paraId="3913E8E5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76.2 (65.9-97.4)</w:t>
            </w:r>
          </w:p>
        </w:tc>
        <w:tc>
          <w:tcPr>
            <w:tcW w:w="1275" w:type="dxa"/>
            <w:vAlign w:val="center"/>
          </w:tcPr>
          <w:p w14:paraId="4BDA66E4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.14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51A52B01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5DAEC3DE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native T1 (ms)</w:t>
            </w:r>
          </w:p>
        </w:tc>
        <w:tc>
          <w:tcPr>
            <w:tcW w:w="2551" w:type="dxa"/>
            <w:noWrap/>
            <w:vAlign w:val="center"/>
            <w:hideMark/>
          </w:tcPr>
          <w:p w14:paraId="149CF9E9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(1016.9 (1001.2-1043.0)</w:t>
            </w:r>
          </w:p>
        </w:tc>
        <w:tc>
          <w:tcPr>
            <w:tcW w:w="2694" w:type="dxa"/>
            <w:noWrap/>
            <w:vAlign w:val="center"/>
            <w:hideMark/>
          </w:tcPr>
          <w:p w14:paraId="652C2673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1021.3 (1003.6-1033.9)</w:t>
            </w:r>
          </w:p>
        </w:tc>
        <w:tc>
          <w:tcPr>
            <w:tcW w:w="1275" w:type="dxa"/>
            <w:vAlign w:val="center"/>
          </w:tcPr>
          <w:p w14:paraId="69CBFC91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.36*</w:t>
            </w:r>
          </w:p>
        </w:tc>
      </w:tr>
      <w:tr w:rsidR="00BE28B0" w:rsidRPr="00BE28B0" w14:paraId="6CC0961B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486FA785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T2 (ms)</w:t>
            </w:r>
          </w:p>
        </w:tc>
        <w:tc>
          <w:tcPr>
            <w:tcW w:w="2551" w:type="dxa"/>
            <w:noWrap/>
            <w:vAlign w:val="center"/>
            <w:hideMark/>
          </w:tcPr>
          <w:p w14:paraId="7E7A7134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49.3 (48.8-51.2)</w:t>
            </w:r>
          </w:p>
        </w:tc>
        <w:tc>
          <w:tcPr>
            <w:tcW w:w="2694" w:type="dxa"/>
            <w:noWrap/>
            <w:vAlign w:val="center"/>
            <w:hideMark/>
          </w:tcPr>
          <w:p w14:paraId="3A55DA91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49.2 (48.4-50.8)</w:t>
            </w:r>
          </w:p>
        </w:tc>
        <w:tc>
          <w:tcPr>
            <w:tcW w:w="1275" w:type="dxa"/>
            <w:vAlign w:val="center"/>
          </w:tcPr>
          <w:p w14:paraId="0AAEBE20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.66*</w:t>
            </w:r>
          </w:p>
        </w:tc>
      </w:tr>
      <w:tr w:rsidR="00BE28B0" w:rsidRPr="00BE28B0" w14:paraId="34FBEA0A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334B8AC3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ECV (%)</w:t>
            </w:r>
          </w:p>
        </w:tc>
        <w:tc>
          <w:tcPr>
            <w:tcW w:w="2551" w:type="dxa"/>
            <w:noWrap/>
            <w:vAlign w:val="center"/>
            <w:hideMark/>
          </w:tcPr>
          <w:p w14:paraId="7417258A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24.5 (23.1-26.7)</w:t>
            </w:r>
          </w:p>
        </w:tc>
        <w:tc>
          <w:tcPr>
            <w:tcW w:w="2694" w:type="dxa"/>
            <w:noWrap/>
            <w:vAlign w:val="center"/>
            <w:hideMark/>
          </w:tcPr>
          <w:p w14:paraId="37082302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23.1 (22.5-25.8)</w:t>
            </w:r>
          </w:p>
        </w:tc>
        <w:tc>
          <w:tcPr>
            <w:tcW w:w="1275" w:type="dxa"/>
            <w:vAlign w:val="center"/>
          </w:tcPr>
          <w:p w14:paraId="4E33D194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.50</w:t>
            </w:r>
            <w:r w:rsidRPr="00BE28B0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BE28B0" w14:paraId="2E4662B2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3F4E6237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lastRenderedPageBreak/>
              <w:t>Global longitudinal strain (%)</w:t>
            </w:r>
          </w:p>
        </w:tc>
        <w:tc>
          <w:tcPr>
            <w:tcW w:w="2551" w:type="dxa"/>
            <w:noWrap/>
            <w:vAlign w:val="center"/>
            <w:hideMark/>
          </w:tcPr>
          <w:p w14:paraId="3D1AB6FD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-19.1(-20.2-(-17.3)</w:t>
            </w:r>
          </w:p>
        </w:tc>
        <w:tc>
          <w:tcPr>
            <w:tcW w:w="2694" w:type="dxa"/>
            <w:noWrap/>
            <w:vAlign w:val="center"/>
            <w:hideMark/>
          </w:tcPr>
          <w:p w14:paraId="44EAEE0A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-18.5 (-19.6- (-16.9)</w:t>
            </w:r>
          </w:p>
        </w:tc>
        <w:tc>
          <w:tcPr>
            <w:tcW w:w="1275" w:type="dxa"/>
            <w:vAlign w:val="center"/>
          </w:tcPr>
          <w:p w14:paraId="03BABF37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szCs w:val="24"/>
              </w:rPr>
              <w:t>.30*</w:t>
            </w:r>
          </w:p>
        </w:tc>
      </w:tr>
      <w:tr w:rsidR="00BE28B0" w:rsidRPr="00BE28B0" w14:paraId="32E9B98C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5D45059A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radial strain (%)</w:t>
            </w:r>
          </w:p>
        </w:tc>
        <w:tc>
          <w:tcPr>
            <w:tcW w:w="2551" w:type="dxa"/>
            <w:noWrap/>
            <w:vAlign w:val="center"/>
            <w:hideMark/>
          </w:tcPr>
          <w:p w14:paraId="3BF4D4F7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24.7 (23.4-28.1)</w:t>
            </w:r>
          </w:p>
        </w:tc>
        <w:tc>
          <w:tcPr>
            <w:tcW w:w="2694" w:type="dxa"/>
            <w:noWrap/>
            <w:vAlign w:val="center"/>
            <w:hideMark/>
          </w:tcPr>
          <w:p w14:paraId="3A9AD069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27.1 (23.6-29.4)</w:t>
            </w:r>
          </w:p>
        </w:tc>
        <w:tc>
          <w:tcPr>
            <w:tcW w:w="1275" w:type="dxa"/>
            <w:vAlign w:val="center"/>
          </w:tcPr>
          <w:p w14:paraId="603A2D53" w14:textId="77777777" w:rsidR="00BE28B0" w:rsidRPr="00BE28B0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b/>
                <w:bCs/>
                <w:szCs w:val="24"/>
              </w:rPr>
              <w:t>.01*</w:t>
            </w:r>
          </w:p>
        </w:tc>
      </w:tr>
      <w:tr w:rsidR="00BE28B0" w:rsidRPr="00BE28B0" w14:paraId="7A3B0CFD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4B7FF505" w14:textId="77777777" w:rsidR="00BE28B0" w:rsidRPr="00BE28B0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E28B0">
              <w:rPr>
                <w:rFonts w:cs="Times New Roman"/>
                <w:b w:val="0"/>
                <w:bCs w:val="0"/>
                <w:szCs w:val="24"/>
              </w:rPr>
              <w:t>Global circumferential strain (%)</w:t>
            </w:r>
          </w:p>
        </w:tc>
        <w:tc>
          <w:tcPr>
            <w:tcW w:w="2551" w:type="dxa"/>
            <w:noWrap/>
            <w:vAlign w:val="center"/>
            <w:hideMark/>
          </w:tcPr>
          <w:p w14:paraId="06E78D66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-16.2(-17.6-(-15.7)</w:t>
            </w:r>
          </w:p>
        </w:tc>
        <w:tc>
          <w:tcPr>
            <w:tcW w:w="2694" w:type="dxa"/>
            <w:noWrap/>
            <w:vAlign w:val="center"/>
            <w:hideMark/>
          </w:tcPr>
          <w:p w14:paraId="7C282797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E28B0">
              <w:rPr>
                <w:rFonts w:cs="Times New Roman"/>
                <w:color w:val="000000"/>
                <w:szCs w:val="24"/>
              </w:rPr>
              <w:t>-17.0(-18.1-(-15.7)</w:t>
            </w:r>
          </w:p>
        </w:tc>
        <w:tc>
          <w:tcPr>
            <w:tcW w:w="1275" w:type="dxa"/>
            <w:vAlign w:val="center"/>
          </w:tcPr>
          <w:p w14:paraId="2B83CC22" w14:textId="77777777" w:rsidR="00BE28B0" w:rsidRPr="00BE28B0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E28B0">
              <w:rPr>
                <w:rFonts w:cs="Times New Roman"/>
                <w:b/>
                <w:bCs/>
                <w:szCs w:val="24"/>
              </w:rPr>
              <w:t>.02*</w:t>
            </w:r>
          </w:p>
        </w:tc>
      </w:tr>
    </w:tbl>
    <w:p w14:paraId="1E6BB8E1" w14:textId="77777777" w:rsidR="00BE28B0" w:rsidRDefault="00BE28B0" w:rsidP="00BE28B0">
      <w:pPr>
        <w:rPr>
          <w:rFonts w:ascii="Arial" w:hAnsi="Arial" w:cs="Arial"/>
        </w:rPr>
      </w:pPr>
    </w:p>
    <w:p w14:paraId="466E418B" w14:textId="608C7C3A" w:rsidR="00BE28B0" w:rsidRPr="00BE28B0" w:rsidRDefault="002B5388" w:rsidP="00BE28B0">
      <w:pPr>
        <w:rPr>
          <w:rFonts w:cs="Times New Roman"/>
        </w:rPr>
      </w:pPr>
      <w:proofErr w:type="spellStart"/>
      <w:r>
        <w:rPr>
          <w:rFonts w:cs="Times New Roman"/>
        </w:rPr>
        <w:t>Note:</w:t>
      </w:r>
      <w:r w:rsidR="00BE28B0" w:rsidRPr="00BE28B0">
        <w:rPr>
          <w:rFonts w:cs="Times New Roman"/>
        </w:rPr>
        <w:t>FU</w:t>
      </w:r>
      <w:proofErr w:type="spellEnd"/>
      <w:r w:rsidR="00BE28B0" w:rsidRPr="00BE28B0">
        <w:rPr>
          <w:rFonts w:cs="Times New Roman"/>
        </w:rPr>
        <w:t>= follow-up; LA=left atrium; LA-EDV=left atrial end diastolic volume; BSA=body surface area; LA-EF=left atrial ejection fraction; RA=right atrium; RA-EF=right atrial ejection fraction; LV-EDV=left ventricular end-diastolic volume; LV-ESV=left ventricular end-systolic volume; LV-SV=left ventricular stroke volume; LVEF=left ventricular ejection fraction; LV-M=left ventricular mass; RVEF=right ventricular ejection fraction; RV-EDV=right ventricular end-diastolic volume; RV-SV=right ventricular stroke volume. Values presented as median and IQR. *Mann-Whitney-U;</w:t>
      </w:r>
      <w:r w:rsidR="00BE28B0" w:rsidRPr="00BE28B0">
        <w:rPr>
          <w:rFonts w:cs="Times New Roman"/>
          <w:vertAlign w:val="superscript"/>
        </w:rPr>
        <w:t xml:space="preserve"> †</w:t>
      </w:r>
      <w:r w:rsidR="00BE28B0" w:rsidRPr="00BE28B0">
        <w:rPr>
          <w:rFonts w:cs="Times New Roman"/>
        </w:rPr>
        <w:t xml:space="preserve">students t-test; a </w:t>
      </w:r>
      <w:r w:rsidR="00BE28B0" w:rsidRPr="00BE28B0">
        <w:rPr>
          <w:rFonts w:cs="Times New Roman"/>
          <w:i/>
          <w:iCs/>
        </w:rPr>
        <w:t>p</w:t>
      </w:r>
      <w:r w:rsidR="00BE28B0" w:rsidRPr="00BE28B0">
        <w:rPr>
          <w:rFonts w:cs="Times New Roman"/>
        </w:rPr>
        <w:t xml:space="preserve">-value &lt;.05 was considered significant, </w:t>
      </w:r>
      <w:r w:rsidR="00BE28B0" w:rsidRPr="00BE28B0">
        <w:rPr>
          <w:rFonts w:cs="Times New Roman"/>
          <w:i/>
          <w:iCs/>
        </w:rPr>
        <w:t>p</w:t>
      </w:r>
      <w:r w:rsidR="00BE28B0" w:rsidRPr="00BE28B0">
        <w:rPr>
          <w:rFonts w:cs="Times New Roman"/>
        </w:rPr>
        <w:t>-values in bold represent significant findings.</w:t>
      </w:r>
    </w:p>
    <w:p w14:paraId="0ED54040" w14:textId="77777777" w:rsidR="00BE28B0" w:rsidRPr="005764EA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260E870E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165FF995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7AF68644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5E89E74C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6B7B2D8B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6F8F0CA7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5DE556E1" w14:textId="77777777" w:rsidR="00BE28B0" w:rsidRDefault="00BE28B0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61F2C55F" w14:textId="77777777" w:rsidR="002B5388" w:rsidRDefault="002B5388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1B81887C" w14:textId="77777777" w:rsidR="002B5388" w:rsidRDefault="002B5388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4E7D3D01" w14:textId="77777777" w:rsidR="002B5388" w:rsidRDefault="002B5388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75C9C5F5" w14:textId="77777777" w:rsidR="002B5388" w:rsidRDefault="002B5388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481A02CC" w14:textId="77777777" w:rsidR="002B5388" w:rsidRDefault="002B5388" w:rsidP="00BE28B0">
      <w:pPr>
        <w:spacing w:after="0" w:line="480" w:lineRule="auto"/>
        <w:jc w:val="both"/>
        <w:rPr>
          <w:rFonts w:ascii="Arial" w:hAnsi="Arial" w:cs="Arial"/>
          <w:u w:val="single"/>
        </w:rPr>
      </w:pPr>
    </w:p>
    <w:p w14:paraId="4242EB73" w14:textId="58BC3A6B" w:rsidR="00BE28B0" w:rsidRPr="002B5388" w:rsidRDefault="00BE28B0" w:rsidP="002B5388">
      <w:pPr>
        <w:pStyle w:val="berschrift1"/>
      </w:pPr>
      <w:r w:rsidRPr="002B5388">
        <w:t>E4. Baseline and follow-up comparison of asymptomatic patients</w:t>
      </w:r>
    </w:p>
    <w:tbl>
      <w:tblPr>
        <w:tblStyle w:val="Gitternetztabelle6farbig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2694"/>
        <w:gridCol w:w="1275"/>
      </w:tblGrid>
      <w:tr w:rsidR="00BE28B0" w:rsidRPr="002B5388" w14:paraId="24D80A38" w14:textId="77777777" w:rsidTr="00B80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14:paraId="1C4F8255" w14:textId="77777777" w:rsidR="00BE28B0" w:rsidRPr="002B5388" w:rsidRDefault="00BE28B0" w:rsidP="00B80502">
            <w:pPr>
              <w:jc w:val="center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Parameter</w:t>
            </w:r>
          </w:p>
        </w:tc>
        <w:tc>
          <w:tcPr>
            <w:tcW w:w="2551" w:type="dxa"/>
            <w:noWrap/>
            <w:vAlign w:val="center"/>
          </w:tcPr>
          <w:p w14:paraId="3147AB68" w14:textId="77777777" w:rsidR="00BE28B0" w:rsidRPr="002B5388" w:rsidRDefault="00BE28B0" w:rsidP="00B80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Asymptomatic at FU - baseline (N=22)</w:t>
            </w:r>
          </w:p>
        </w:tc>
        <w:tc>
          <w:tcPr>
            <w:tcW w:w="2694" w:type="dxa"/>
            <w:noWrap/>
            <w:vAlign w:val="center"/>
          </w:tcPr>
          <w:p w14:paraId="258774EC" w14:textId="77777777" w:rsidR="00BE28B0" w:rsidRPr="002B5388" w:rsidRDefault="00BE28B0" w:rsidP="00B80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Asymptomatic at FU – FU (N=22)</w:t>
            </w:r>
          </w:p>
        </w:tc>
        <w:tc>
          <w:tcPr>
            <w:tcW w:w="1275" w:type="dxa"/>
            <w:vAlign w:val="center"/>
          </w:tcPr>
          <w:p w14:paraId="589D47CB" w14:textId="77777777" w:rsidR="00BE28B0" w:rsidRPr="002B5388" w:rsidRDefault="00BE28B0" w:rsidP="00B80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p-value</w:t>
            </w:r>
          </w:p>
        </w:tc>
      </w:tr>
      <w:tr w:rsidR="00BE28B0" w:rsidRPr="002B5388" w14:paraId="779420C4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0F0CC729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LA (cm</w:t>
            </w:r>
            <w:r w:rsidRPr="002B5388">
              <w:rPr>
                <w:rFonts w:cs="Times New Roman"/>
                <w:b w:val="0"/>
                <w:bCs w:val="0"/>
                <w:szCs w:val="24"/>
                <w:vertAlign w:val="superscript"/>
              </w:rPr>
              <w:t>2</w:t>
            </w:r>
            <w:r w:rsidRPr="002B5388">
              <w:rPr>
                <w:rFonts w:cs="Times New Roman"/>
                <w:b w:val="0"/>
                <w:bCs w:val="0"/>
                <w:szCs w:val="24"/>
              </w:rPr>
              <w:t>)</w:t>
            </w:r>
          </w:p>
        </w:tc>
        <w:tc>
          <w:tcPr>
            <w:tcW w:w="2551" w:type="dxa"/>
            <w:noWrap/>
            <w:vAlign w:val="center"/>
            <w:hideMark/>
          </w:tcPr>
          <w:p w14:paraId="784127F0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19.9 (16.7-26.6)</w:t>
            </w:r>
          </w:p>
        </w:tc>
        <w:tc>
          <w:tcPr>
            <w:tcW w:w="2694" w:type="dxa"/>
            <w:noWrap/>
            <w:vAlign w:val="center"/>
            <w:hideMark/>
          </w:tcPr>
          <w:p w14:paraId="76A61D4B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21.5 (18.0-25.3)</w:t>
            </w:r>
          </w:p>
        </w:tc>
        <w:tc>
          <w:tcPr>
            <w:tcW w:w="1275" w:type="dxa"/>
            <w:vAlign w:val="center"/>
          </w:tcPr>
          <w:p w14:paraId="5DBEB0DE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.59*</w:t>
            </w:r>
          </w:p>
        </w:tc>
      </w:tr>
      <w:tr w:rsidR="00BE28B0" w:rsidRPr="002B5388" w14:paraId="6A17904D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08BA0388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  <w:lang w:val="de-DE"/>
              </w:rPr>
            </w:pPr>
            <w:r w:rsidRPr="002B5388">
              <w:rPr>
                <w:rFonts w:cs="Times New Roman"/>
                <w:b w:val="0"/>
                <w:bCs w:val="0"/>
                <w:szCs w:val="24"/>
                <w:lang w:val="de-DE"/>
              </w:rPr>
              <w:t>LA -EDV/BSA (ml/m</w:t>
            </w:r>
            <w:r w:rsidRPr="002B5388">
              <w:rPr>
                <w:rFonts w:cs="Times New Roman"/>
                <w:b w:val="0"/>
                <w:bCs w:val="0"/>
                <w:szCs w:val="24"/>
                <w:vertAlign w:val="superscript"/>
                <w:lang w:val="de-DE"/>
              </w:rPr>
              <w:t>2</w:t>
            </w:r>
            <w:r w:rsidRPr="002B5388">
              <w:rPr>
                <w:rFonts w:cs="Times New Roman"/>
                <w:b w:val="0"/>
                <w:bCs w:val="0"/>
                <w:szCs w:val="24"/>
                <w:lang w:val="de-DE"/>
              </w:rPr>
              <w:t>)</w:t>
            </w:r>
          </w:p>
        </w:tc>
        <w:tc>
          <w:tcPr>
            <w:tcW w:w="2551" w:type="dxa"/>
            <w:noWrap/>
            <w:vAlign w:val="center"/>
            <w:hideMark/>
          </w:tcPr>
          <w:p w14:paraId="6326237D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33.7 (29.1-41.4)</w:t>
            </w:r>
          </w:p>
        </w:tc>
        <w:tc>
          <w:tcPr>
            <w:tcW w:w="2694" w:type="dxa"/>
            <w:noWrap/>
            <w:vAlign w:val="center"/>
            <w:hideMark/>
          </w:tcPr>
          <w:p w14:paraId="492C5D42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35.4 (31.5-40.9)</w:t>
            </w:r>
          </w:p>
        </w:tc>
        <w:tc>
          <w:tcPr>
            <w:tcW w:w="1275" w:type="dxa"/>
            <w:vAlign w:val="center"/>
          </w:tcPr>
          <w:p w14:paraId="46028791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.88*</w:t>
            </w:r>
          </w:p>
        </w:tc>
      </w:tr>
      <w:tr w:rsidR="00BE28B0" w:rsidRPr="002B5388" w14:paraId="75008433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2507D6E1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LAEF (%)</w:t>
            </w:r>
          </w:p>
        </w:tc>
        <w:tc>
          <w:tcPr>
            <w:tcW w:w="2551" w:type="dxa"/>
            <w:noWrap/>
            <w:vAlign w:val="center"/>
            <w:hideMark/>
          </w:tcPr>
          <w:p w14:paraId="38CB47B6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63.1 (56.2-70,0)</w:t>
            </w:r>
          </w:p>
        </w:tc>
        <w:tc>
          <w:tcPr>
            <w:tcW w:w="2694" w:type="dxa"/>
            <w:noWrap/>
            <w:vAlign w:val="center"/>
            <w:hideMark/>
          </w:tcPr>
          <w:p w14:paraId="698AE004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63.2 (58.9-65.5)</w:t>
            </w:r>
          </w:p>
        </w:tc>
        <w:tc>
          <w:tcPr>
            <w:tcW w:w="1275" w:type="dxa"/>
            <w:vAlign w:val="center"/>
          </w:tcPr>
          <w:p w14:paraId="0FC0DD90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.96*</w:t>
            </w:r>
          </w:p>
        </w:tc>
      </w:tr>
      <w:tr w:rsidR="00BE28B0" w:rsidRPr="002B5388" w14:paraId="4FFF1023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2FDC7CC8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RA (cm</w:t>
            </w:r>
            <w:r w:rsidRPr="002B5388">
              <w:rPr>
                <w:rFonts w:cs="Times New Roman"/>
                <w:b w:val="0"/>
                <w:bCs w:val="0"/>
                <w:szCs w:val="24"/>
                <w:vertAlign w:val="superscript"/>
              </w:rPr>
              <w:t>2</w:t>
            </w:r>
            <w:r w:rsidRPr="002B5388">
              <w:rPr>
                <w:rFonts w:cs="Times New Roman"/>
                <w:b w:val="0"/>
                <w:bCs w:val="0"/>
                <w:szCs w:val="24"/>
              </w:rPr>
              <w:t>)</w:t>
            </w:r>
          </w:p>
        </w:tc>
        <w:tc>
          <w:tcPr>
            <w:tcW w:w="2551" w:type="dxa"/>
            <w:noWrap/>
            <w:vAlign w:val="center"/>
            <w:hideMark/>
          </w:tcPr>
          <w:p w14:paraId="38ABDFFF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20.5 (16.6-23.8)</w:t>
            </w:r>
          </w:p>
        </w:tc>
        <w:tc>
          <w:tcPr>
            <w:tcW w:w="2694" w:type="dxa"/>
            <w:noWrap/>
            <w:vAlign w:val="center"/>
            <w:hideMark/>
          </w:tcPr>
          <w:p w14:paraId="34BCFD39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20.4 (17.7-23.4)</w:t>
            </w:r>
          </w:p>
        </w:tc>
        <w:tc>
          <w:tcPr>
            <w:tcW w:w="1275" w:type="dxa"/>
            <w:vAlign w:val="center"/>
          </w:tcPr>
          <w:p w14:paraId="514B4767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.29*</w:t>
            </w:r>
          </w:p>
        </w:tc>
      </w:tr>
      <w:tr w:rsidR="00BE28B0" w:rsidRPr="002B5388" w14:paraId="3845CE41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071AE0C4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RA-EF (%)</w:t>
            </w:r>
          </w:p>
        </w:tc>
        <w:tc>
          <w:tcPr>
            <w:tcW w:w="2551" w:type="dxa"/>
            <w:noWrap/>
            <w:vAlign w:val="center"/>
            <w:hideMark/>
          </w:tcPr>
          <w:p w14:paraId="2D2D6EB6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45.8 (34.9-58.5)</w:t>
            </w:r>
          </w:p>
        </w:tc>
        <w:tc>
          <w:tcPr>
            <w:tcW w:w="2694" w:type="dxa"/>
            <w:noWrap/>
            <w:vAlign w:val="center"/>
            <w:hideMark/>
          </w:tcPr>
          <w:p w14:paraId="42FCF5BD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44.0 (33.2-55.1)</w:t>
            </w:r>
          </w:p>
        </w:tc>
        <w:tc>
          <w:tcPr>
            <w:tcW w:w="1275" w:type="dxa"/>
            <w:vAlign w:val="center"/>
          </w:tcPr>
          <w:p w14:paraId="7D6C2148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vertAlign w:val="superscript"/>
              </w:rPr>
            </w:pPr>
            <w:r w:rsidRPr="002B5388">
              <w:rPr>
                <w:rFonts w:cs="Times New Roman"/>
                <w:szCs w:val="24"/>
              </w:rPr>
              <w:t>.71</w:t>
            </w:r>
            <w:r w:rsidRPr="002B5388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2B5388" w14:paraId="1C45F7F1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9065A45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LV-EDV (ml)</w:t>
            </w:r>
          </w:p>
        </w:tc>
        <w:tc>
          <w:tcPr>
            <w:tcW w:w="2551" w:type="dxa"/>
            <w:noWrap/>
            <w:vAlign w:val="center"/>
            <w:hideMark/>
          </w:tcPr>
          <w:p w14:paraId="33C1EDEC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140.1 (123.8-174.0)</w:t>
            </w:r>
          </w:p>
        </w:tc>
        <w:tc>
          <w:tcPr>
            <w:tcW w:w="2694" w:type="dxa"/>
            <w:noWrap/>
            <w:vAlign w:val="center"/>
            <w:hideMark/>
          </w:tcPr>
          <w:p w14:paraId="31D13CF2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135.0 (126.2-183.1)</w:t>
            </w:r>
          </w:p>
        </w:tc>
        <w:tc>
          <w:tcPr>
            <w:tcW w:w="1275" w:type="dxa"/>
            <w:vAlign w:val="center"/>
          </w:tcPr>
          <w:p w14:paraId="431BCAF5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.32*</w:t>
            </w:r>
          </w:p>
        </w:tc>
      </w:tr>
      <w:tr w:rsidR="00BE28B0" w:rsidRPr="002B5388" w14:paraId="0A6E2C9D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43459159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LV-ESV (ml)</w:t>
            </w:r>
          </w:p>
        </w:tc>
        <w:tc>
          <w:tcPr>
            <w:tcW w:w="2551" w:type="dxa"/>
            <w:noWrap/>
            <w:vAlign w:val="center"/>
            <w:hideMark/>
          </w:tcPr>
          <w:p w14:paraId="5EE5D108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52.0 (45.5-72.8)</w:t>
            </w:r>
          </w:p>
        </w:tc>
        <w:tc>
          <w:tcPr>
            <w:tcW w:w="2694" w:type="dxa"/>
            <w:noWrap/>
            <w:vAlign w:val="center"/>
            <w:hideMark/>
          </w:tcPr>
          <w:p w14:paraId="3191079C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51.9 (42.8-74.2)</w:t>
            </w:r>
          </w:p>
        </w:tc>
        <w:tc>
          <w:tcPr>
            <w:tcW w:w="1275" w:type="dxa"/>
            <w:vAlign w:val="center"/>
          </w:tcPr>
          <w:p w14:paraId="23DDAE23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.38*</w:t>
            </w:r>
          </w:p>
        </w:tc>
      </w:tr>
      <w:tr w:rsidR="00BE28B0" w:rsidRPr="002B5388" w14:paraId="5CBA91D9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3FB249D8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LV-SV (ml)</w:t>
            </w:r>
          </w:p>
        </w:tc>
        <w:tc>
          <w:tcPr>
            <w:tcW w:w="2551" w:type="dxa"/>
            <w:noWrap/>
            <w:vAlign w:val="center"/>
            <w:hideMark/>
          </w:tcPr>
          <w:p w14:paraId="35C7AFE6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90.7 (76.6-110.5)</w:t>
            </w:r>
          </w:p>
        </w:tc>
        <w:tc>
          <w:tcPr>
            <w:tcW w:w="2694" w:type="dxa"/>
            <w:noWrap/>
            <w:vAlign w:val="center"/>
            <w:hideMark/>
          </w:tcPr>
          <w:p w14:paraId="48B3C885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84.4 (78.3-111.6)</w:t>
            </w:r>
          </w:p>
        </w:tc>
        <w:tc>
          <w:tcPr>
            <w:tcW w:w="1275" w:type="dxa"/>
            <w:vAlign w:val="center"/>
          </w:tcPr>
          <w:p w14:paraId="34207879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.38*</w:t>
            </w:r>
          </w:p>
        </w:tc>
      </w:tr>
      <w:tr w:rsidR="00BE28B0" w:rsidRPr="002B5388" w14:paraId="0F2F1723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7C7A0E24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LV-EF (%)</w:t>
            </w:r>
          </w:p>
        </w:tc>
        <w:tc>
          <w:tcPr>
            <w:tcW w:w="2551" w:type="dxa"/>
            <w:noWrap/>
            <w:vAlign w:val="center"/>
            <w:hideMark/>
          </w:tcPr>
          <w:p w14:paraId="717D72E3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63.5 (57.7-65.8)</w:t>
            </w:r>
          </w:p>
        </w:tc>
        <w:tc>
          <w:tcPr>
            <w:tcW w:w="2694" w:type="dxa"/>
            <w:noWrap/>
            <w:vAlign w:val="center"/>
            <w:hideMark/>
          </w:tcPr>
          <w:p w14:paraId="74AD5962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64.1 (59.2-66.3)</w:t>
            </w:r>
          </w:p>
        </w:tc>
        <w:tc>
          <w:tcPr>
            <w:tcW w:w="1275" w:type="dxa"/>
            <w:vAlign w:val="center"/>
          </w:tcPr>
          <w:p w14:paraId="394B0C99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.38*</w:t>
            </w:r>
          </w:p>
        </w:tc>
      </w:tr>
      <w:tr w:rsidR="00BE28B0" w:rsidRPr="002B5388" w14:paraId="27E83356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1C974D1E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LV-M (g)</w:t>
            </w:r>
          </w:p>
        </w:tc>
        <w:tc>
          <w:tcPr>
            <w:tcW w:w="2551" w:type="dxa"/>
            <w:noWrap/>
            <w:vAlign w:val="center"/>
            <w:hideMark/>
          </w:tcPr>
          <w:p w14:paraId="73764299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77.0 (69.5-123.3)</w:t>
            </w:r>
          </w:p>
        </w:tc>
        <w:tc>
          <w:tcPr>
            <w:tcW w:w="2694" w:type="dxa"/>
            <w:noWrap/>
            <w:vAlign w:val="center"/>
            <w:hideMark/>
          </w:tcPr>
          <w:p w14:paraId="1AE5EB75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75.1 (68.3-108.8)</w:t>
            </w:r>
          </w:p>
        </w:tc>
        <w:tc>
          <w:tcPr>
            <w:tcW w:w="1275" w:type="dxa"/>
            <w:vAlign w:val="center"/>
          </w:tcPr>
          <w:p w14:paraId="0186B55C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.26*</w:t>
            </w:r>
          </w:p>
        </w:tc>
      </w:tr>
      <w:tr w:rsidR="00BE28B0" w:rsidRPr="002B5388" w14:paraId="2F156841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12062477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RV-EF (%)</w:t>
            </w:r>
          </w:p>
        </w:tc>
        <w:tc>
          <w:tcPr>
            <w:tcW w:w="2551" w:type="dxa"/>
            <w:noWrap/>
            <w:vAlign w:val="center"/>
            <w:hideMark/>
          </w:tcPr>
          <w:p w14:paraId="10B1AD62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53.6 (49.6-57.3)</w:t>
            </w:r>
          </w:p>
        </w:tc>
        <w:tc>
          <w:tcPr>
            <w:tcW w:w="2694" w:type="dxa"/>
            <w:noWrap/>
            <w:vAlign w:val="center"/>
            <w:hideMark/>
          </w:tcPr>
          <w:p w14:paraId="0B5530A7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53.7 (50.7-55.2)</w:t>
            </w:r>
          </w:p>
        </w:tc>
        <w:tc>
          <w:tcPr>
            <w:tcW w:w="1275" w:type="dxa"/>
            <w:vAlign w:val="center"/>
          </w:tcPr>
          <w:p w14:paraId="5E3840A8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.77</w:t>
            </w:r>
            <w:r w:rsidRPr="002B5388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2B5388" w14:paraId="5FF23008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34D411B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RV-EDV (ml)</w:t>
            </w:r>
          </w:p>
        </w:tc>
        <w:tc>
          <w:tcPr>
            <w:tcW w:w="2551" w:type="dxa"/>
            <w:noWrap/>
            <w:vAlign w:val="center"/>
            <w:hideMark/>
          </w:tcPr>
          <w:p w14:paraId="25C78B31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154.6 (125.7-203.3)</w:t>
            </w:r>
          </w:p>
        </w:tc>
        <w:tc>
          <w:tcPr>
            <w:tcW w:w="2694" w:type="dxa"/>
            <w:noWrap/>
            <w:vAlign w:val="center"/>
            <w:hideMark/>
          </w:tcPr>
          <w:p w14:paraId="73339D3B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143.5 (132.4-198.0)</w:t>
            </w:r>
          </w:p>
        </w:tc>
        <w:tc>
          <w:tcPr>
            <w:tcW w:w="1275" w:type="dxa"/>
            <w:vAlign w:val="center"/>
          </w:tcPr>
          <w:p w14:paraId="1E23D6BF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.84</w:t>
            </w:r>
            <w:r w:rsidRPr="002B5388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2B5388" w14:paraId="2E3A96C2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69298A28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RV-SV (ml)</w:t>
            </w:r>
          </w:p>
        </w:tc>
        <w:tc>
          <w:tcPr>
            <w:tcW w:w="2551" w:type="dxa"/>
            <w:noWrap/>
            <w:vAlign w:val="center"/>
            <w:hideMark/>
          </w:tcPr>
          <w:p w14:paraId="79A605E8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84.7 (74.4-104.7)</w:t>
            </w:r>
          </w:p>
        </w:tc>
        <w:tc>
          <w:tcPr>
            <w:tcW w:w="2694" w:type="dxa"/>
            <w:noWrap/>
            <w:vAlign w:val="center"/>
            <w:hideMark/>
          </w:tcPr>
          <w:p w14:paraId="713D8C44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79.3 (70.5-99.2)</w:t>
            </w:r>
          </w:p>
        </w:tc>
        <w:tc>
          <w:tcPr>
            <w:tcW w:w="1275" w:type="dxa"/>
            <w:vAlign w:val="center"/>
          </w:tcPr>
          <w:p w14:paraId="613AF7A0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.89</w:t>
            </w:r>
            <w:r w:rsidRPr="002B5388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2B5388" w14:paraId="76FCE1F0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18B65DF5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Global native T1 (ms)</w:t>
            </w:r>
          </w:p>
        </w:tc>
        <w:tc>
          <w:tcPr>
            <w:tcW w:w="2551" w:type="dxa"/>
            <w:noWrap/>
            <w:vAlign w:val="center"/>
            <w:hideMark/>
          </w:tcPr>
          <w:p w14:paraId="273F2C70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1009.5 (980.8-1038.7)</w:t>
            </w:r>
          </w:p>
        </w:tc>
        <w:tc>
          <w:tcPr>
            <w:tcW w:w="2694" w:type="dxa"/>
            <w:noWrap/>
            <w:vAlign w:val="center"/>
            <w:hideMark/>
          </w:tcPr>
          <w:p w14:paraId="3D989383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1008.1 (987.3-1028.3)</w:t>
            </w:r>
          </w:p>
        </w:tc>
        <w:tc>
          <w:tcPr>
            <w:tcW w:w="1275" w:type="dxa"/>
            <w:vAlign w:val="center"/>
          </w:tcPr>
          <w:p w14:paraId="215FE5BA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.39*</w:t>
            </w:r>
          </w:p>
        </w:tc>
      </w:tr>
      <w:tr w:rsidR="00BE28B0" w:rsidRPr="002B5388" w14:paraId="4C2CDC10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5E74BE6E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Global T2 (ms)</w:t>
            </w:r>
          </w:p>
        </w:tc>
        <w:tc>
          <w:tcPr>
            <w:tcW w:w="2551" w:type="dxa"/>
            <w:noWrap/>
            <w:vAlign w:val="center"/>
            <w:hideMark/>
          </w:tcPr>
          <w:p w14:paraId="3FBA60BF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50.5 (48.8-52.3)</w:t>
            </w:r>
          </w:p>
        </w:tc>
        <w:tc>
          <w:tcPr>
            <w:tcW w:w="2694" w:type="dxa"/>
            <w:noWrap/>
            <w:vAlign w:val="center"/>
            <w:hideMark/>
          </w:tcPr>
          <w:p w14:paraId="6C1E509B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50.5 (49.2-51.6)</w:t>
            </w:r>
          </w:p>
        </w:tc>
        <w:tc>
          <w:tcPr>
            <w:tcW w:w="1275" w:type="dxa"/>
            <w:vAlign w:val="center"/>
          </w:tcPr>
          <w:p w14:paraId="6207469D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.91*</w:t>
            </w:r>
          </w:p>
        </w:tc>
      </w:tr>
      <w:tr w:rsidR="00BE28B0" w:rsidRPr="002B5388" w14:paraId="7B9863CD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70032248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Global ECV (%)</w:t>
            </w:r>
          </w:p>
        </w:tc>
        <w:tc>
          <w:tcPr>
            <w:tcW w:w="2551" w:type="dxa"/>
            <w:noWrap/>
            <w:vAlign w:val="center"/>
            <w:hideMark/>
          </w:tcPr>
          <w:p w14:paraId="43472781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23.6 (22.2-26.5)</w:t>
            </w:r>
          </w:p>
        </w:tc>
        <w:tc>
          <w:tcPr>
            <w:tcW w:w="2694" w:type="dxa"/>
            <w:noWrap/>
            <w:vAlign w:val="center"/>
            <w:hideMark/>
          </w:tcPr>
          <w:p w14:paraId="1BC369BD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23.1 (21.1-24.8)</w:t>
            </w:r>
          </w:p>
        </w:tc>
        <w:tc>
          <w:tcPr>
            <w:tcW w:w="1275" w:type="dxa"/>
            <w:vAlign w:val="center"/>
          </w:tcPr>
          <w:p w14:paraId="32BC4463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.71</w:t>
            </w:r>
            <w:r w:rsidRPr="002B5388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BE28B0" w:rsidRPr="002B5388" w14:paraId="5D58431F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2039A783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lastRenderedPageBreak/>
              <w:t>Global longitudinal strain (%)</w:t>
            </w:r>
          </w:p>
        </w:tc>
        <w:tc>
          <w:tcPr>
            <w:tcW w:w="2551" w:type="dxa"/>
            <w:noWrap/>
            <w:vAlign w:val="center"/>
            <w:hideMark/>
          </w:tcPr>
          <w:p w14:paraId="5EDBFFC4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-183 (-19.0- (-16.7)</w:t>
            </w:r>
          </w:p>
        </w:tc>
        <w:tc>
          <w:tcPr>
            <w:tcW w:w="2694" w:type="dxa"/>
            <w:noWrap/>
            <w:vAlign w:val="center"/>
            <w:hideMark/>
          </w:tcPr>
          <w:p w14:paraId="38EFDE5E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-17.8 (-18.9-(-16.5)</w:t>
            </w:r>
          </w:p>
        </w:tc>
        <w:tc>
          <w:tcPr>
            <w:tcW w:w="1275" w:type="dxa"/>
            <w:vAlign w:val="center"/>
          </w:tcPr>
          <w:p w14:paraId="65327FA8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szCs w:val="24"/>
              </w:rPr>
              <w:t>.40*</w:t>
            </w:r>
          </w:p>
        </w:tc>
      </w:tr>
      <w:tr w:rsidR="00BE28B0" w:rsidRPr="002B5388" w14:paraId="69ED6FCB" w14:textId="77777777" w:rsidTr="00B805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1E13D61A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Global radial strain (%)</w:t>
            </w:r>
          </w:p>
        </w:tc>
        <w:tc>
          <w:tcPr>
            <w:tcW w:w="2551" w:type="dxa"/>
            <w:noWrap/>
            <w:vAlign w:val="center"/>
            <w:hideMark/>
          </w:tcPr>
          <w:p w14:paraId="7A09751D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25.6 (22.6-28.6)</w:t>
            </w:r>
          </w:p>
        </w:tc>
        <w:tc>
          <w:tcPr>
            <w:tcW w:w="2694" w:type="dxa"/>
            <w:noWrap/>
            <w:vAlign w:val="center"/>
            <w:hideMark/>
          </w:tcPr>
          <w:p w14:paraId="57DED949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28.2 (25.4-34.0)</w:t>
            </w:r>
          </w:p>
        </w:tc>
        <w:tc>
          <w:tcPr>
            <w:tcW w:w="1275" w:type="dxa"/>
            <w:vAlign w:val="center"/>
          </w:tcPr>
          <w:p w14:paraId="1B42BA2F" w14:textId="77777777" w:rsidR="00BE28B0" w:rsidRPr="002B5388" w:rsidRDefault="00BE28B0" w:rsidP="00B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2B5388">
              <w:rPr>
                <w:rFonts w:cs="Times New Roman"/>
                <w:b/>
                <w:bCs/>
                <w:szCs w:val="24"/>
              </w:rPr>
              <w:t>.001*</w:t>
            </w:r>
          </w:p>
        </w:tc>
      </w:tr>
      <w:tr w:rsidR="00BE28B0" w:rsidRPr="002B5388" w14:paraId="30A00F87" w14:textId="77777777" w:rsidTr="00B8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14:paraId="54E6ACF7" w14:textId="77777777" w:rsidR="00BE28B0" w:rsidRPr="002B5388" w:rsidRDefault="00BE28B0" w:rsidP="00B8050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2B5388">
              <w:rPr>
                <w:rFonts w:cs="Times New Roman"/>
                <w:b w:val="0"/>
                <w:bCs w:val="0"/>
                <w:szCs w:val="24"/>
              </w:rPr>
              <w:t>Global circumferential strain (%)</w:t>
            </w:r>
          </w:p>
        </w:tc>
        <w:tc>
          <w:tcPr>
            <w:tcW w:w="2551" w:type="dxa"/>
            <w:noWrap/>
            <w:vAlign w:val="center"/>
            <w:hideMark/>
          </w:tcPr>
          <w:p w14:paraId="308660FD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-16.7 (-17.8 -(-15,3)</w:t>
            </w:r>
          </w:p>
        </w:tc>
        <w:tc>
          <w:tcPr>
            <w:tcW w:w="2694" w:type="dxa"/>
            <w:noWrap/>
            <w:vAlign w:val="center"/>
            <w:hideMark/>
          </w:tcPr>
          <w:p w14:paraId="2E439AE9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B5388">
              <w:rPr>
                <w:rFonts w:cs="Times New Roman"/>
                <w:color w:val="000000"/>
                <w:szCs w:val="24"/>
              </w:rPr>
              <w:t>-17.6(-19.8 -(-16.6)</w:t>
            </w:r>
          </w:p>
        </w:tc>
        <w:tc>
          <w:tcPr>
            <w:tcW w:w="1275" w:type="dxa"/>
            <w:vAlign w:val="center"/>
          </w:tcPr>
          <w:p w14:paraId="729A9DAE" w14:textId="77777777" w:rsidR="00BE28B0" w:rsidRPr="002B5388" w:rsidRDefault="00BE28B0" w:rsidP="00B8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2B5388">
              <w:rPr>
                <w:rFonts w:cs="Times New Roman"/>
                <w:b/>
                <w:bCs/>
                <w:szCs w:val="24"/>
              </w:rPr>
              <w:t>.002*</w:t>
            </w:r>
          </w:p>
        </w:tc>
      </w:tr>
    </w:tbl>
    <w:p w14:paraId="32463DCA" w14:textId="77777777" w:rsidR="002B5388" w:rsidRDefault="002B5388" w:rsidP="00BE28B0">
      <w:pPr>
        <w:rPr>
          <w:rFonts w:ascii="Arial" w:hAnsi="Arial" w:cs="Arial"/>
        </w:rPr>
      </w:pPr>
    </w:p>
    <w:p w14:paraId="07807681" w14:textId="64D693E8" w:rsidR="00BE28B0" w:rsidRPr="002B5388" w:rsidRDefault="002B5388" w:rsidP="00BE28B0">
      <w:pPr>
        <w:rPr>
          <w:rFonts w:cs="Times New Roman"/>
        </w:rPr>
      </w:pPr>
      <w:r w:rsidRPr="002B5388">
        <w:rPr>
          <w:rFonts w:cs="Times New Roman"/>
        </w:rPr>
        <w:t xml:space="preserve">Nore: </w:t>
      </w:r>
      <w:r w:rsidR="00BE28B0" w:rsidRPr="002B5388">
        <w:rPr>
          <w:rFonts w:cs="Times New Roman"/>
        </w:rPr>
        <w:t>FU= follow-up; LA=left atrium; LA-EDV=left atrial end diastolic volume; BSA=body surface area; LA-EF=left atrial ejection fraction; RA=right atrium; RA-EF=right atrial ejection fraction; LV-EDV=left ventricular end-diastolic volume; LV-ESV=left ventricular end-systolic volume; LV-SV=left ventricular stroke volume; LVEF=left ventricular ejection fraction; LV-M=left ventricular mass; RVEF=right ventricular ejection fraction; RV-EDV=right ventricular end-diastolic volume; RV-SV=right ventricular stroke volume. Values presented as median and IQR. *Wilcoxon test;</w:t>
      </w:r>
      <w:r w:rsidR="00BE28B0" w:rsidRPr="002B5388">
        <w:rPr>
          <w:rFonts w:cs="Times New Roman"/>
          <w:vertAlign w:val="superscript"/>
        </w:rPr>
        <w:t xml:space="preserve"> †</w:t>
      </w:r>
      <w:r w:rsidR="00BE28B0" w:rsidRPr="002B5388">
        <w:rPr>
          <w:rFonts w:cs="Times New Roman"/>
        </w:rPr>
        <w:t xml:space="preserve">paired students t-test; a </w:t>
      </w:r>
      <w:r w:rsidR="00BE28B0" w:rsidRPr="002B5388">
        <w:rPr>
          <w:rFonts w:cs="Times New Roman"/>
          <w:i/>
          <w:iCs/>
        </w:rPr>
        <w:t>p</w:t>
      </w:r>
      <w:r w:rsidR="00BE28B0" w:rsidRPr="002B5388">
        <w:rPr>
          <w:rFonts w:cs="Times New Roman"/>
        </w:rPr>
        <w:t xml:space="preserve">-value &lt;.05 was considered significant, </w:t>
      </w:r>
      <w:r w:rsidR="00BE28B0" w:rsidRPr="002B5388">
        <w:rPr>
          <w:rFonts w:cs="Times New Roman"/>
          <w:i/>
          <w:iCs/>
        </w:rPr>
        <w:t>p</w:t>
      </w:r>
      <w:r w:rsidR="00BE28B0" w:rsidRPr="002B5388">
        <w:rPr>
          <w:rFonts w:cs="Times New Roman"/>
        </w:rPr>
        <w:t>-values in bold represent significant findings.</w:t>
      </w:r>
    </w:p>
    <w:bookmarkEnd w:id="0"/>
    <w:p w14:paraId="66110ED4" w14:textId="77777777" w:rsidR="00BE28B0" w:rsidRPr="002B4A57" w:rsidRDefault="00BE28B0" w:rsidP="002B4A57">
      <w:pPr>
        <w:keepNext/>
        <w:rPr>
          <w:rFonts w:cs="Times New Roman"/>
          <w:b/>
          <w:szCs w:val="24"/>
        </w:rPr>
      </w:pPr>
    </w:p>
    <w:p w14:paraId="58F1AED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49CD" w14:textId="77777777" w:rsidR="002944C6" w:rsidRDefault="002944C6" w:rsidP="00117666">
      <w:pPr>
        <w:spacing w:after="0"/>
      </w:pPr>
      <w:r>
        <w:separator/>
      </w:r>
    </w:p>
  </w:endnote>
  <w:endnote w:type="continuationSeparator" w:id="0">
    <w:p w14:paraId="0C3C92AA" w14:textId="77777777" w:rsidR="002944C6" w:rsidRDefault="002944C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000000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000000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000000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000000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000000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000000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4107" w14:textId="77777777" w:rsidR="002944C6" w:rsidRDefault="002944C6" w:rsidP="00117666">
      <w:pPr>
        <w:spacing w:after="0"/>
      </w:pPr>
      <w:r>
        <w:separator/>
      </w:r>
    </w:p>
  </w:footnote>
  <w:footnote w:type="continuationSeparator" w:id="0">
    <w:p w14:paraId="03D662D3" w14:textId="77777777" w:rsidR="002944C6" w:rsidRDefault="002944C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000000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000000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821115517">
    <w:abstractNumId w:val="0"/>
  </w:num>
  <w:num w:numId="2" w16cid:durableId="1683165481">
    <w:abstractNumId w:val="4"/>
  </w:num>
  <w:num w:numId="3" w16cid:durableId="615480040">
    <w:abstractNumId w:val="1"/>
  </w:num>
  <w:num w:numId="4" w16cid:durableId="1566183234">
    <w:abstractNumId w:val="5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3"/>
  </w:num>
  <w:num w:numId="7" w16cid:durableId="1359550598">
    <w:abstractNumId w:val="6"/>
  </w:num>
  <w:num w:numId="8" w16cid:durableId="1559510671">
    <w:abstractNumId w:val="6"/>
  </w:num>
  <w:num w:numId="9" w16cid:durableId="1734543462">
    <w:abstractNumId w:val="6"/>
  </w:num>
  <w:num w:numId="10" w16cid:durableId="708839681">
    <w:abstractNumId w:val="6"/>
  </w:num>
  <w:num w:numId="11" w16cid:durableId="2046978920">
    <w:abstractNumId w:val="6"/>
  </w:num>
  <w:num w:numId="12" w16cid:durableId="2124614653">
    <w:abstractNumId w:val="6"/>
  </w:num>
  <w:num w:numId="13" w16cid:durableId="150105246">
    <w:abstractNumId w:val="3"/>
  </w:num>
  <w:num w:numId="14" w16cid:durableId="515769853">
    <w:abstractNumId w:val="2"/>
  </w:num>
  <w:num w:numId="15" w16cid:durableId="1753046014">
    <w:abstractNumId w:val="2"/>
  </w:num>
  <w:num w:numId="16" w16cid:durableId="665939894">
    <w:abstractNumId w:val="2"/>
  </w:num>
  <w:num w:numId="17" w16cid:durableId="2078749421">
    <w:abstractNumId w:val="2"/>
  </w:num>
  <w:num w:numId="18" w16cid:durableId="825047625">
    <w:abstractNumId w:val="2"/>
  </w:num>
  <w:num w:numId="19" w16cid:durableId="803810417">
    <w:abstractNumId w:val="2"/>
  </w:num>
  <w:num w:numId="20" w16cid:durableId="624192002">
    <w:abstractNumId w:val="2"/>
  </w:num>
  <w:num w:numId="21" w16cid:durableId="968900637">
    <w:abstractNumId w:val="2"/>
  </w:num>
  <w:num w:numId="22" w16cid:durableId="1833639385">
    <w:abstractNumId w:val="2"/>
  </w:num>
  <w:num w:numId="23" w16cid:durableId="950556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22DD3"/>
    <w:rsid w:val="00034304"/>
    <w:rsid w:val="00035434"/>
    <w:rsid w:val="00052A14"/>
    <w:rsid w:val="00077D53"/>
    <w:rsid w:val="00105FD9"/>
    <w:rsid w:val="00117666"/>
    <w:rsid w:val="00126461"/>
    <w:rsid w:val="001549D3"/>
    <w:rsid w:val="00160065"/>
    <w:rsid w:val="00177D84"/>
    <w:rsid w:val="00267D18"/>
    <w:rsid w:val="002868E2"/>
    <w:rsid w:val="002869C3"/>
    <w:rsid w:val="002936E4"/>
    <w:rsid w:val="002944C6"/>
    <w:rsid w:val="002B4A57"/>
    <w:rsid w:val="002B5388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9151AA"/>
    <w:rsid w:val="0093429D"/>
    <w:rsid w:val="00943573"/>
    <w:rsid w:val="00970F7D"/>
    <w:rsid w:val="00994A3D"/>
    <w:rsid w:val="009C2B12"/>
    <w:rsid w:val="009C70F3"/>
    <w:rsid w:val="00A174D9"/>
    <w:rsid w:val="00A569CD"/>
    <w:rsid w:val="00AB6715"/>
    <w:rsid w:val="00B1671E"/>
    <w:rsid w:val="00B25EB8"/>
    <w:rsid w:val="00B354E1"/>
    <w:rsid w:val="00B37F4D"/>
    <w:rsid w:val="00BE28B0"/>
    <w:rsid w:val="00C52A7B"/>
    <w:rsid w:val="00C56BAF"/>
    <w:rsid w:val="00C679AA"/>
    <w:rsid w:val="00C75972"/>
    <w:rsid w:val="00C77041"/>
    <w:rsid w:val="00CC0A3A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styleId="berarbeitung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table" w:styleId="EinfacheTabelle5">
    <w:name w:val="Plain Table 5"/>
    <w:basedOn w:val="NormaleTabelle"/>
    <w:uiPriority w:val="45"/>
    <w:rsid w:val="00BE28B0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BE28B0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6farbig">
    <w:name w:val="Grid Table 6 Colorful"/>
    <w:basedOn w:val="NormaleTabelle"/>
    <w:uiPriority w:val="51"/>
    <w:rsid w:val="00BE28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2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9</Pages>
  <Words>1291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Gröschel, Jan</cp:lastModifiedBy>
  <cp:revision>6</cp:revision>
  <cp:lastPrinted>2013-10-03T12:51:00Z</cp:lastPrinted>
  <dcterms:created xsi:type="dcterms:W3CDTF">2023-12-17T21:05:00Z</dcterms:created>
  <dcterms:modified xsi:type="dcterms:W3CDTF">2023-12-17T21:11:00Z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