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Supplemental Table 1: Available Questionnaires </w:t>
      </w:r>
    </w:p>
    <w:tbl>
      <w:tblPr>
        <w:tblStyle w:val="PlainTable1"/>
        <w:tblW w:w="9115" w:type="dxa"/>
        <w:tblLook w:val="0400" w:firstRow="0" w:lastRow="0" w:firstColumn="0" w:lastColumn="0" w:noHBand="0" w:noVBand="1"/>
      </w:tblPr>
      <w:tblGrid>
        <w:gridCol w:w="2577"/>
        <w:gridCol w:w="831"/>
        <w:gridCol w:w="847"/>
        <w:gridCol w:w="659"/>
        <w:gridCol w:w="847"/>
        <w:gridCol w:w="830"/>
        <w:gridCol w:w="847"/>
        <w:gridCol w:w="830"/>
        <w:gridCol w:w="847"/>
      </w:tblGrid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Chemotherapy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End of Therapy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  <w:tr w:rsidR="009A2B22" w:rsidRPr="000E3C19" w:rsidTr="001A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B: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</w:tr>
      <w:tr w:rsidR="009A2B22" w:rsidRPr="000E3C19" w:rsidTr="001A55E5">
        <w:trPr>
          <w:trHeight w:val="2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2" w:rsidRPr="000E3C19" w:rsidRDefault="009A2B22" w:rsidP="001A55E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A6: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C6: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D4: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B22" w:rsidRPr="000E3C19" w:rsidRDefault="009A2B22" w:rsidP="001A55E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C19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  <w:sectPr w:rsidR="009A2B22" w:rsidSect="009A2B2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Supplemental Table 2: 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HD18, </w:t>
      </w:r>
      <w:proofErr w:type="spellStart"/>
      <w:r w:rsidRPr="006E78A2">
        <w:rPr>
          <w:rFonts w:ascii="Arial" w:hAnsi="Arial" w:cs="Arial"/>
          <w:b/>
          <w:sz w:val="20"/>
          <w:szCs w:val="20"/>
          <w:lang w:val="en-US"/>
        </w:rPr>
        <w:t>HRQoL</w:t>
      </w:r>
      <w:proofErr w:type="spellEnd"/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 in the 2</w:t>
      </w:r>
      <w:r w:rsidRPr="006E78A2">
        <w:rPr>
          <w:rFonts w:ascii="Arial" w:hAnsi="Arial" w:cs="Arial"/>
          <w:b/>
          <w:sz w:val="20"/>
          <w:szCs w:val="20"/>
          <w:vertAlign w:val="superscript"/>
          <w:lang w:val="en-US"/>
        </w:rPr>
        <w:t>nd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 year after ther</w:t>
      </w:r>
      <w:r>
        <w:rPr>
          <w:rFonts w:ascii="Arial" w:hAnsi="Arial" w:cs="Arial"/>
          <w:b/>
          <w:sz w:val="20"/>
          <w:szCs w:val="20"/>
          <w:lang w:val="en-US"/>
        </w:rPr>
        <w:t xml:space="preserve">apy in PET2-negative patients: 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effect of 4 vs. 8 cycles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eBEACOPP</w:t>
      </w:r>
      <w:proofErr w:type="spellEnd"/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35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893"/>
        <w:gridCol w:w="885"/>
        <w:gridCol w:w="886"/>
        <w:gridCol w:w="886"/>
        <w:gridCol w:w="886"/>
        <w:gridCol w:w="886"/>
        <w:gridCol w:w="886"/>
        <w:gridCol w:w="885"/>
        <w:gridCol w:w="886"/>
        <w:gridCol w:w="886"/>
        <w:gridCol w:w="886"/>
        <w:gridCol w:w="886"/>
        <w:gridCol w:w="886"/>
        <w:gridCol w:w="512"/>
      </w:tblGrid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QLQ-C30 score</w:t>
            </w:r>
          </w:p>
        </w:tc>
        <w:tc>
          <w:tcPr>
            <w:tcW w:w="26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Baseline score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5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Effect of cycle reduction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6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Male sex</w:t>
            </w:r>
          </w:p>
        </w:tc>
        <w:tc>
          <w:tcPr>
            <w:tcW w:w="2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1A2AE2" w:rsidRDefault="009A2B22" w:rsidP="001A55E5">
            <w:pPr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9A2B22" w:rsidRPr="006E78A2" w:rsidTr="001A55E5">
        <w:trPr>
          <w:gridAfter w:val="1"/>
          <w:wAfter w:w="512" w:type="dxa"/>
          <w:trHeight w:val="262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β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Cognitive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</w:tr>
      <w:tr w:rsidR="009A2B22" w:rsidRPr="006E78A2" w:rsidTr="001A55E5">
        <w:trPr>
          <w:gridAfter w:val="1"/>
          <w:wAfter w:w="512" w:type="dxa"/>
          <w:trHeight w:val="33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Emotional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0.14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0.0095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-0.51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-0.44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-0.41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.0031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-0.76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512" w:type="dxa"/>
          <w:trHeight w:val="43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-0.62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-0.27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-3.4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E78A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Dyspnoea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0.92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512" w:type="dxa"/>
          <w:trHeight w:val="402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Sleep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0.69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-11.1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  <w:lang w:val="en-US"/>
              </w:rPr>
              <w:t>-0.18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  <w:lang w:val="en-US"/>
              </w:rPr>
              <w:t>0.0014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0.71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0.29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1024C8" w:rsidTr="001A55E5">
        <w:tblPrEx>
          <w:tblLook w:val="0600" w:firstRow="0" w:lastRow="0" w:firstColumn="0" w:lastColumn="0" w:noHBand="1" w:noVBand="1"/>
        </w:tblPrEx>
        <w:trPr>
          <w:trHeight w:val="675"/>
        </w:trPr>
        <w:tc>
          <w:tcPr>
            <w:tcW w:w="13553" w:type="dxa"/>
            <w:gridSpan w:val="1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AE2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regression coefficient, </w:t>
            </w: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  <w:r w:rsidRPr="001A2AE2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standardized regression coefficient, P= significance, </w:t>
            </w:r>
            <w:r w:rsidRPr="001A2AE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#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QLQ-C30 scores at baseline (before treatment); </w:t>
            </w: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continuous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variable;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$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effect of 4 cycles (=1) vs. 8 cycles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BEACOPP</w:t>
            </w:r>
            <w:proofErr w:type="spellEnd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(=0), PET2 positivity with uptake &gt; mediastinum: DS ≥ 3</w:t>
            </w:r>
          </w:p>
        </w:tc>
      </w:tr>
    </w:tbl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Supplemental Table 3: 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HD18, </w:t>
      </w:r>
      <w:proofErr w:type="spellStart"/>
      <w:r w:rsidRPr="006E78A2">
        <w:rPr>
          <w:rFonts w:ascii="Arial" w:hAnsi="Arial" w:cs="Arial"/>
          <w:b/>
          <w:sz w:val="20"/>
          <w:szCs w:val="20"/>
          <w:lang w:val="en-US"/>
        </w:rPr>
        <w:t>HRQoL</w:t>
      </w:r>
      <w:proofErr w:type="spellEnd"/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 in the 2</w:t>
      </w:r>
      <w:r w:rsidRPr="00811BC0">
        <w:rPr>
          <w:rFonts w:ascii="Arial" w:hAnsi="Arial" w:cs="Arial"/>
          <w:b/>
          <w:sz w:val="20"/>
          <w:szCs w:val="20"/>
          <w:vertAlign w:val="superscript"/>
          <w:lang w:val="en-US"/>
        </w:rPr>
        <w:t>nd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 year after therapy in PET2-negative patients:  effect of 4 vs. 6 cycles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6E78A2">
        <w:rPr>
          <w:rFonts w:ascii="Arial" w:hAnsi="Arial" w:cs="Arial"/>
          <w:b/>
          <w:sz w:val="20"/>
          <w:szCs w:val="20"/>
          <w:lang w:val="en-US"/>
        </w:rPr>
        <w:t>BEACOPP</w:t>
      </w:r>
      <w:proofErr w:type="spellEnd"/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35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893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228"/>
      </w:tblGrid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QLQ-C30 score</w:t>
            </w:r>
          </w:p>
        </w:tc>
        <w:tc>
          <w:tcPr>
            <w:tcW w:w="27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Baseline score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7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Effect of cycle reduction</w:t>
            </w:r>
            <w:r w:rsidRPr="006E78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7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Male sex</w:t>
            </w:r>
          </w:p>
        </w:tc>
        <w:tc>
          <w:tcPr>
            <w:tcW w:w="27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9A2B22" w:rsidRPr="006E78A2" w:rsidTr="001A55E5">
        <w:trPr>
          <w:gridAfter w:val="1"/>
          <w:wAfter w:w="228" w:type="dxa"/>
          <w:trHeight w:val="262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Cognitive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0.21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</w:tr>
      <w:tr w:rsidR="009A2B22" w:rsidRPr="006E78A2" w:rsidTr="001A55E5">
        <w:trPr>
          <w:gridAfter w:val="1"/>
          <w:wAfter w:w="228" w:type="dxa"/>
          <w:trHeight w:val="33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Emotional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0.86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</w:rPr>
              <w:t>5.8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</w:rPr>
              <w:t>0.12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</w:rPr>
              <w:t>0.076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0.0124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0.99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0.74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-0.77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3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0.57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-0.41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0.0026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E78A2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Dyspnoea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0.0231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0.68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Sleep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-6.5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0.12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  <w:lang w:val="en-US"/>
              </w:rPr>
              <w:t>-5.2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  <w:lang w:val="en-US"/>
              </w:rPr>
              <w:t>-0.08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  <w:lang w:val="en-US"/>
              </w:rPr>
              <w:t>0.24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0.73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0.30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1024C8" w:rsidTr="001A55E5">
        <w:tblPrEx>
          <w:tblLook w:val="0600" w:firstRow="0" w:lastRow="0" w:firstColumn="0" w:lastColumn="0" w:noHBand="1" w:noVBand="1"/>
        </w:tblPrEx>
        <w:trPr>
          <w:trHeight w:val="675"/>
        </w:trPr>
        <w:tc>
          <w:tcPr>
            <w:tcW w:w="13553" w:type="dxa"/>
            <w:gridSpan w:val="1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4E5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regression coefficient, </w:t>
            </w: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  <w:r w:rsidRPr="00544E5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standardized regression coefficient, P= significance, 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#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QLQ-C30 scores at baseline (before treatment); </w:t>
            </w: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continuous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variable;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$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effect of 4 cycles </w:t>
            </w:r>
            <w:proofErr w:type="spellStart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BEACOPPesc</w:t>
            </w:r>
            <w:proofErr w:type="spellEnd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(=1) vs. 6 cycles </w:t>
            </w:r>
            <w:proofErr w:type="spellStart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BEACOPPesc</w:t>
            </w:r>
            <w:proofErr w:type="spellEnd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(=0), PET2 positivity with uptake &gt; mediastinum: DS ≥ 3</w:t>
            </w:r>
          </w:p>
        </w:tc>
      </w:tr>
    </w:tbl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Supplemental Table 4: 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HD18, </w:t>
      </w:r>
      <w:proofErr w:type="spellStart"/>
      <w:r w:rsidRPr="006E78A2">
        <w:rPr>
          <w:rFonts w:ascii="Arial" w:hAnsi="Arial" w:cs="Arial"/>
          <w:b/>
          <w:sz w:val="20"/>
          <w:szCs w:val="20"/>
          <w:lang w:val="en-US"/>
        </w:rPr>
        <w:t>HRQoL</w:t>
      </w:r>
      <w:proofErr w:type="spellEnd"/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 in the 2</w:t>
      </w:r>
      <w:r w:rsidRPr="00811BC0">
        <w:rPr>
          <w:rFonts w:ascii="Arial" w:hAnsi="Arial" w:cs="Arial"/>
          <w:b/>
          <w:sz w:val="20"/>
          <w:szCs w:val="20"/>
          <w:vertAlign w:val="superscript"/>
          <w:lang w:val="en-US"/>
        </w:rPr>
        <w:t>nd</w:t>
      </w:r>
      <w:r w:rsidRPr="006E78A2">
        <w:rPr>
          <w:rFonts w:ascii="Arial" w:hAnsi="Arial" w:cs="Arial"/>
          <w:b/>
          <w:sz w:val="20"/>
          <w:szCs w:val="20"/>
          <w:lang w:val="en-US"/>
        </w:rPr>
        <w:t xml:space="preserve"> year after ther</w:t>
      </w:r>
      <w:r>
        <w:rPr>
          <w:rFonts w:ascii="Arial" w:hAnsi="Arial" w:cs="Arial"/>
          <w:b/>
          <w:sz w:val="20"/>
          <w:szCs w:val="20"/>
          <w:lang w:val="en-US"/>
        </w:rPr>
        <w:t xml:space="preserve">apy in PET2-positive patients: </w:t>
      </w:r>
      <w:r w:rsidRPr="006E78A2">
        <w:rPr>
          <w:rFonts w:ascii="Arial" w:hAnsi="Arial" w:cs="Arial"/>
          <w:b/>
          <w:sz w:val="20"/>
          <w:szCs w:val="20"/>
          <w:lang w:val="en-US"/>
        </w:rPr>
        <w:t>effect of 8 cycles R-</w:t>
      </w:r>
      <w:proofErr w:type="spellStart"/>
      <w:r w:rsidRPr="006E78A2">
        <w:rPr>
          <w:rFonts w:ascii="Arial" w:hAnsi="Arial" w:cs="Arial"/>
          <w:b/>
          <w:sz w:val="20"/>
          <w:szCs w:val="20"/>
          <w:lang w:val="en-US"/>
        </w:rPr>
        <w:t>BEACOPPesc</w:t>
      </w:r>
      <w:proofErr w:type="spellEnd"/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35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893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228"/>
      </w:tblGrid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QLQ-C30 score</w:t>
            </w:r>
          </w:p>
        </w:tc>
        <w:tc>
          <w:tcPr>
            <w:tcW w:w="27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Baseline score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7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Effect of R-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E78A2">
              <w:rPr>
                <w:rFonts w:ascii="Arial" w:hAnsi="Arial" w:cs="Arial"/>
                <w:b/>
                <w:sz w:val="20"/>
                <w:szCs w:val="20"/>
              </w:rPr>
              <w:t>BEACOPP</w:t>
            </w:r>
            <w:r w:rsidRPr="006E78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7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Male sex</w:t>
            </w:r>
          </w:p>
        </w:tc>
        <w:tc>
          <w:tcPr>
            <w:tcW w:w="27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1A2AE2" w:rsidRDefault="009A2B22" w:rsidP="001A55E5">
            <w:pPr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9A2B22" w:rsidRPr="006E78A2" w:rsidTr="001A55E5">
        <w:trPr>
          <w:gridAfter w:val="1"/>
          <w:wAfter w:w="228" w:type="dxa"/>
          <w:trHeight w:val="262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Cognitive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-0.49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0.0008</w:t>
            </w:r>
          </w:p>
        </w:tc>
      </w:tr>
      <w:tr w:rsidR="009A2B22" w:rsidRPr="006E78A2" w:rsidTr="001A55E5">
        <w:trPr>
          <w:gridAfter w:val="1"/>
          <w:wAfter w:w="228" w:type="dxa"/>
          <w:trHeight w:val="33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Emotional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0.83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</w:rPr>
              <w:t>6.0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</w:rPr>
              <w:t>0.12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i/>
                <w:sz w:val="20"/>
                <w:szCs w:val="20"/>
              </w:rPr>
              <w:t>0.0598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0.018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-2.3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0.18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-0.47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-0.86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3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-0.53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0.0012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0.44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E78A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-0.03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Dyspnoea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0.48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-0.02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6E78A2" w:rsidTr="001A55E5">
        <w:trPr>
          <w:gridAfter w:val="1"/>
          <w:wAfter w:w="228" w:type="dxa"/>
          <w:trHeight w:val="402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Sleep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0.0021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-1.6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</w:rPr>
              <w:t>-0.03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0.64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  <w:lang w:val="en-US"/>
              </w:rPr>
              <w:t>-8.3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  <w:lang w:val="en-US"/>
              </w:rPr>
              <w:t>-0.16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b/>
                <w:sz w:val="20"/>
                <w:szCs w:val="20"/>
                <w:lang w:val="en-US"/>
              </w:rPr>
              <w:t>0.0170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0.84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0.34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2B22" w:rsidRPr="006E78A2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8A2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9A2B22" w:rsidRPr="001024C8" w:rsidTr="001A55E5">
        <w:tblPrEx>
          <w:tblLook w:val="0600" w:firstRow="0" w:lastRow="0" w:firstColumn="0" w:lastColumn="0" w:noHBand="1" w:noVBand="1"/>
        </w:tblPrEx>
        <w:trPr>
          <w:trHeight w:val="675"/>
        </w:trPr>
        <w:tc>
          <w:tcPr>
            <w:tcW w:w="13553" w:type="dxa"/>
            <w:gridSpan w:val="1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9A2B22" w:rsidRPr="006E78A2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4E5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regression coefficient, </w:t>
            </w:r>
            <w:r w:rsidRPr="006E78A2">
              <w:rPr>
                <w:rFonts w:ascii="Arial" w:hAnsi="Arial" w:cs="Arial"/>
                <w:sz w:val="20"/>
                <w:szCs w:val="20"/>
              </w:rPr>
              <w:t>β</w:t>
            </w:r>
            <w:r w:rsidRPr="00544E50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standardized regression coefficient, P= significance, </w:t>
            </w:r>
            <w:r w:rsidRPr="00544E5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A2AE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#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QLQ-C30 scores at baseline (before treatment); </w:t>
            </w: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continuous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variable </w:t>
            </w:r>
            <w:r w:rsidRPr="006E78A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$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effect of 8 cycles R-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BEACOPP</w:t>
            </w:r>
            <w:proofErr w:type="spellEnd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(=1) vs. 8 cycles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>BEACOPP</w:t>
            </w:r>
            <w:proofErr w:type="spellEnd"/>
            <w:r w:rsidRPr="006E78A2">
              <w:rPr>
                <w:rFonts w:ascii="Arial" w:hAnsi="Arial" w:cs="Arial"/>
                <w:sz w:val="20"/>
                <w:szCs w:val="20"/>
                <w:lang w:val="en-US"/>
              </w:rPr>
              <w:t xml:space="preserve"> (=0), PET2 positivity with uptake &gt; mediastinum: DS ≥ 3</w:t>
            </w:r>
          </w:p>
        </w:tc>
      </w:tr>
    </w:tbl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  <w:sectPr w:rsidR="009A2B22" w:rsidSect="00F4287F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9A2B22" w:rsidRDefault="009A2B22" w:rsidP="009A2B22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Supplemental Table 5: Fatigue (EORTC-QLQ-C30) with 4x ABVD (HD14) in early unfavorable stages of HL and 6x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eBEACOPP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(HD15) in advanced stages of HL from baseline to second year after treatment</w:t>
      </w:r>
    </w:p>
    <w:p w:rsidR="009A2B22" w:rsidRDefault="009A2B22" w:rsidP="009A2B22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206"/>
        <w:gridCol w:w="1206"/>
        <w:gridCol w:w="1206"/>
        <w:gridCol w:w="1206"/>
        <w:gridCol w:w="1206"/>
        <w:gridCol w:w="1206"/>
      </w:tblGrid>
      <w:tr w:rsidR="009A2B22" w:rsidRPr="00533FF5" w:rsidTr="001A55E5">
        <w:trPr>
          <w:trHeight w:val="407"/>
        </w:trPr>
        <w:tc>
          <w:tcPr>
            <w:tcW w:w="21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FF5">
              <w:rPr>
                <w:rFonts w:ascii="Arial" w:hAnsi="Arial" w:cs="Arial"/>
                <w:sz w:val="20"/>
                <w:szCs w:val="20"/>
                <w:lang w:val="en-US"/>
              </w:rPr>
              <w:t>4x ABVD</w:t>
            </w:r>
          </w:p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FF5">
              <w:rPr>
                <w:rFonts w:ascii="Arial" w:hAnsi="Arial" w:cs="Arial"/>
                <w:sz w:val="20"/>
                <w:szCs w:val="20"/>
                <w:lang w:val="en-US"/>
              </w:rPr>
              <w:t>Early-unfavorable stages of HL</w:t>
            </w:r>
          </w:p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FF5">
              <w:rPr>
                <w:rFonts w:ascii="Arial" w:hAnsi="Arial" w:cs="Arial"/>
                <w:sz w:val="20"/>
                <w:szCs w:val="20"/>
                <w:lang w:val="en-US"/>
              </w:rPr>
              <w:t>HD14 trial</w:t>
            </w:r>
          </w:p>
        </w:tc>
        <w:tc>
          <w:tcPr>
            <w:tcW w:w="36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2B22" w:rsidRPr="00C94ADE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4ADE">
              <w:rPr>
                <w:rFonts w:ascii="Arial" w:hAnsi="Arial" w:cs="Arial"/>
                <w:sz w:val="20"/>
                <w:szCs w:val="20"/>
                <w:lang w:val="en-US"/>
              </w:rPr>
              <w:t xml:space="preserve">6x </w:t>
            </w:r>
            <w:proofErr w:type="spellStart"/>
            <w:r w:rsidRPr="00C94ADE">
              <w:rPr>
                <w:rFonts w:ascii="Arial" w:hAnsi="Arial" w:cs="Arial"/>
                <w:sz w:val="20"/>
                <w:szCs w:val="20"/>
                <w:lang w:val="en-US"/>
              </w:rPr>
              <w:t>eBEACOPP</w:t>
            </w:r>
            <w:proofErr w:type="spellEnd"/>
          </w:p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FF5">
              <w:rPr>
                <w:rFonts w:ascii="Arial" w:hAnsi="Arial" w:cs="Arial"/>
                <w:sz w:val="20"/>
                <w:szCs w:val="20"/>
                <w:lang w:val="en-US"/>
              </w:rPr>
              <w:t>Advanced stages of HL</w:t>
            </w:r>
          </w:p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FF5">
              <w:rPr>
                <w:rFonts w:ascii="Arial" w:hAnsi="Arial" w:cs="Arial"/>
                <w:sz w:val="20"/>
                <w:szCs w:val="20"/>
                <w:lang w:val="en-US"/>
              </w:rPr>
              <w:t>HD15 trial</w:t>
            </w:r>
          </w:p>
        </w:tc>
      </w:tr>
      <w:tr w:rsidR="009A2B22" w:rsidRPr="00533FF5" w:rsidTr="001A55E5">
        <w:trPr>
          <w:trHeight w:val="26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C94ADE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DE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533FF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  <w:tr w:rsidR="009A2B22" w:rsidRPr="00533FF5" w:rsidTr="001A55E5">
        <w:trPr>
          <w:trHeight w:val="407"/>
        </w:trPr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Baseline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29.97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49.66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30.49</w:t>
            </w:r>
          </w:p>
        </w:tc>
      </w:tr>
      <w:tr w:rsidR="009A2B22" w:rsidRPr="00533FF5" w:rsidTr="001A55E5">
        <w:trPr>
          <w:trHeight w:val="33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Cycle 2-4 of chemotherapy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60.31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26.70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59.58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25.50</w:t>
            </w:r>
          </w:p>
        </w:tc>
      </w:tr>
      <w:tr w:rsidR="009A2B22" w:rsidRPr="00533FF5" w:rsidTr="001A55E5">
        <w:trPr>
          <w:trHeight w:val="407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End of treatment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55.74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59.77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26.33</w:t>
            </w:r>
          </w:p>
        </w:tc>
      </w:tr>
      <w:tr w:rsidR="009A2B22" w:rsidRPr="00533FF5" w:rsidTr="001A55E5">
        <w:trPr>
          <w:trHeight w:val="407"/>
        </w:trPr>
        <w:tc>
          <w:tcPr>
            <w:tcW w:w="21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31.91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24.65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32.00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24.93</w:t>
            </w:r>
          </w:p>
        </w:tc>
      </w:tr>
      <w:tr w:rsidR="009A2B22" w:rsidRPr="00533FF5" w:rsidTr="001A55E5">
        <w:trPr>
          <w:trHeight w:val="444"/>
        </w:trPr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533FF5" w:rsidRDefault="009A2B22" w:rsidP="001A55E5">
            <w:pPr>
              <w:rPr>
                <w:rFonts w:ascii="Arial" w:hAnsi="Arial" w:cs="Arial"/>
                <w:sz w:val="20"/>
                <w:szCs w:val="20"/>
              </w:rPr>
            </w:pPr>
            <w:r w:rsidRPr="00533FF5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29.59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24.99</w:t>
            </w:r>
          </w:p>
        </w:tc>
      </w:tr>
    </w:tbl>
    <w:p w:rsidR="009A2B22" w:rsidRPr="00DA04B5" w:rsidRDefault="009A2B22" w:rsidP="009A2B22">
      <w:pPr>
        <w:rPr>
          <w:rFonts w:ascii="Arial" w:hAnsi="Arial" w:cs="Arial"/>
          <w:sz w:val="20"/>
          <w:szCs w:val="20"/>
          <w:lang w:val="en-US"/>
        </w:rPr>
      </w:pPr>
      <w:r w:rsidRPr="00DA04B5">
        <w:rPr>
          <w:rFonts w:ascii="Arial" w:hAnsi="Arial" w:cs="Arial"/>
          <w:sz w:val="20"/>
          <w:szCs w:val="20"/>
          <w:lang w:val="en-US"/>
        </w:rPr>
        <w:t>N= number of p</w:t>
      </w:r>
      <w:r>
        <w:rPr>
          <w:rFonts w:ascii="Arial" w:hAnsi="Arial" w:cs="Arial"/>
          <w:sz w:val="20"/>
          <w:szCs w:val="20"/>
          <w:lang w:val="en-US"/>
        </w:rPr>
        <w:t xml:space="preserve">atients, SD= standard deviation; </w:t>
      </w:r>
      <w:r w:rsidRPr="00DA04B5">
        <w:rPr>
          <w:rFonts w:ascii="Arial" w:hAnsi="Arial" w:cs="Arial"/>
          <w:sz w:val="20"/>
          <w:szCs w:val="20"/>
          <w:lang w:val="en-US"/>
        </w:rPr>
        <w:t>Patients with an early-unfavorable stage of HL treated with 4 cycles of ABVD reported very similar fatigue as patients with advanced stages of HL treated with 6 cycles of escalated BEACOPP. Only at baseline, before start of chemotherapy, the patients of the HD14 trial reported significantly less fatigue than the patients of the HD15 trial.</w:t>
      </w:r>
    </w:p>
    <w:p w:rsidR="009A2B22" w:rsidRDefault="009A2B22" w:rsidP="009A2B22">
      <w:pPr>
        <w:tabs>
          <w:tab w:val="left" w:pos="3705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tabs>
          <w:tab w:val="left" w:pos="3705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A2B22" w:rsidRDefault="009A2B22" w:rsidP="009A2B22">
      <w:pPr>
        <w:tabs>
          <w:tab w:val="left" w:pos="3705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Supplemental Table 6: Summary of </w:t>
      </w:r>
      <w:proofErr w:type="spellStart"/>
      <w:r w:rsidRPr="00DA04B5">
        <w:rPr>
          <w:rFonts w:ascii="Arial" w:hAnsi="Arial" w:cs="Arial"/>
          <w:b/>
          <w:sz w:val="20"/>
          <w:szCs w:val="20"/>
          <w:lang w:val="en-US"/>
        </w:rPr>
        <w:t>of</w:t>
      </w:r>
      <w:proofErr w:type="spellEnd"/>
      <w:r w:rsidRPr="00DA04B5">
        <w:rPr>
          <w:rFonts w:ascii="Arial" w:hAnsi="Arial" w:cs="Arial"/>
          <w:b/>
          <w:sz w:val="20"/>
          <w:szCs w:val="20"/>
          <w:lang w:val="en-US"/>
        </w:rPr>
        <w:t xml:space="preserve"> time to recovery of fatigue (TTR-F)</w:t>
      </w:r>
      <w:r>
        <w:rPr>
          <w:rFonts w:ascii="Arial" w:hAnsi="Arial" w:cs="Arial"/>
          <w:b/>
          <w:sz w:val="20"/>
          <w:szCs w:val="20"/>
          <w:lang w:val="en-US"/>
        </w:rPr>
        <w:t xml:space="preserve"> and return to work (TTR-W) results</w:t>
      </w:r>
    </w:p>
    <w:p w:rsidR="009A2B22" w:rsidRDefault="009A2B22" w:rsidP="009A2B22">
      <w:pPr>
        <w:tabs>
          <w:tab w:val="left" w:pos="3705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1783"/>
        <w:gridCol w:w="1702"/>
        <w:gridCol w:w="1702"/>
        <w:gridCol w:w="1702"/>
      </w:tblGrid>
      <w:tr w:rsidR="009A2B22" w:rsidRPr="001024C8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b/>
                <w:sz w:val="20"/>
                <w:szCs w:val="20"/>
              </w:rPr>
              <w:t>Median TTR-F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b/>
                <w:sz w:val="20"/>
                <w:szCs w:val="20"/>
                <w:lang w:val="en-US"/>
              </w:rPr>
              <w:t>Recovery of fatigue after 24 months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b/>
                <w:sz w:val="20"/>
                <w:szCs w:val="20"/>
              </w:rPr>
              <w:t>Median TTR-W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b/>
                <w:sz w:val="20"/>
                <w:szCs w:val="20"/>
                <w:lang w:val="en-US"/>
              </w:rPr>
              <w:t>Return to work after 24 months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B22" w:rsidRPr="00DA04B5" w:rsidRDefault="009A2B22" w:rsidP="001A55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sz w:val="20"/>
                <w:szCs w:val="20"/>
              </w:rPr>
              <w:t>months (CI95)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sz w:val="20"/>
                <w:szCs w:val="20"/>
              </w:rPr>
              <w:t>% (CI95)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sz w:val="20"/>
                <w:szCs w:val="20"/>
              </w:rPr>
              <w:t>months (CI95)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sz w:val="20"/>
                <w:szCs w:val="20"/>
              </w:rPr>
              <w:t>% (CI95)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F6663A" w:rsidRDefault="009A2B22" w:rsidP="001A55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PET2-positive patients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F6663A" w:rsidRDefault="009A2B22" w:rsidP="001A55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</w:rPr>
              <w:t>Arm A: 8x eBEACOPP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9.9 (8.7-12.9)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74.7 (66.4-83.0)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10.6 (9.5-13.9)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74.5 (65.6-83.5)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F6663A" w:rsidRDefault="009A2B22" w:rsidP="001A55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</w:rPr>
              <w:t>Arm B: 8x R-eBEACOPP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12.1 (10.0-15.5)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69.6 (61.5-77.7)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12.3 (10.3-15.5)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72.3(63.2-81.4)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F6663A" w:rsidRDefault="009A2B22" w:rsidP="001A55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PET2-negative patients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DA04B5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B22" w:rsidRPr="00F6663A" w:rsidRDefault="009A2B22" w:rsidP="001A55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Arm D4: 4x </w:t>
            </w:r>
            <w:proofErr w:type="spellStart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eBEACOPP</w:t>
            </w:r>
            <w:proofErr w:type="spellEnd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post-amend.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9.9 (7.9-13.3)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6B3">
              <w:rPr>
                <w:rFonts w:ascii="Arial" w:hAnsi="Arial" w:cs="Arial"/>
                <w:color w:val="000000"/>
                <w:sz w:val="20"/>
                <w:szCs w:val="20"/>
              </w:rPr>
              <w:t>62.9 (55.9-69.9)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6B3">
              <w:rPr>
                <w:rFonts w:ascii="Arial" w:hAnsi="Arial" w:cs="Arial"/>
                <w:color w:val="000000"/>
                <w:sz w:val="20"/>
                <w:szCs w:val="20"/>
              </w:rPr>
              <w:t>15.0 (9.2.19.6)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6B3">
              <w:rPr>
                <w:rFonts w:ascii="Arial" w:hAnsi="Arial" w:cs="Arial"/>
                <w:color w:val="000000"/>
                <w:sz w:val="20"/>
                <w:szCs w:val="20"/>
              </w:rPr>
              <w:t>61.4 (51.8-71.1)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Default="009A2B22" w:rsidP="001A55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Arm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4x </w:t>
            </w:r>
            <w:proofErr w:type="spellStart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eBEACOPP</w:t>
            </w:r>
            <w:proofErr w:type="spellEnd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A2B22" w:rsidRPr="00DA04B5" w:rsidRDefault="009A2B22" w:rsidP="001A55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pre-amend</w:t>
            </w:r>
            <w:proofErr w:type="gramEnd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11.8 (7.8-15.4)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6C4176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</w:rPr>
              <w:t>71.3 (63.5-79.0)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13.7 (11.5-17.8)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57.1 (48.4-65.7)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F6663A" w:rsidRDefault="009A2B22" w:rsidP="001A55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Arm C6: 6x </w:t>
            </w:r>
            <w:proofErr w:type="spellStart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eBEACOPP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12.9 (9.7-19.7)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6C4176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</w:rPr>
              <w:t>64.2 (55.3-73.1)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15.2 (12.5-21.8)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57.3 (46.4-68.3)</w:t>
            </w:r>
          </w:p>
        </w:tc>
      </w:tr>
      <w:tr w:rsidR="009A2B22" w:rsidRPr="00F6663A" w:rsidTr="001A55E5">
        <w:trPr>
          <w:trHeight w:val="60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F6663A" w:rsidRDefault="009A2B22" w:rsidP="001A55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Arm C: 8x </w:t>
            </w:r>
            <w:proofErr w:type="spellStart"/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eBEACOPP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19.1 (13.3-28.3)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Pr="006C4176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63A">
              <w:rPr>
                <w:rFonts w:ascii="Arial" w:hAnsi="Arial" w:cs="Arial"/>
                <w:color w:val="000000"/>
                <w:sz w:val="20"/>
                <w:szCs w:val="20"/>
              </w:rPr>
              <w:t>53.9 (46.3-61.4)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18.1 (13.2-24.6)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B22" w:rsidRPr="00F6663A" w:rsidRDefault="009A2B22" w:rsidP="001A55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4B5">
              <w:rPr>
                <w:rFonts w:ascii="Arial" w:hAnsi="Arial" w:cs="Arial"/>
                <w:color w:val="000000"/>
                <w:sz w:val="20"/>
                <w:szCs w:val="20"/>
              </w:rPr>
              <w:t>47.6 (38.8-56.4)</w:t>
            </w:r>
          </w:p>
        </w:tc>
      </w:tr>
    </w:tbl>
    <w:p w:rsidR="009A2B22" w:rsidRPr="00F875E2" w:rsidRDefault="009A2B22" w:rsidP="009A2B22">
      <w:pPr>
        <w:spacing w:after="160" w:line="259" w:lineRule="auto"/>
        <w:rPr>
          <w:lang w:val="en-US"/>
        </w:rPr>
      </w:pPr>
    </w:p>
    <w:p w:rsidR="009A2B22" w:rsidRPr="000113C0" w:rsidRDefault="009A2B22" w:rsidP="009A2B22">
      <w:pPr>
        <w:rPr>
          <w:rFonts w:ascii="Arial" w:hAnsi="Arial" w:cs="Arial"/>
          <w:lang w:val="en-US"/>
        </w:rPr>
      </w:pPr>
    </w:p>
    <w:p w:rsidR="00AE3617" w:rsidRDefault="009A2B22">
      <w:bookmarkStart w:id="0" w:name="_GoBack"/>
      <w:bookmarkEnd w:id="0"/>
    </w:p>
    <w:sectPr w:rsidR="00AE3617" w:rsidSect="00F4287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1"/>
    <w:rsid w:val="00107C31"/>
    <w:rsid w:val="00494106"/>
    <w:rsid w:val="00737BF8"/>
    <w:rsid w:val="009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6378-9620-4F0B-A6C9-28BD2AFA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A2B22"/>
    <w:pPr>
      <w:spacing w:after="0" w:line="240" w:lineRule="auto"/>
    </w:pPr>
    <w:rPr>
      <w:lang w:val="de-DE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PDMR3</dc:creator>
  <cp:keywords/>
  <dc:description/>
  <cp:lastModifiedBy>PDMR3</cp:lastModifiedBy>
  <cp:revision>2</cp:revision>
  <dcterms:created xsi:type="dcterms:W3CDTF">2023-12-07T09:19:00Z</dcterms:created>
  <dcterms:modified xsi:type="dcterms:W3CDTF">2023-12-07T09:20:00Z</dcterms:modified>
</cp:coreProperties>
</file>