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0EBC" w14:textId="60BABF05" w:rsidR="00972A4C" w:rsidRPr="00972A4C" w:rsidRDefault="00972A4C" w:rsidP="00972A4C">
      <w:pPr>
        <w:pStyle w:val="NormalWeb"/>
      </w:pPr>
      <w:r w:rsidRPr="00972A4C">
        <w:rPr>
          <w:b/>
          <w:bCs/>
        </w:rPr>
        <w:t xml:space="preserve">Supplementary materials for: </w:t>
      </w:r>
    </w:p>
    <w:p w14:paraId="4867C34B" w14:textId="77777777" w:rsidR="00972A4C" w:rsidRPr="00972A4C" w:rsidRDefault="00972A4C" w:rsidP="00972A4C">
      <w:pPr>
        <w:spacing w:before="280" w:after="280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72A4C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High-resolution molecular atlas of a lung tumor in 3D</w:t>
      </w:r>
    </w:p>
    <w:p w14:paraId="24E5564F" w14:textId="728CA1DB" w:rsidR="00972A4C" w:rsidRPr="00972A4C" w:rsidRDefault="00972A4C" w:rsidP="00972A4C">
      <w:pPr>
        <w:pStyle w:val="NormalWeb"/>
      </w:pPr>
      <w:r>
        <w:rPr>
          <w:lang w:val="en-US"/>
        </w:rPr>
        <w:t>Tancredi Massimo Pentimalli</w:t>
      </w:r>
      <w:r w:rsidRPr="00972A4C">
        <w:t xml:space="preserve"> et al. </w:t>
      </w:r>
    </w:p>
    <w:p w14:paraId="2C391230" w14:textId="4E690FC9" w:rsidR="00972A4C" w:rsidRDefault="00972A4C" w:rsidP="00972A4C">
      <w:pPr>
        <w:pStyle w:val="NormalWeb"/>
        <w:rPr>
          <w:u w:val="single"/>
          <w:lang w:val="en-US"/>
        </w:rPr>
      </w:pPr>
      <w:r w:rsidRPr="00972A4C">
        <w:rPr>
          <w:u w:val="single"/>
          <w:lang w:val="en-US"/>
        </w:rPr>
        <w:t>Supplementary table 1 (separate file)</w:t>
      </w:r>
    </w:p>
    <w:p w14:paraId="78342297" w14:textId="4C72FCC5" w:rsidR="00972A4C" w:rsidRPr="00972A4C" w:rsidRDefault="00972A4C" w:rsidP="00972A4C">
      <w:pPr>
        <w:pStyle w:val="NormalWeb"/>
        <w:rPr>
          <w:lang w:val="en-US"/>
        </w:rPr>
      </w:pPr>
      <w:proofErr w:type="spellStart"/>
      <w:r w:rsidRPr="00972A4C">
        <w:rPr>
          <w:lang w:val="en-US"/>
        </w:rPr>
        <w:t>CosMx</w:t>
      </w:r>
      <w:proofErr w:type="spellEnd"/>
      <w:r w:rsidRPr="00972A4C">
        <w:rPr>
          <w:lang w:val="en-US"/>
        </w:rPr>
        <w:t xml:space="preserve"> 1000-plex panel includes probes targeting 960 genes to profile cell types, states and cell-cell interactions and 20 negative control probes.</w:t>
      </w:r>
    </w:p>
    <w:p w14:paraId="2AD0B81D" w14:textId="33D4A70A" w:rsidR="00972A4C" w:rsidRDefault="00972A4C" w:rsidP="00972A4C">
      <w:pPr>
        <w:pStyle w:val="NormalWeb"/>
        <w:rPr>
          <w:u w:val="single"/>
          <w:lang w:val="en-US"/>
        </w:rPr>
      </w:pPr>
      <w:r w:rsidRPr="00972A4C">
        <w:rPr>
          <w:u w:val="single"/>
          <w:lang w:val="en-US"/>
        </w:rPr>
        <w:t xml:space="preserve">Supplementary Figure 1 </w:t>
      </w:r>
      <w:r>
        <w:rPr>
          <w:u w:val="single"/>
          <w:lang w:val="en-US"/>
        </w:rPr>
        <w:t>related to figure 2</w:t>
      </w:r>
    </w:p>
    <w:p w14:paraId="32A6BE2D" w14:textId="7B9FE159" w:rsidR="00972A4C" w:rsidRDefault="00972A4C" w:rsidP="00972A4C">
      <w:pPr>
        <w:pStyle w:val="NormalWeb"/>
        <w:rPr>
          <w:u w:val="single"/>
          <w:lang w:val="en-US"/>
        </w:rPr>
      </w:pPr>
      <w:r w:rsidRPr="00972A4C">
        <w:rPr>
          <w:noProof/>
          <w:lang w:val="en-US"/>
          <w14:ligatures w14:val="standardContextual"/>
        </w:rPr>
        <w:drawing>
          <wp:inline distT="0" distB="0" distL="0" distR="0" wp14:anchorId="3F950200" wp14:editId="1DFD5640">
            <wp:extent cx="5731510" cy="3724910"/>
            <wp:effectExtent l="0" t="0" r="0" b="0"/>
            <wp:docPr id="1710392088" name="Picture 2" descr="A picture containing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392088" name="Picture 2" descr="A picture containing screensho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2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F9294" w14:textId="68F6FF06" w:rsidR="00972A4C" w:rsidRPr="00750332" w:rsidRDefault="00972A4C" w:rsidP="00972A4C">
      <w:pPr>
        <w:pStyle w:val="NormalWeb"/>
        <w:rPr>
          <w:u w:val="single"/>
          <w:lang w:val="en-US"/>
        </w:rPr>
      </w:pPr>
      <w:r>
        <w:rPr>
          <w:b/>
          <w:bCs/>
          <w:color w:val="000000"/>
        </w:rPr>
        <w:t>a)</w:t>
      </w:r>
      <w:r>
        <w:rPr>
          <w:color w:val="000000"/>
        </w:rPr>
        <w:t xml:space="preserve"> UMAP of 3D cellular neighborhoods. Cells are grouped based on their 3D neighborhood composition and colored by 3D cluster assignment.  </w:t>
      </w:r>
      <w:r>
        <w:rPr>
          <w:b/>
          <w:bCs/>
          <w:color w:val="000000"/>
        </w:rPr>
        <w:t>b)</w:t>
      </w:r>
      <w:r>
        <w:rPr>
          <w:color w:val="000000"/>
        </w:rPr>
        <w:t xml:space="preserve"> Heatmap showing the average count of each cell type in the 3D neighborhoods of cells assigned to each cluster. Heatmap legend is clipped to 30 for visualization purposes. </w:t>
      </w:r>
      <w:r>
        <w:rPr>
          <w:b/>
          <w:bCs/>
          <w:color w:val="000000"/>
        </w:rPr>
        <w:t>c)</w:t>
      </w:r>
      <w:r>
        <w:rPr>
          <w:color w:val="000000"/>
        </w:rPr>
        <w:t xml:space="preserve"> Clusters with similar composition and spatial pattern are merged together: Clusters 5 and 8 as ‘Airways’, Cluster 3, 10 and 12 as ‘T cell niches’. </w:t>
      </w:r>
      <w:r>
        <w:rPr>
          <w:b/>
          <w:bCs/>
          <w:color w:val="000000"/>
        </w:rPr>
        <w:t>d)</w:t>
      </w:r>
      <w:r>
        <w:rPr>
          <w:color w:val="000000"/>
        </w:rPr>
        <w:t xml:space="preserve"> UMAP of 2D cellular neighborhoods. Cells are grouped based on their 2D neighborhood composition and colored by 2D cluster assignment. </w:t>
      </w:r>
      <w:r>
        <w:rPr>
          <w:b/>
          <w:bCs/>
          <w:color w:val="000000"/>
        </w:rPr>
        <w:t xml:space="preserve">e) </w:t>
      </w:r>
      <w:r>
        <w:rPr>
          <w:color w:val="000000"/>
        </w:rPr>
        <w:t>Heatmap showing the average count of each cell type in the 2D neighborhoods of cells assigned to each cluster. Heatmap legend is clipped to 30 for visualization purposes.</w:t>
      </w:r>
    </w:p>
    <w:p w14:paraId="3D8810C8" w14:textId="764DEEE7" w:rsidR="003332E9" w:rsidRDefault="00972A4C" w:rsidP="003332E9">
      <w:pPr>
        <w:pStyle w:val="NormalWeb"/>
        <w:rPr>
          <w:u w:val="single"/>
          <w:lang w:val="en-US"/>
        </w:rPr>
      </w:pPr>
      <w:r w:rsidRPr="00972A4C">
        <w:rPr>
          <w:u w:val="single"/>
          <w:lang w:val="en-US"/>
        </w:rPr>
        <w:t>Supplementary video 1</w:t>
      </w:r>
      <w:r w:rsidR="003332E9">
        <w:rPr>
          <w:u w:val="single"/>
          <w:lang w:val="en-US"/>
        </w:rPr>
        <w:t xml:space="preserve"> related to figure</w:t>
      </w:r>
      <w:r w:rsidR="00750332">
        <w:rPr>
          <w:u w:val="single"/>
          <w:lang w:val="en-US"/>
        </w:rPr>
        <w:t>s</w:t>
      </w:r>
      <w:r w:rsidR="003332E9">
        <w:rPr>
          <w:u w:val="single"/>
          <w:lang w:val="en-US"/>
        </w:rPr>
        <w:t xml:space="preserve"> 3</w:t>
      </w:r>
      <w:r w:rsidR="00750332">
        <w:rPr>
          <w:u w:val="single"/>
          <w:lang w:val="en-US"/>
        </w:rPr>
        <w:t xml:space="preserve"> and 4</w:t>
      </w:r>
      <w:r w:rsidR="003332E9">
        <w:rPr>
          <w:u w:val="single"/>
          <w:lang w:val="en-US"/>
        </w:rPr>
        <w:t xml:space="preserve"> </w:t>
      </w:r>
      <w:r w:rsidR="003332E9" w:rsidRPr="00972A4C">
        <w:rPr>
          <w:u w:val="single"/>
          <w:lang w:val="en-US"/>
        </w:rPr>
        <w:t>(separate file)</w:t>
      </w:r>
    </w:p>
    <w:p w14:paraId="27F8A9D7" w14:textId="2A8C50A2" w:rsidR="003332E9" w:rsidRPr="00750332" w:rsidRDefault="003332E9" w:rsidP="003332E9">
      <w:pPr>
        <w:pStyle w:val="NormalWeb"/>
        <w:rPr>
          <w:color w:val="000000"/>
          <w:lang w:val="en-US"/>
        </w:rPr>
      </w:pPr>
      <w:r>
        <w:rPr>
          <w:color w:val="000000"/>
          <w:lang w:val="en-US"/>
        </w:rPr>
        <w:t>T</w:t>
      </w:r>
      <w:r>
        <w:rPr>
          <w:color w:val="000000"/>
        </w:rPr>
        <w:t>he ‘tumor surface’ covered the ‘tumor core’</w:t>
      </w:r>
      <w:r>
        <w:rPr>
          <w:color w:val="000000"/>
          <w:lang w:val="en-US"/>
        </w:rPr>
        <w:t xml:space="preserve"> and they precisely interlocked in 3D. </w:t>
      </w:r>
      <w:r>
        <w:rPr>
          <w:lang w:val="en-US"/>
        </w:rPr>
        <w:t xml:space="preserve">Tumor infiltrating cells extend beyond the boundaries of the tumor surface. While their presence in alveoli, </w:t>
      </w:r>
      <w:r>
        <w:rPr>
          <w:color w:val="000000"/>
        </w:rPr>
        <w:t>macrophage</w:t>
      </w:r>
      <w:r>
        <w:rPr>
          <w:color w:val="000000"/>
          <w:lang w:val="en-US"/>
        </w:rPr>
        <w:t xml:space="preserve"> and </w:t>
      </w:r>
      <w:r>
        <w:rPr>
          <w:color w:val="000000"/>
        </w:rPr>
        <w:t xml:space="preserve">dendritic cell niches </w:t>
      </w:r>
      <w:r>
        <w:rPr>
          <w:color w:val="000000"/>
          <w:lang w:val="en-US"/>
        </w:rPr>
        <w:t xml:space="preserve">could be explained by their spatial continuity </w:t>
      </w:r>
      <w:r>
        <w:rPr>
          <w:color w:val="000000"/>
          <w:lang w:val="en-US"/>
        </w:rPr>
        <w:lastRenderedPageBreak/>
        <w:t xml:space="preserve">with the tumor surface, </w:t>
      </w:r>
      <w:r w:rsidR="00750332">
        <w:rPr>
          <w:color w:val="000000"/>
        </w:rPr>
        <w:t xml:space="preserve">tumor cells </w:t>
      </w:r>
      <w:r w:rsidR="00750332">
        <w:rPr>
          <w:color w:val="000000"/>
          <w:lang w:val="en-US"/>
        </w:rPr>
        <w:t xml:space="preserve">infiltrating </w:t>
      </w:r>
      <w:r w:rsidR="00750332">
        <w:rPr>
          <w:color w:val="000000"/>
        </w:rPr>
        <w:t>the desmoplastic stroma extended away from the tumor surface</w:t>
      </w:r>
      <w:r w:rsidR="00750332">
        <w:rPr>
          <w:color w:val="000000"/>
          <w:lang w:val="en-US"/>
        </w:rPr>
        <w:t xml:space="preserve">. </w:t>
      </w:r>
      <w:r w:rsidR="00750332">
        <w:rPr>
          <w:color w:val="000000"/>
        </w:rPr>
        <w:t xml:space="preserve">Pseudotime captured </w:t>
      </w:r>
      <w:r w:rsidR="00750332">
        <w:rPr>
          <w:color w:val="000000"/>
          <w:lang w:val="en-US"/>
        </w:rPr>
        <w:t xml:space="preserve">the </w:t>
      </w:r>
      <w:r w:rsidR="00750332">
        <w:rPr>
          <w:color w:val="000000"/>
        </w:rPr>
        <w:t>dynamic molecular processes</w:t>
      </w:r>
      <w:r w:rsidR="00750332">
        <w:rPr>
          <w:color w:val="000000"/>
          <w:lang w:val="en-US"/>
        </w:rPr>
        <w:t xml:space="preserve"> accompanying tumor invasion and</w:t>
      </w:r>
      <w:r w:rsidR="00750332">
        <w:rPr>
          <w:color w:val="000000"/>
        </w:rPr>
        <w:t xml:space="preserve"> rank</w:t>
      </w:r>
      <w:r w:rsidR="00750332">
        <w:rPr>
          <w:color w:val="000000"/>
          <w:lang w:val="en-US"/>
        </w:rPr>
        <w:t>ed</w:t>
      </w:r>
      <w:r w:rsidR="00750332">
        <w:rPr>
          <w:color w:val="000000"/>
        </w:rPr>
        <w:t xml:space="preserve"> tumor cells from 0 (early) to 1 (late)</w:t>
      </w:r>
      <w:r w:rsidR="00750332">
        <w:rPr>
          <w:color w:val="000000"/>
          <w:lang w:val="en-US"/>
        </w:rPr>
        <w:t>. Pseudotime mapped tumor cells undergoing pro-invasive epithelial-to-mesenchymal transition (</w:t>
      </w:r>
      <w:r w:rsidR="00750332">
        <w:rPr>
          <w:color w:val="000000"/>
        </w:rPr>
        <w:t>EMT</w:t>
      </w:r>
      <w:r w:rsidR="00750332">
        <w:rPr>
          <w:color w:val="000000"/>
          <w:lang w:val="en-US"/>
        </w:rPr>
        <w:t xml:space="preserve">) not only in the desmoplastic stroma but already in one </w:t>
      </w:r>
      <w:proofErr w:type="gramStart"/>
      <w:r w:rsidR="00750332">
        <w:rPr>
          <w:color w:val="000000"/>
          <w:lang w:val="en-US"/>
        </w:rPr>
        <w:t>particular region</w:t>
      </w:r>
      <w:proofErr w:type="gramEnd"/>
      <w:r w:rsidR="00750332">
        <w:rPr>
          <w:color w:val="000000"/>
          <w:lang w:val="en-US"/>
        </w:rPr>
        <w:t xml:space="preserve"> of the tumor surface: the EMT niche. A</w:t>
      </w:r>
      <w:r w:rsidR="00750332">
        <w:rPr>
          <w:color w:val="000000"/>
        </w:rPr>
        <w:t xml:space="preserve"> multicellular signature combining tumor (</w:t>
      </w:r>
      <w:r w:rsidR="00750332">
        <w:rPr>
          <w:i/>
          <w:iCs/>
          <w:color w:val="000000"/>
        </w:rPr>
        <w:t>LGALS1</w:t>
      </w:r>
      <w:r w:rsidR="00750332">
        <w:rPr>
          <w:color w:val="000000"/>
        </w:rPr>
        <w:t xml:space="preserve"> and </w:t>
      </w:r>
      <w:r w:rsidR="00750332">
        <w:rPr>
          <w:i/>
          <w:iCs/>
          <w:color w:val="000000"/>
        </w:rPr>
        <w:t>NDRG1</w:t>
      </w:r>
      <w:r w:rsidR="00750332">
        <w:rPr>
          <w:color w:val="000000"/>
        </w:rPr>
        <w:t>), fibroblast (</w:t>
      </w:r>
      <w:r w:rsidR="00750332">
        <w:rPr>
          <w:i/>
          <w:iCs/>
          <w:color w:val="000000"/>
        </w:rPr>
        <w:t xml:space="preserve">IGFBP5 </w:t>
      </w:r>
      <w:r w:rsidR="00750332">
        <w:rPr>
          <w:color w:val="000000"/>
        </w:rPr>
        <w:t xml:space="preserve">and </w:t>
      </w:r>
      <w:r w:rsidR="00750332">
        <w:rPr>
          <w:i/>
          <w:iCs/>
          <w:color w:val="000000"/>
        </w:rPr>
        <w:t>VEGFA</w:t>
      </w:r>
      <w:r w:rsidR="00750332">
        <w:rPr>
          <w:color w:val="000000"/>
        </w:rPr>
        <w:t xml:space="preserve">) and </w:t>
      </w:r>
      <w:proofErr w:type="gramStart"/>
      <w:r w:rsidR="00750332">
        <w:rPr>
          <w:color w:val="000000"/>
        </w:rPr>
        <w:t>macrophage-specific</w:t>
      </w:r>
      <w:proofErr w:type="gramEnd"/>
      <w:r w:rsidR="00750332">
        <w:rPr>
          <w:color w:val="000000"/>
        </w:rPr>
        <w:t xml:space="preserve"> (</w:t>
      </w:r>
      <w:r w:rsidR="00750332">
        <w:rPr>
          <w:i/>
          <w:iCs/>
          <w:color w:val="000000"/>
        </w:rPr>
        <w:t>SPP1</w:t>
      </w:r>
      <w:r w:rsidR="00750332">
        <w:rPr>
          <w:color w:val="000000"/>
        </w:rPr>
        <w:t xml:space="preserve">) genes </w:t>
      </w:r>
      <w:r w:rsidR="00750332">
        <w:rPr>
          <w:color w:val="000000"/>
          <w:lang w:val="en-US"/>
        </w:rPr>
        <w:t xml:space="preserve">upregulated in the EMT niche </w:t>
      </w:r>
      <w:r w:rsidR="00750332">
        <w:rPr>
          <w:color w:val="000000"/>
        </w:rPr>
        <w:t>robustly identified patients with shorter overall survival</w:t>
      </w:r>
      <w:r w:rsidR="00750332">
        <w:rPr>
          <w:color w:val="000000"/>
          <w:lang w:val="en-US"/>
        </w:rPr>
        <w:t>.</w:t>
      </w:r>
    </w:p>
    <w:p w14:paraId="024B41C9" w14:textId="239D42FE" w:rsidR="003332E9" w:rsidRDefault="00972A4C" w:rsidP="003332E9">
      <w:pPr>
        <w:pStyle w:val="NormalWeb"/>
        <w:rPr>
          <w:u w:val="single"/>
          <w:lang w:val="en-US"/>
        </w:rPr>
      </w:pPr>
      <w:r w:rsidRPr="00972A4C">
        <w:rPr>
          <w:u w:val="single"/>
          <w:lang w:val="en-US"/>
        </w:rPr>
        <w:t>Supplementary video 2</w:t>
      </w:r>
      <w:r w:rsidR="003332E9">
        <w:rPr>
          <w:u w:val="single"/>
          <w:lang w:val="en-US"/>
        </w:rPr>
        <w:t xml:space="preserve"> related to figure 6 </w:t>
      </w:r>
      <w:r w:rsidR="003332E9" w:rsidRPr="00972A4C">
        <w:rPr>
          <w:u w:val="single"/>
          <w:lang w:val="en-US"/>
        </w:rPr>
        <w:t>(separate file)</w:t>
      </w:r>
    </w:p>
    <w:p w14:paraId="6B9D1C1A" w14:textId="286E6196" w:rsidR="00750332" w:rsidRPr="00750332" w:rsidRDefault="00750332" w:rsidP="00972A4C">
      <w:pPr>
        <w:pStyle w:val="NormalWeb"/>
        <w:rPr>
          <w:u w:val="single"/>
          <w:lang w:val="en-US"/>
        </w:rPr>
      </w:pPr>
      <w:r>
        <w:rPr>
          <w:color w:val="000000"/>
        </w:rPr>
        <w:t>To identify immunomodulatory interactions</w:t>
      </w:r>
      <w:r>
        <w:rPr>
          <w:color w:val="000000"/>
          <w:lang w:val="en-US"/>
        </w:rPr>
        <w:t xml:space="preserve"> underlying immune recruitment and remodeling</w:t>
      </w:r>
      <w:r>
        <w:rPr>
          <w:color w:val="000000"/>
        </w:rPr>
        <w:t>, we focused on interactions that distinguished ‘dendritic cell niches’ and ‘macrophage niches’ from the rest of the TME</w:t>
      </w:r>
      <w:r>
        <w:rPr>
          <w:color w:val="000000"/>
          <w:lang w:val="en-US"/>
        </w:rPr>
        <w:t xml:space="preserve">. </w:t>
      </w:r>
      <w:r>
        <w:rPr>
          <w:color w:val="000000"/>
        </w:rPr>
        <w:t xml:space="preserve">Compatible with their role in immune cell recruitment (i.e. chemotaxis), </w:t>
      </w:r>
      <w:r>
        <w:rPr>
          <w:color w:val="000000"/>
          <w:lang w:val="en-US"/>
        </w:rPr>
        <w:t xml:space="preserve">several chemokines signals </w:t>
      </w:r>
      <w:r>
        <w:rPr>
          <w:color w:val="000000"/>
          <w:lang w:val="en-US"/>
        </w:rPr>
        <w:t xml:space="preserve">(CCL19, CCL21, CXCL9) </w:t>
      </w:r>
      <w:r>
        <w:rPr>
          <w:color w:val="000000"/>
        </w:rPr>
        <w:t>regulat</w:t>
      </w:r>
      <w:proofErr w:type="spellStart"/>
      <w:r>
        <w:rPr>
          <w:color w:val="000000"/>
          <w:lang w:val="en-US"/>
        </w:rPr>
        <w:t>ing</w:t>
      </w:r>
      <w:proofErr w:type="spellEnd"/>
      <w:r>
        <w:rPr>
          <w:color w:val="000000"/>
        </w:rPr>
        <w:t xml:space="preserve"> the homing of dendritic and T cells in lymphoid tissues marked location of ‘dendritic cell islands’ and ‘T cell niches’ in the TME</w:t>
      </w:r>
      <w:r>
        <w:rPr>
          <w:color w:val="000000"/>
          <w:lang w:val="en-US"/>
        </w:rPr>
        <w:t>.</w:t>
      </w:r>
      <w:r w:rsidR="007005A5">
        <w:rPr>
          <w:color w:val="000000"/>
          <w:lang w:val="en-US"/>
        </w:rPr>
        <w:t xml:space="preserve"> At the same time, </w:t>
      </w:r>
      <w:r w:rsidR="007005A5">
        <w:rPr>
          <w:color w:val="000000"/>
        </w:rPr>
        <w:t>LGALS9</w:t>
      </w:r>
      <w:r w:rsidR="007005A5">
        <w:rPr>
          <w:color w:val="000000"/>
          <w:lang w:val="en-US"/>
        </w:rPr>
        <w:t>-CD44 promoting regulatory T cell survival</w:t>
      </w:r>
      <w:r w:rsidR="007005A5">
        <w:rPr>
          <w:color w:val="000000"/>
        </w:rPr>
        <w:t xml:space="preserve"> and </w:t>
      </w:r>
      <w:r w:rsidR="007005A5">
        <w:rPr>
          <w:color w:val="000000"/>
          <w:lang w:val="en-US"/>
        </w:rPr>
        <w:t xml:space="preserve">CTLA4 which inhibits cytotoxic T cell anti-tumoral responses interacting with </w:t>
      </w:r>
      <w:r w:rsidR="007005A5">
        <w:rPr>
          <w:color w:val="000000"/>
        </w:rPr>
        <w:t>CD80</w:t>
      </w:r>
      <w:r w:rsidR="007005A5">
        <w:rPr>
          <w:color w:val="000000"/>
          <w:lang w:val="en-US"/>
        </w:rPr>
        <w:t xml:space="preserve"> on dendritic cells </w:t>
      </w:r>
      <w:r w:rsidR="007005A5">
        <w:rPr>
          <w:color w:val="000000"/>
        </w:rPr>
        <w:t xml:space="preserve">emerged as the ligands with the strongest shared upregulation across all immune niches, highlighting their importance in </w:t>
      </w:r>
      <w:r w:rsidR="007005A5">
        <w:rPr>
          <w:color w:val="000000"/>
          <w:lang w:val="en-US"/>
        </w:rPr>
        <w:t>promoting tumor immune escape</w:t>
      </w:r>
      <w:r w:rsidR="007005A5">
        <w:rPr>
          <w:color w:val="000000"/>
        </w:rPr>
        <w:t>.</w:t>
      </w:r>
    </w:p>
    <w:sectPr w:rsidR="00750332" w:rsidRPr="00750332" w:rsidSect="00972A4C">
      <w:footerReference w:type="even" r:id="rId8"/>
      <w:footerReference w:type="default" r:id="rId9"/>
      <w:pgSz w:w="11906" w:h="16838"/>
      <w:pgMar w:top="1440" w:right="1440" w:bottom="1440" w:left="1440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70D56" w14:textId="77777777" w:rsidR="00677A08" w:rsidRDefault="00677A08" w:rsidP="00972A4C">
      <w:r>
        <w:separator/>
      </w:r>
    </w:p>
  </w:endnote>
  <w:endnote w:type="continuationSeparator" w:id="0">
    <w:p w14:paraId="6AC48DAF" w14:textId="77777777" w:rsidR="00677A08" w:rsidRDefault="00677A08" w:rsidP="0097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54908324"/>
      <w:docPartObj>
        <w:docPartGallery w:val="Page Numbers (Bottom of Page)"/>
        <w:docPartUnique/>
      </w:docPartObj>
    </w:sdtPr>
    <w:sdtContent>
      <w:p w14:paraId="0B53C70F" w14:textId="60A105BA" w:rsidR="00972A4C" w:rsidRDefault="00972A4C" w:rsidP="007A441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22CCA26" w14:textId="77777777" w:rsidR="00972A4C" w:rsidRDefault="00972A4C" w:rsidP="00972A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67033597"/>
      <w:docPartObj>
        <w:docPartGallery w:val="Page Numbers (Bottom of Page)"/>
        <w:docPartUnique/>
      </w:docPartObj>
    </w:sdtPr>
    <w:sdtContent>
      <w:p w14:paraId="7B6696FB" w14:textId="1E801E58" w:rsidR="00972A4C" w:rsidRDefault="00972A4C" w:rsidP="007A441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1606DF1" w14:textId="77777777" w:rsidR="00972A4C" w:rsidRDefault="00972A4C" w:rsidP="00972A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EFE5" w14:textId="77777777" w:rsidR="00677A08" w:rsidRDefault="00677A08" w:rsidP="00972A4C">
      <w:r>
        <w:separator/>
      </w:r>
    </w:p>
  </w:footnote>
  <w:footnote w:type="continuationSeparator" w:id="0">
    <w:p w14:paraId="411138FD" w14:textId="77777777" w:rsidR="00677A08" w:rsidRDefault="00677A08" w:rsidP="00972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56866"/>
    <w:multiLevelType w:val="multilevel"/>
    <w:tmpl w:val="AC2A33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8E61BD"/>
    <w:multiLevelType w:val="multilevel"/>
    <w:tmpl w:val="BE986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5546601">
    <w:abstractNumId w:val="1"/>
  </w:num>
  <w:num w:numId="2" w16cid:durableId="78449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4C"/>
    <w:rsid w:val="00263332"/>
    <w:rsid w:val="002E4533"/>
    <w:rsid w:val="003332E9"/>
    <w:rsid w:val="0040228D"/>
    <w:rsid w:val="004833E3"/>
    <w:rsid w:val="00677A08"/>
    <w:rsid w:val="007005A5"/>
    <w:rsid w:val="00750332"/>
    <w:rsid w:val="00972A4C"/>
    <w:rsid w:val="00E6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DB65EA"/>
  <w15:chartTrackingRefBased/>
  <w15:docId w15:val="{7FD77F55-5722-E342-A99D-D387761C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A4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972A4C"/>
  </w:style>
  <w:style w:type="paragraph" w:styleId="Footer">
    <w:name w:val="footer"/>
    <w:basedOn w:val="Normal"/>
    <w:link w:val="FooterChar"/>
    <w:uiPriority w:val="99"/>
    <w:unhideWhenUsed/>
    <w:rsid w:val="00972A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A4C"/>
  </w:style>
  <w:style w:type="character" w:styleId="PageNumber">
    <w:name w:val="page number"/>
    <w:basedOn w:val="DefaultParagraphFont"/>
    <w:uiPriority w:val="99"/>
    <w:semiHidden/>
    <w:unhideWhenUsed/>
    <w:rsid w:val="0097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Tancredi Massimo Pentimalli</dc:creator>
  <cp:keywords/>
  <dc:description/>
  <cp:lastModifiedBy>Tancredi Massimo Pentimalli</cp:lastModifiedBy>
  <cp:revision>2</cp:revision>
  <dcterms:created xsi:type="dcterms:W3CDTF">2023-05-05T22:24:00Z</dcterms:created>
  <dcterms:modified xsi:type="dcterms:W3CDTF">2023-05-05T22:58:00Z</dcterms:modified>
</cp:coreProperties>
</file>